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432C"/>
          <w:sz w:val="48"/>
        </w:rPr>
        <w:t>RBAC &amp; PERMISSION MATRIX</w:t>
      </w:r>
    </w:p>
    <w:p>
      <w:pPr>
        <w:jc w:val="center"/>
      </w:pPr>
      <w:r>
        <w:rPr>
          <w:rFonts w:ascii="Arial" w:hAnsi="Arial"/>
          <w:color w:val="68736A"/>
          <w:sz w:val="22"/>
        </w:rPr>
        <w:t>Dopamin Cafe Accounting &amp; Inventory System</w:t>
      </w:r>
    </w:p>
    <w:tbl>
      <w:tblPr>
        <w:tblW w:type="auto" w:w="0"/>
        <w:jc w:val="center"/>
        <w:tblLayout w:type="autofit"/>
        <w:tblLook w:firstColumn="1" w:firstRow="1" w:lastColumn="0" w:lastRow="0" w:noHBand="0" w:noVBand="1" w:val="04A0"/>
      </w:tblPr>
      <w:tblGrid>
        <w:gridCol w:w="5328"/>
        <w:gridCol w:w="5328"/>
      </w:tblGrid>
      <w:tr>
        <w:trPr>
          <w:tblHeader w:val="true"/>
          <w:cantSplit/>
        </w:trPr>
        <w:tc>
          <w:tcPr>
            <w:tcW w:type="dxa" w:w="5328"/>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7"/>
              </w:rPr>
              <w:t>Document ID</w:t>
            </w:r>
          </w:p>
        </w:tc>
        <w:tc>
          <w:tcPr>
            <w:tcW w:type="dxa" w:w="5328"/>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7"/>
              </w:rPr>
              <w:t>RBAC-DOPAMIN-ACCINV</w:t>
            </w:r>
          </w:p>
        </w:tc>
      </w:tr>
      <w:tr>
        <w:trPr>
          <w:cantSplit/>
        </w:trPr>
        <w:tc>
          <w:tcPr>
            <w:tcW w:type="dxa" w:w="5328"/>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7"/>
              </w:rPr>
              <w:t>Version</w:t>
            </w:r>
          </w:p>
        </w:tc>
        <w:tc>
          <w:tcPr>
            <w:tcW w:type="dxa" w:w="5328"/>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7"/>
              </w:rPr>
              <w:t>0.3 - Implementation Baseline</w:t>
            </w:r>
          </w:p>
        </w:tc>
      </w:tr>
      <w:tr>
        <w:trPr>
          <w:cantSplit/>
        </w:trPr>
        <w:tc>
          <w:tcPr>
            <w:tcW w:type="dxa" w:w="5328"/>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7"/>
              </w:rPr>
              <w:t>Parent Artifacts</w:t>
            </w:r>
          </w:p>
        </w:tc>
        <w:tc>
          <w:tcPr>
            <w:tcW w:type="dxa" w:w="5328"/>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7"/>
              </w:rPr>
              <w:t>SRS v0.1; ERD v0.1; SDD v0.1; UI/UX v0.1; Physical DB v0.2</w:t>
            </w:r>
          </w:p>
        </w:tc>
      </w:tr>
      <w:tr>
        <w:trPr>
          <w:cantSplit/>
        </w:trPr>
        <w:tc>
          <w:tcPr>
            <w:tcW w:type="dxa" w:w="5328"/>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7"/>
              </w:rPr>
              <w:t>Business Timezone</w:t>
            </w:r>
          </w:p>
        </w:tc>
        <w:tc>
          <w:tcPr>
            <w:tcW w:type="dxa" w:w="5328"/>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7"/>
              </w:rPr>
              <w:t>Asia/Jakarta</w:t>
            </w:r>
          </w:p>
        </w:tc>
      </w:tr>
      <w:tr>
        <w:trPr>
          <w:cantSplit/>
        </w:trPr>
        <w:tc>
          <w:tcPr>
            <w:tcW w:type="dxa" w:w="5328"/>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7"/>
              </w:rPr>
              <w:t>Application Style</w:t>
            </w:r>
          </w:p>
        </w:tc>
        <w:tc>
          <w:tcPr>
            <w:tcW w:type="dxa" w:w="5328"/>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7"/>
              </w:rPr>
              <w:t>Next.js modular monolith + PostgreSQL + PWA</w:t>
            </w:r>
          </w:p>
        </w:tc>
      </w:tr>
    </w:tbl>
    <w:p/>
    <w:p>
      <w:pPr>
        <w:pStyle w:val="Heading1"/>
      </w:pPr>
      <w:r>
        <w:t>1. Purpose and Authority</w:t>
      </w:r>
    </w:p>
    <w:p>
      <w:pPr>
        <w:spacing w:after="80" w:line="259" w:lineRule="auto"/>
      </w:pPr>
      <w:r>
        <w:t>This document refines the role baseline into action-level permissions for implementation. It preserves the five MVP roles: Owner, Director, Manager, Cashier, and Kitchen. Authorization is enforced server-side; UI visibility is only a convenience layer.</w:t>
      </w:r>
    </w:p>
    <w:p>
      <w:pPr>
        <w:spacing w:after="80" w:line="259" w:lineRule="auto"/>
      </w:pPr>
      <w:r>
        <w:t>Where the source documents say “authorized user” without naming an exact role, this matrix chooses the narrowest implementation that does not contradict the supplied flow. Those choices are marked as implementation policy and can be changed by permission seed without changing the data model.</w:t>
      </w:r>
    </w:p>
    <w:p>
      <w:pPr>
        <w:pStyle w:val="Heading1"/>
      </w:pPr>
      <w:r>
        <w:t>2. Role Principles</w:t>
      </w:r>
    </w:p>
    <w:tbl>
      <w:tblPr>
        <w:tblW w:type="auto" w:w="0"/>
        <w:jc w:val="center"/>
        <w:tblLayout w:type="autofit"/>
        <w:tblLook w:firstColumn="1" w:firstRow="1" w:lastColumn="0" w:lastRow="0" w:noHBand="0" w:noVBand="1" w:val="04A0"/>
      </w:tblPr>
      <w:tblGrid>
        <w:gridCol w:w="3552"/>
        <w:gridCol w:w="3552"/>
        <w:gridCol w:w="3552"/>
      </w:tblGrid>
      <w:tr>
        <w:trPr>
          <w:tblHeader w:val="true"/>
          <w:cantSplit/>
        </w:trPr>
        <w:tc>
          <w:tcPr>
            <w:tcW w:type="dxa" w:w="1584"/>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6"/>
              </w:rPr>
              <w:t>Role</w:t>
            </w:r>
          </w:p>
        </w:tc>
        <w:tc>
          <w:tcPr>
            <w:tcW w:type="dxa" w:w="3600"/>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6"/>
              </w:rPr>
              <w:t>Primary scope</w:t>
            </w:r>
          </w:p>
        </w:tc>
        <w:tc>
          <w:tcPr>
            <w:tcW w:type="dxa" w:w="5184"/>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6"/>
              </w:rPr>
              <w:t>Implementation rule</w:t>
            </w:r>
          </w:p>
        </w:tc>
      </w:tr>
      <w:tr>
        <w:trPr>
          <w:cantSplit/>
        </w:trPr>
        <w:tc>
          <w:tcPr>
            <w:tcW w:type="dxa" w:w="158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Owner</w:t>
            </w:r>
          </w:p>
        </w:tc>
        <w:tc>
          <w:tcPr>
            <w:tcW w:type="dxa" w:w="360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All modules, governance, override</w:t>
            </w:r>
          </w:p>
        </w:tc>
        <w:tc>
          <w:tcPr>
            <w:tcW w:type="dxa" w:w="518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All known permissions. May perform Director actions as superuser.</w:t>
            </w:r>
          </w:p>
        </w:tc>
      </w:tr>
      <w:tr>
        <w:trPr>
          <w:cantSplit/>
        </w:trPr>
        <w:tc>
          <w:tcPr>
            <w:tcW w:type="dxa" w:w="158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Director</w:t>
            </w:r>
          </w:p>
        </w:tc>
        <w:tc>
          <w:tcPr>
            <w:tcW w:type="dxa" w:w="360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Leadership, finance funding, approvals, full reports</w:t>
            </w:r>
          </w:p>
        </w:tc>
        <w:tc>
          <w:tcPr>
            <w:tcW w:type="dxa" w:w="518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All known permissions; primary operator for Company -&gt; Housebank funding.</w:t>
            </w:r>
          </w:p>
        </w:tc>
      </w:tr>
      <w:tr>
        <w:trPr>
          <w:cantSplit/>
        </w:trPr>
        <w:tc>
          <w:tcPr>
            <w:tcW w:type="dxa" w:w="158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Manager</w:t>
            </w:r>
          </w:p>
        </w:tc>
        <w:tc>
          <w:tcPr>
            <w:tcW w:type="dxa" w:w="360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Operational control, PR, stock, issue resolution</w:t>
            </w:r>
          </w:p>
        </w:tc>
        <w:tc>
          <w:tcPr>
            <w:tcW w:type="dxa" w:w="518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No Company Funding. No general internal-transfer power. May complete approved PR spend/receipt flow.</w:t>
            </w:r>
          </w:p>
        </w:tc>
      </w:tr>
      <w:tr>
        <w:trPr>
          <w:cantSplit/>
        </w:trPr>
        <w:tc>
          <w:tcPr>
            <w:tcW w:type="dxa" w:w="158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Cashier</w:t>
            </w:r>
          </w:p>
        </w:tc>
        <w:tc>
          <w:tcPr>
            <w:tcW w:type="dxa" w:w="360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Cashier + Beverage/Bar scope</w:t>
            </w:r>
          </w:p>
        </w:tc>
        <w:tc>
          <w:tcPr>
            <w:tcW w:type="dxa" w:w="518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Own/current cashier scope, Beverage sales, Bar stock. No Housebank/company funding.</w:t>
            </w:r>
          </w:p>
        </w:tc>
      </w:tr>
      <w:tr>
        <w:trPr>
          <w:cantSplit/>
        </w:trPr>
        <w:tc>
          <w:tcPr>
            <w:tcW w:type="dxa" w:w="158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Kitchen</w:t>
            </w:r>
          </w:p>
        </w:tc>
        <w:tc>
          <w:tcPr>
            <w:tcW w:type="dxa" w:w="360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Food + Kitchen inventory scope</w:t>
            </w:r>
          </w:p>
        </w:tc>
        <w:tc>
          <w:tcPr>
            <w:tcW w:type="dxa" w:w="518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No financial detail. Food sales and Kitchen stock only.</w:t>
            </w:r>
          </w:p>
        </w:tc>
      </w:tr>
    </w:tbl>
    <w:p/>
    <w:p>
      <w:pPr>
        <w:pStyle w:val="Heading1"/>
      </w:pPr>
      <w:r>
        <w:t>3. Action-Level Permission Matrix</w:t>
      </w:r>
    </w:p>
    <w:tbl>
      <w:tblPr>
        <w:tblW w:type="auto" w:w="0"/>
        <w:jc w:val="center"/>
        <w:tblLayout w:type="fixed"/>
        <w:tblLook w:firstColumn="1" w:firstRow="1" w:lastColumn="0" w:lastRow="0" w:noHBand="0" w:noVBand="1" w:val="04A0"/>
      </w:tblPr>
      <w:tblGrid>
        <w:gridCol w:w="1184"/>
        <w:gridCol w:w="1184"/>
        <w:gridCol w:w="1184"/>
        <w:gridCol w:w="1184"/>
        <w:gridCol w:w="1184"/>
        <w:gridCol w:w="1184"/>
        <w:gridCol w:w="1184"/>
        <w:gridCol w:w="1184"/>
        <w:gridCol w:w="1184"/>
      </w:tblGrid>
      <w:tr>
        <w:trPr>
          <w:tblHeader w:val="true"/>
          <w:cantSplit/>
        </w:trPr>
        <w:tc>
          <w:tcPr>
            <w:tcW w:type="dxa" w:w="1080"/>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Module</w:t>
            </w:r>
          </w:p>
        </w:tc>
        <w:tc>
          <w:tcPr>
            <w:tcW w:type="dxa" w:w="1512"/>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Action</w:t>
            </w:r>
          </w:p>
        </w:tc>
        <w:tc>
          <w:tcPr>
            <w:tcW w:type="dxa" w:w="1944"/>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Permission</w:t>
            </w:r>
          </w:p>
        </w:tc>
        <w:tc>
          <w:tcPr>
            <w:tcW w:type="dxa" w:w="792"/>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Owner</w:t>
            </w:r>
          </w:p>
        </w:tc>
        <w:tc>
          <w:tcPr>
            <w:tcW w:type="dxa" w:w="936"/>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Director</w:t>
            </w:r>
          </w:p>
        </w:tc>
        <w:tc>
          <w:tcPr>
            <w:tcW w:type="dxa" w:w="1080"/>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Manager</w:t>
            </w:r>
          </w:p>
        </w:tc>
        <w:tc>
          <w:tcPr>
            <w:tcW w:type="dxa" w:w="1224"/>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Cashier</w:t>
            </w:r>
          </w:p>
        </w:tc>
        <w:tc>
          <w:tcPr>
            <w:tcW w:type="dxa" w:w="1224"/>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Kitchen</w:t>
            </w:r>
          </w:p>
        </w:tc>
        <w:tc>
          <w:tcPr>
            <w:tcW w:type="dxa" w:w="2520"/>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color w:val="FFFFFF"/>
                <w:sz w:val="13"/>
              </w:rPr>
              <w:t>Scope / rule</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Dashboard</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Executive dashboard</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DASHBOARD_EXECUTIVE_VIEW</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Leadership only</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Dashboard</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Operational workspace</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DASHBOARD_OPERATIONAL_VIEW</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Role-scoped cards for Cashier/Kitchen</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Sales</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View Food/Beverage sales</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SALES_VIEW</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Beverage</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Food</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Row/module scope enforced server-side</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Cashier</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View cashier reports/reconciliation</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CASHIER_VIEW</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Own/current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Cashier identity/current business date scope</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Finance</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View fund accounts/ledger</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FINANCE_VIEW</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Limited</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Manager read-only operational context; no company-funding entry</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Finance</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Company -&gt; Housebank funding</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FINANCE_COMPANY_FUNDING</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External funding; not revenue</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Finance</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Internal fund transfer</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FINANCE_TRANSFER</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Implementation policy: leadership only in v0.3</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Finance</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Standalone operational expense</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FINANCE_EXPENSE</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Manager uses approved PR spend workflow instead</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View Purchase Requests</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PURCHASE_VIEW</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Manager operational list; leadership all</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Create/edit/submit PR</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PURCHASE_CREATE</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Manager primary creator</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Approve/revise/reject PR</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PURCHASE_APPROVE</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Revision/reject reason required</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Record approved actual spend</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PURCHASE_SPEND_RECORD</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Only approved/funded PR state</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Upload/link receipt</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PURCHASE_RECEIPT_UPLOAD</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Within authorized PR</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Inventory</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View inventory</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INVENTORY_VIEW</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Bar</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Kitchen</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Category scope</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Inventory</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Input stock opname</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INVENTORY_INPUT</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Other/All</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Bar</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Kitchen</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Actual quantity editable only while session open</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Inventory</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Review stock opname</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STOCK_REVIEW</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Manager consolidated review</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Reports</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Historical reports</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REPORT_VIEW</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Operational</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Own scope</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Own scope</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Business Date filters</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Data Quality</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View data issues</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DATA_ISSUE_VIEW</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Operational</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Own source</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Own source</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Source/module scope</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Corrections</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Create audited correction</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CORRECTION_CREATE</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Operational</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Own source if allowed</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Own source if allowed</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Derived values remain read-only</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Audit</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Full audit trail</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AUDIT_VIEW</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All modules</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Audit</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Limited operational audit</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AUDIT_VIEW_LIMITED</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Manager only authorized modules/entities</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Settings</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System/report settings</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SETTINGS_MANAGE</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Timezone, operating hours, report schedule/recipients</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Settings</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User management</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USER_MANAGE</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Activate/deactivate; role assignment</w:t>
            </w:r>
          </w:p>
        </w:tc>
      </w:tr>
      <w:tr>
        <w:trPr>
          <w:cantSplit/>
        </w:trPr>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Master</w:t>
            </w:r>
          </w:p>
        </w:tc>
        <w:tc>
          <w:tcPr>
            <w:tcW w:type="dxa" w:w="151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Menu and price history</w:t>
            </w:r>
          </w:p>
        </w:tc>
        <w:tc>
          <w:tcPr>
            <w:tcW w:type="dxa" w:w="194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MENU_MANAGE</w:t>
            </w:r>
          </w:p>
        </w:tc>
        <w:tc>
          <w:tcPr>
            <w:tcW w:type="dxa" w:w="79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1224"/>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w:t>
            </w:r>
          </w:p>
        </w:tc>
        <w:tc>
          <w:tcPr>
            <w:tcW w:type="dxa" w:w="2520"/>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Effective-dated price; no history deletion</w:t>
            </w:r>
          </w:p>
        </w:tc>
      </w:tr>
      <w:tr>
        <w:trPr>
          <w:cantSplit/>
        </w:trPr>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Export</w:t>
            </w:r>
          </w:p>
        </w:tc>
        <w:tc>
          <w:tcPr>
            <w:tcW w:type="dxa" w:w="151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Export permitted data</w:t>
            </w:r>
          </w:p>
        </w:tc>
        <w:tc>
          <w:tcPr>
            <w:tcW w:type="dxa" w:w="194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EXPORT_DATA</w:t>
            </w:r>
          </w:p>
        </w:tc>
        <w:tc>
          <w:tcPr>
            <w:tcW w:type="dxa" w:w="79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936"/>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08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Y</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Scope</w:t>
            </w:r>
          </w:p>
        </w:tc>
        <w:tc>
          <w:tcPr>
            <w:tcW w:type="dxa" w:w="1224"/>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Scope</w:t>
            </w:r>
          </w:p>
        </w:tc>
        <w:tc>
          <w:tcPr>
            <w:tcW w:type="dxa" w:w="2520"/>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Pr>
                <w:sz w:val="13"/>
              </w:rPr>
            </w:r>
            <w:r>
              <w:rPr>
                <w:rFonts w:ascii="Arial" w:hAnsi="Arial"/>
                <w:b w:val="0"/>
                <w:color w:val="1D271E"/>
                <w:sz w:val="13"/>
              </w:rPr>
              <w:t>Export cannot widen underlying permission</w:t>
            </w:r>
          </w:p>
        </w:tc>
      </w:tr>
    </w:tbl>
    <w:p/>
    <w:p>
      <w:pPr>
        <w:pStyle w:val="Heading1"/>
      </w:pPr>
      <w:r>
        <w:t>4. Data-Scope Rules</w:t>
      </w:r>
    </w:p>
    <w:p>
      <w:pPr>
        <w:pStyle w:val="ListBullet"/>
        <w:spacing w:after="40"/>
      </w:pPr>
      <w:r>
        <w:t>Cashier: CASHIER_VIEW is limited to own/current cashier records unless a leadership/manager role is used. Cashier also has Beverage/Bar operational scope.</w:t>
      </w:r>
    </w:p>
    <w:p>
      <w:pPr>
        <w:pStyle w:val="ListBullet"/>
        <w:spacing w:after="40"/>
      </w:pPr>
      <w:r>
        <w:t>Kitchen: SALES_VIEW resolves to FOOD only and INVENTORY_INPUT resolves to KITCHEN category only.</w:t>
      </w:r>
    </w:p>
    <w:p>
      <w:pPr>
        <w:pStyle w:val="ListBullet"/>
        <w:spacing w:after="40"/>
      </w:pPr>
      <w:r>
        <w:t>Manager: financial access is operational read context. The Manager does not receive FINANCE_COMPANY_FUNDING or FINANCE_TRANSFER in v0.3.</w:t>
      </w:r>
    </w:p>
    <w:p>
      <w:pPr>
        <w:pStyle w:val="ListBullet"/>
        <w:spacing w:after="40"/>
      </w:pPr>
      <w:r>
        <w:t>Manager actual purchase spending is gated by Purchase Request state and PURCHASE_SPEND_RECORD; this is not equivalent to unrestricted FINANCE_EXPENSE.</w:t>
      </w:r>
    </w:p>
    <w:p>
      <w:pPr>
        <w:pStyle w:val="ListBullet"/>
        <w:spacing w:after="40"/>
      </w:pPr>
      <w:r>
        <w:t>Owner/Director: full data scope, but posted financial/journal records still cannot be hard-deleted and audit records remain append-only.</w:t>
      </w:r>
    </w:p>
    <w:p>
      <w:pPr>
        <w:pStyle w:val="ListBullet"/>
        <w:spacing w:after="40"/>
      </w:pPr>
      <w:r>
        <w:t>Permission checks must happen in application/API services even if a route/menu is hidden in the UI.</w:t>
      </w:r>
    </w:p>
    <w:p>
      <w:pPr>
        <w:pStyle w:val="Heading1"/>
      </w:pPr>
      <w:r>
        <w:t>5. Protected Mutation Rules</w:t>
      </w:r>
    </w:p>
    <w:tbl>
      <w:tblPr>
        <w:tblW w:type="auto" w:w="0"/>
        <w:jc w:val="center"/>
        <w:tblLayout w:type="autofit"/>
        <w:tblLook w:firstColumn="1" w:firstRow="1" w:lastColumn="0" w:lastRow="0" w:noHBand="0" w:noVBand="1" w:val="04A0"/>
      </w:tblPr>
      <w:tblGrid>
        <w:gridCol w:w="3552"/>
        <w:gridCol w:w="3552"/>
        <w:gridCol w:w="3552"/>
      </w:tblGrid>
      <w:tr>
        <w:trPr>
          <w:tblHeader w:val="true"/>
          <w:cantSplit/>
        </w:trPr>
        <w:tc>
          <w:tcPr>
            <w:tcW w:type="dxa" w:w="3552"/>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6"/>
              </w:rPr>
              <w:t>Mutation</w:t>
            </w:r>
          </w:p>
        </w:tc>
        <w:tc>
          <w:tcPr>
            <w:tcW w:type="dxa" w:w="3552"/>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6"/>
              </w:rPr>
              <w:t>Required permission</w:t>
            </w:r>
          </w:p>
        </w:tc>
        <w:tc>
          <w:tcPr>
            <w:tcW w:type="dxa" w:w="3552"/>
            <w:vAlign w:val="center"/>
            <w:shd w:fill="0F623E"/>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color w:val="FFFFFF"/>
                <w:sz w:val="16"/>
              </w:rPr>
              <w:t>Additional invariant</w:t>
            </w:r>
          </w:p>
        </w:tc>
      </w:tr>
      <w:tr>
        <w:trPr>
          <w:cantSplit/>
        </w:trPr>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Company funding</w:t>
            </w:r>
          </w:p>
        </w:tc>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FINANCE_COMPANY_FUNDING</w:t>
            </w:r>
          </w:p>
        </w:tc>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Destination Housebank; amount &gt; 0; journal + audit same DB transaction.</w:t>
            </w:r>
          </w:p>
        </w:tc>
      </w:tr>
      <w:tr>
        <w:trPr>
          <w:cantSplit/>
        </w:trPr>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Internal transfer</w:t>
            </w:r>
          </w:p>
        </w:tc>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FINANCE_TRANSFER</w:t>
            </w:r>
          </w:p>
        </w:tc>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Source and destination different; not revenue/expense.</w:t>
            </w:r>
          </w:p>
        </w:tc>
      </w:tr>
      <w:tr>
        <w:trPr>
          <w:cantSplit/>
        </w:trPr>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Operational expense</w:t>
            </w:r>
          </w:p>
        </w:tc>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FINANCE_EXPENSE</w:t>
            </w:r>
          </w:p>
        </w:tc>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Source account + category required; journal + audit same DB transaction.</w:t>
            </w:r>
          </w:p>
        </w:tc>
      </w:tr>
      <w:tr>
        <w:trPr>
          <w:cantSplit/>
        </w:trPr>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PR approval/revision/reject</w:t>
            </w:r>
          </w:p>
        </w:tc>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PURCHASE_APPROVE</w:t>
            </w:r>
          </w:p>
        </w:tc>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Valid state transition; reason mandatory for revision/reject.</w:t>
            </w:r>
          </w:p>
        </w:tc>
      </w:tr>
      <w:tr>
        <w:trPr>
          <w:cantSplit/>
        </w:trPr>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Correction</w:t>
            </w:r>
          </w:p>
        </w:tc>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CORRECTION_CREATE</w:t>
            </w:r>
          </w:p>
        </w:tc>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Only source/input fields; mandatory reason; original raw evidence unchanged.</w:t>
            </w:r>
          </w:p>
        </w:tc>
      </w:tr>
      <w:tr>
        <w:trPr>
          <w:cantSplit/>
        </w:trPr>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Price change</w:t>
            </w:r>
          </w:p>
        </w:tc>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MENU_MANAGE</w:t>
            </w:r>
          </w:p>
        </w:tc>
        <w:tc>
          <w:tcPr>
            <w:tcW w:type="dxa" w:w="3552"/>
            <w:vAlign w:val="center"/>
            <w:shd w:fill="F6F3E9"/>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Effective date required; no overlapping price period.</w:t>
            </w:r>
          </w:p>
        </w:tc>
      </w:tr>
      <w:tr>
        <w:trPr>
          <w:cantSplit/>
        </w:trPr>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Settings/user change</w:t>
            </w:r>
          </w:p>
        </w:tc>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SETTINGS_MANAGE / USER_MANAGE</w:t>
            </w:r>
          </w:p>
        </w:tc>
        <w:tc>
          <w:tcPr>
            <w:tcW w:type="dxa" w:w="3552"/>
            <w:vAlign w:val="center"/>
            <w:shd w:fill="FBFAF6"/>
            <w:tcBorders>
              <w:top w:val="single" w:sz="4" w:color="C8C6BC"/>
              <w:left w:val="single" w:sz="4" w:color="C8C6BC"/>
              <w:bottom w:val="single" w:sz="4" w:color="C8C6BC"/>
              <w:right w:val="single" w:sz="4" w:color="C8C6BC"/>
              <w:insideH w:val="single" w:sz="4" w:color="C8C6BC"/>
              <w:insideV w:val="single" w:sz="4" w:color="C8C6BC"/>
            </w:tcBorders>
          </w:tcPr>
          <w:p>
            <w:pPr>
              <w:spacing w:after="0"/>
            </w:pPr>
            <w:r/>
            <w:r>
              <w:rPr>
                <w:rFonts w:ascii="Arial" w:hAnsi="Arial"/>
                <w:b w:val="0"/>
                <w:color w:val="1D271E"/>
                <w:sz w:val="16"/>
              </w:rPr>
              <w:t>Every material change audited.</w:t>
            </w:r>
          </w:p>
        </w:tc>
      </w:tr>
    </w:tbl>
    <w:p/>
    <w:p>
      <w:pPr>
        <w:pStyle w:val="Heading1"/>
      </w:pPr>
      <w:r>
        <w:t>6. PWA / Offline Authorization</w:t>
      </w:r>
    </w:p>
    <w:p>
      <w:pPr>
        <w:spacing w:after="80" w:line="259" w:lineRule="auto"/>
      </w:pPr>
      <w:r>
        <w:t>PWA installation does not grant additional access. Protected financial, approval, correction, and settings mutations require an online server authorization check. The service worker must not queue these mutations for later background synchronization.</w:t>
      </w:r>
    </w:p>
    <w:p>
      <w:pPr>
        <w:pStyle w:val="Heading1"/>
      </w:pPr>
      <w:r>
        <w:t>7. Implementation Handoff</w:t>
      </w:r>
    </w:p>
    <w:p>
      <w:pPr>
        <w:pStyle w:val="ListBullet"/>
        <w:spacing w:after="40"/>
      </w:pPr>
      <w:r>
        <w:t>Permission codes are seeded into permissions and role_permissions.</w:t>
      </w:r>
    </w:p>
    <w:p>
      <w:pPr>
        <w:pStyle w:val="ListBullet"/>
        <w:spacing w:after="40"/>
      </w:pPr>
      <w:r>
        <w:t>Authentication identifies the Google account; the application then loads the current active user, role, and permissions from PostgreSQL.</w:t>
      </w:r>
    </w:p>
    <w:p>
      <w:pPr>
        <w:pStyle w:val="ListBullet"/>
        <w:spacing w:after="40"/>
      </w:pPr>
      <w:r>
        <w:t>Role/data scope is evaluated in service/query policy, not encoded only in navigation.</w:t>
      </w:r>
    </w:p>
    <w:p>
      <w:pPr>
        <w:pStyle w:val="ListBullet"/>
        <w:spacing w:after="40"/>
      </w:pPr>
      <w:r>
        <w:t>Permission changes take effect from the database on subsequent authorized requests; deactivating a user blocks protected access.</w:t>
      </w:r>
    </w:p>
    <w:p>
      <w:pPr>
        <w:pStyle w:val="ListBullet"/>
        <w:spacing w:after="40"/>
      </w:pPr>
      <w:r>
        <w:t>Any future relaxation/tightening should update this matrix and permission seed together.</w:t>
      </w:r>
    </w:p>
    <w:sectPr w:rsidR="00FC693F" w:rsidRPr="0006063C" w:rsidSect="00034616">
      <w:footerReference w:type="default" r:id="rId9"/>
      <w:pgSz w:w="15840" w:h="12240" w:orient="landscape"/>
      <w:pgMar w:top="547"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8736A"/>
        <w:sz w:val="14"/>
      </w:rPr>
      <w:t>RBAC-DOPAMIN-ACCINV v0.3 | Confidential Internal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D271E"/>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A432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623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D271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A432C"/>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