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7365D"/>
          <w:sz w:val="50"/>
        </w:rPr>
        <w:t>ENTITY RELATIONSHIP DIAGRAM</w:t>
        <w:br/>
        <w:t>&amp; DATA MODEL SPECIFICATION</w:t>
      </w:r>
    </w:p>
    <w:p>
      <w:pPr>
        <w:jc w:val="center"/>
      </w:pPr>
      <w:r>
        <w:rPr>
          <w:b/>
          <w:color w:val="2F5597"/>
          <w:sz w:val="34"/>
        </w:rPr>
        <w:t>Dopamin Cafe Accounting &amp; Inventory System</w:t>
      </w:r>
    </w:p>
    <w:p>
      <w:pPr>
        <w:jc w:val="center"/>
      </w:pPr>
      <w:r>
        <w:rPr>
          <w:color w:val="505050"/>
          <w:sz w:val="20"/>
        </w:rPr>
        <w:t>Logical PostgreSQL ERD • Based on SRS v0.1 and current Google Form/Excel sources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Document ID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ERD-DOPAMIN-ACCINV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Version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0.1 — Logical Baseline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Target DB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PostgreSQL (Neon initially; provider-portable)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Primary Keys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UUID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Money Type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NUMERIC(18,2)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Quantity Type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NUMERIC(18,3)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Business Timezone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Asia/Jakarta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Operating Hours</w:t>
            </w:r>
          </w:p>
        </w:tc>
        <w:tc>
          <w:tcPr>
            <w:tcW w:type="dxa" w:w="8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10:00–21:30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Design principle: Google Sheets remains raw operational evidence. PostgreSQL stores normalized effective data, accounting/fund transactions, workflow, inventory, report snapshots, corrections, and audit history.</w:t>
            </w:r>
          </w:p>
        </w:tc>
      </w:tr>
    </w:tbl>
    <w:p>
      <w:r>
        <w:br w:type="page"/>
      </w:r>
    </w:p>
    <w:p>
      <w:pPr>
        <w:pStyle w:val="Heading1"/>
      </w:pPr>
      <w:r>
        <w:t>1. ERD Design Decisions</w:t>
      </w:r>
    </w:p>
    <w:p>
      <w:pPr>
        <w:pStyle w:val="ListBullet"/>
        <w:spacing w:after="40"/>
      </w:pPr>
      <w:r>
        <w:t>One normalized application database: Google Sheets is not treated as the reporting database.</w:t>
      </w:r>
    </w:p>
    <w:p>
      <w:pPr>
        <w:pStyle w:val="ListBullet"/>
        <w:spacing w:after="40"/>
      </w:pPr>
      <w:r>
        <w:t>Raw source is immutable. Corrections are recorded separately and change the effective normalized value without deleting original evidence.</w:t>
      </w:r>
    </w:p>
    <w:p>
      <w:pPr>
        <w:pStyle w:val="ListBullet"/>
        <w:spacing w:after="40"/>
      </w:pPr>
      <w:r>
        <w:t>All balances, totals, variance, and report KPIs are derived/system-generated; users never edit a balance directly.</w:t>
      </w:r>
    </w:p>
    <w:p>
      <w:pPr>
        <w:pStyle w:val="ListBullet"/>
        <w:spacing w:after="40"/>
      </w:pPr>
      <w:r>
        <w:t>Housebank and Cashier Cash are separate internal fund accounts. Company → Housebank is funding, while Housebank → Cashier is an internal transfer.</w:t>
      </w:r>
    </w:p>
    <w:p>
      <w:pPr>
        <w:pStyle w:val="ListBullet"/>
        <w:spacing w:after="40"/>
      </w:pPr>
      <w:r>
        <w:t>Food/Beverage sales remain separate from payment methods. Food + Beverage measures category sales; Cash/QRIS/Transfer measures settlement/payment mix.</w:t>
      </w:r>
    </w:p>
    <w:p>
      <w:pPr>
        <w:pStyle w:val="ListBullet"/>
        <w:spacing w:after="40"/>
      </w:pPr>
      <w:r>
        <w:t>Menu prices are versioned by effective date so historical sales do not change when prices are updated.</w:t>
      </w:r>
    </w:p>
    <w:p>
      <w:pPr>
        <w:pStyle w:val="ListBullet"/>
        <w:spacing w:after="40"/>
      </w:pPr>
      <w:r>
        <w:t>Financial deletion uses VOID/reversal semantics. Audit logs are append-only.</w:t>
      </w:r>
    </w:p>
    <w:p>
      <w:pPr>
        <w:pStyle w:val="ListBullet"/>
        <w:spacing w:after="40"/>
      </w:pPr>
      <w:r>
        <w:t>Daily email runs are immutable snapshots with revisions; previously sent reports are not silently rewritten.</w:t>
      </w:r>
    </w:p>
    <w:p>
      <w:pPr>
        <w:pStyle w:val="ListBullet"/>
        <w:spacing w:after="40"/>
      </w:pPr>
      <w:r>
        <w:t>Physical implementation should use CHECK constraints and service-layer validation rather than PostgreSQL ENUMs, improving migration portability between PostgreSQL providers.</w:t>
      </w:r>
    </w:p>
    <w:p>
      <w:pPr>
        <w:pStyle w:val="Heading2"/>
      </w:pPr>
      <w:r>
        <w:t>1.1 Main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Core Tables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Access &amp; RBAC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roles, permissions, role_permissions, users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Application authorization for Owner, Director, Manager, Cashier, Kitchen.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Integration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data_sources, raw_submissions, source_field_mappings, sync_runs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Google Form/Sheet ingestion, idempotency, traceability, retries.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Master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chart_of_accounts, payment_methods, expense_categories, menu_items, menu_price_history, fund_accounts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Controlled master/reference data.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&amp; Sales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cashier_reports, payment_lines, cashier_expense_lines, cash_counts, sales_reports, sales_report_items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Normalized operational sales/cash data.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Finance &amp; Purchase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fund_transactions, purchase_requests/items/actions/receipts, journal_entries/lines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Housebank, operational spending, approval, double-entry-ready accounting.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Inventory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inventory_items, stock_opname_sessions/lines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MVP stock opname and variance.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Reporting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daily_closings, report settings/recipients/runs/deliveries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Completeness, daily KPI snapshot, configurable email.</w:t>
            </w:r>
          </w:p>
        </w:tc>
      </w:tr>
      <w:t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Governance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data_corrections/items, audit_logs, system_settings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Correction history, detailed changes, settings history.</w:t>
            </w:r>
          </w:p>
        </w:tc>
      </w:tr>
    </w:tbl>
    <w:p>
      <w:pPr>
        <w:pStyle w:val="Heading2"/>
      </w:pPr>
      <w:r>
        <w:t>1.2 SRS Refinement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DDEB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The SRS concept “daily_metrics” is intentionally not a manually editable base table in this ERD. Daily dashboard metrics should be produced from SQL views/queries; only closing snapshots and sent-report snapshots are persisted. A regenerable cache may be added later if performance requires it.</w:t>
            </w:r>
          </w:p>
        </w:tc>
      </w:tr>
    </w:tbl>
    <w:p>
      <w:r>
        <w:br w:type="page"/>
      </w:r>
    </w:p>
    <w:p>
      <w:pPr>
        <w:pStyle w:val="Heading1"/>
      </w:pPr>
      <w:r>
        <w:t>2. Cashier, Sales, Menu &amp; Payment ERD</w:t>
      </w:r>
    </w:p>
    <w:p>
      <w:pPr>
        <w:pStyle w:val="Note"/>
      </w:pPr>
      <w:r>
        <w:t>This view shows how wide Google Form rows are normalized into payment, expense, cash-count, and menu-item sales 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9780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opamin_Cafe_Sales_Cashier_v0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978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Finance, Purchase Request &amp; Accounting ERD</w:t>
      </w:r>
    </w:p>
    <w:p>
      <w:pPr>
        <w:pStyle w:val="Note"/>
      </w:pPr>
      <w:r>
        <w:t>This view separates Housebank/Cashier fund movements from revenue and provides a double-entry-ready journal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8218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opamin_Cafe_Finance_Purchase_Accounting_v0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8218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Integration, Access, Reporting &amp; Governance ERD</w:t>
      </w:r>
    </w:p>
    <w:p>
      <w:pPr>
        <w:pStyle w:val="Note"/>
      </w:pPr>
      <w:r>
        <w:t>This view covers raw source ingestion, roles, report scheduling, report revisions, corrections, settings, and append-only audit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60561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opamin_Cafe_Integration_Governance_v0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6056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Inventory &amp; Daily Reporting ERD</w:t>
      </w:r>
    </w:p>
    <w:p>
      <w:pPr>
        <w:pStyle w:val="Note"/>
      </w:pPr>
      <w:r>
        <w:t>Stock opname is intentionally simple in MVP; recipe/BOM is excluded.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8092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opamin_Cafe_Inventory_Reporting_v0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8092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Table Dictionary — Access &amp;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 Fields / Logical Meaning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roles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code: varchar unique; name: varchar; is_active: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permissions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code: varchar unique; name: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role_permissions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PK/FK role_id: → roles; PK/FK permission_id: → permissions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users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role_id: → roles; email: varchar unique; full_name: varchar; is_active: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data_sources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code: CASHIER/KITCHEN/BEVERAGE/OPEX; source_type: FORM/SHEET_IMPORT; spreadsheet_id: varchar; sheet_name: varchar; is_required_daily: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source_field_mappings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data_source_id: → data_sources; source_field_name: varchar; mapping_type: varchar; target_key: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raw_submissions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data_source_id: → data_sources; source_record_key: varchar; submitted_at: timestamptz; business_date_detected: date; payload_hash: varchar; raw_payload: jsonb; processing_status: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sync_runs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data_source_id: → data_sources; trigger_type: varchar; status: varchar; started_at: timestamptz; finished_at: timestamptz</w:t>
            </w:r>
          </w:p>
        </w:tc>
      </w:tr>
    </w:tbl>
    <w:p>
      <w:pPr>
        <w:pStyle w:val="Heading2"/>
      </w:pPr>
      <w:r>
        <w:t>6.1 Integration Constraints</w:t>
      </w:r>
    </w:p>
    <w:p>
      <w:pPr>
        <w:pStyle w:val="ListBullet"/>
        <w:spacing w:after="40"/>
      </w:pPr>
      <w:r>
        <w:t>UNIQUE(data_source_id, source_record_key) on raw_submissions to prevent duplicate ingestion.</w:t>
      </w:r>
    </w:p>
    <w:p>
      <w:pPr>
        <w:pStyle w:val="ListBullet"/>
        <w:spacing w:after="40"/>
      </w:pPr>
      <w:r>
        <w:t>payload_hash is stored to detect changed source content and safe reprocessing.</w:t>
      </w:r>
    </w:p>
    <w:p>
      <w:pPr>
        <w:pStyle w:val="ListBullet"/>
        <w:spacing w:after="40"/>
      </w:pPr>
      <w:r>
        <w:t>raw_payload is JSONB and must never be destructively overwritten by user corrections.</w:t>
      </w:r>
    </w:p>
    <w:p>
      <w:pPr>
        <w:pStyle w:val="ListBullet"/>
        <w:spacing w:after="40"/>
      </w:pPr>
      <w:r>
        <w:t>source_field_mappings allows Google Form column names such as “Pembayaran Cash 2” to map to a normalized target key without hard-coding every report query.</w:t>
      </w:r>
    </w:p>
    <w:p>
      <w:pPr>
        <w:pStyle w:val="ListBullet"/>
        <w:spacing w:after="40"/>
      </w:pPr>
      <w:r>
        <w:t>Beverage source is considered final only after the form contains explicit Business Date / Tanggal Penjualan.</w:t>
      </w:r>
    </w:p>
    <w:p>
      <w:r>
        <w:br w:type="page"/>
      </w:r>
    </w:p>
    <w:p>
      <w:pPr>
        <w:pStyle w:val="Heading1"/>
      </w:pPr>
      <w:r>
        <w:t>7. Table Dictionary — Master, Cashier &amp;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 Fields / Logical Meaning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chart_of_accounts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parent_id: → chart_of_accounts; code: varchar unique; name: varchar; account_type: ASSET/LIABILITY/EQUITY/REVENUE/EXPENSE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payment_methods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settlement_account_id: → chart_of_accounts; code: CASH/QRIS/TRANSFER/...; name: varchar; is_active: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expense_categories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expense_account_id: → chart_of_accounts; code: varchar unique; name: varchar; is_active: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menu_items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revenue_account_id: → chart_of_accounts; code: varchar unique; name: varchar; category: FOOD/BEVERAGE; is_active: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menu_price_history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menu_item_id: → menu_items; FK created_by: → users; price: numeric(18,2); effective_from: date; effective_to: date nullable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fund_accounts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coa_account_id: → chart_of_accounts; code: HOUSEBANK/CASHIER_CASH/...; name: varchar; account_type: varchar; is_active: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cashier_reports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source_submission_id: → raw_submissions unique; FK cashier_user_id: → users nullable; business_date: date; cashier_name_raw: varchar; shift_code: varchar; transaction_type: varchar; opening_closing_status: varchar; petty_cash_amount: numeric; cash_outside_petty_amount: numeric; report_status: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payment_lines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cashier_report_id: → cashier_reports; FK payment_method_id: → payment_methods; amount: numeric(18,2); source_field: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cashier_expense_lines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cashier_report_id: → cashier_reports; FK expense_category_id: → expense_categories nullable; amount: numeric(18,2); staff_name_raw: varchar; description: text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cash_counts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cashier_report_id: → cashier_reports; denomination_amount: numeric(18,2); quantity: int; source_field: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sales_reports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source_submission_id: → raw_submissions unique; FK inputter_user_id: → users nullable; report_type: FOOD/BEVERAGE; business_date: date; inputter_name_raw: varchar; report_status: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sales_report_items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sales_report_id: → sales_reports; FK menu_item_id: → menu_items; FK menu_price_history_id: → menu_price_history nullable; quantity: numeric(18,3); unit_price_snapshot: numeric(18,2); source_field: varchar</w:t>
            </w:r>
          </w:p>
        </w:tc>
      </w:tr>
    </w:tbl>
    <w:p>
      <w:pPr>
        <w:pStyle w:val="Heading2"/>
      </w:pPr>
      <w:r>
        <w:t>7.1 Cashier Normalization Rules</w:t>
      </w:r>
    </w:p>
    <w:p>
      <w:pPr>
        <w:pStyle w:val="ListBullet"/>
        <w:spacing w:after="40"/>
      </w:pPr>
      <w:r>
        <w:t>One Google Form row maps to one cashier_reports row; one business date may contain multiple cashier_reports rows.</w:t>
      </w:r>
    </w:p>
    <w:p>
      <w:pPr>
        <w:pStyle w:val="ListBullet"/>
        <w:spacing w:after="40"/>
      </w:pPr>
      <w:r>
        <w:t>Duplicate branch fields (Cash/Cash 2, QRIS/QRIS 2, etc.) become normalized payment_lines. Empty branch columns do not create rows.</w:t>
      </w:r>
    </w:p>
    <w:p>
      <w:pPr>
        <w:pStyle w:val="ListBullet"/>
        <w:spacing w:after="40"/>
      </w:pPr>
      <w:r>
        <w:t>Expense fields become cashier_expense_lines. Source field name is retained for traceability.</w:t>
      </w:r>
    </w:p>
    <w:p>
      <w:pPr>
        <w:pStyle w:val="ListBullet"/>
        <w:spacing w:after="40"/>
      </w:pPr>
      <w:r>
        <w:t>Cash denominations become cash_counts(denomination_amount, quantity); actual cash is calculated from these lines.</w:t>
      </w:r>
    </w:p>
    <w:p>
      <w:pPr>
        <w:pStyle w:val="ListBullet"/>
        <w:spacing w:after="40"/>
      </w:pPr>
      <w:r>
        <w:t>Cashier expected cash and variance are not stored as editable source fields; they are derived in closing/reconciliation logic.</w:t>
      </w:r>
    </w:p>
    <w:p>
      <w:pPr>
        <w:pStyle w:val="ListBullet"/>
        <w:spacing w:after="40"/>
      </w:pPr>
      <w:r>
        <w:t>Kitchen/Beverage wide columns are unpivoted into sales_report_items. unit_price_snapshot is taken from the price history effective on Business Date.</w:t>
      </w:r>
    </w:p>
    <w:p>
      <w:r>
        <w:br w:type="page"/>
      </w:r>
    </w:p>
    <w:p>
      <w:pPr>
        <w:pStyle w:val="Heading1"/>
      </w:pPr>
      <w:r>
        <w:t>8. Table Dictionary — Finance, Purchase &amp; 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 Fields / Logical Meaning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fund_transactions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source_fund_account_id: → fund_accounts nullable; FK destination_fund_account_id: → fund_accounts nullable; FK expense_category_id: → expense_categories nullable; FK purchase_request_id: → purchase_requests nullable; FK source_submission_id: → raw_submissions nullable; FK created_by: → users; transaction_no: varchar unique; business_date: date; transaction_type: FUNDING/TRANSFER/EXPENSE/...; amount: numeric(18,2); status: POSTED/VOID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purchase_requests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requested_by: → users; FK approved_fund_account_id: → fund_accounts nullable; request_no: varchar unique; request_date: date; purpose: text; estimated_total: numeric(18,2); status: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purchase_request_items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purchase_request_id: → purchase_requests; item_name: varchar; quantity: numeric(18,3); unit: varchar; estimated_unit_cost: numeric(18,2)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purchase_request_actions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purchase_request_id: → purchase_requests; FK actor_user_id: → users; action: SUBMIT/APPROVE/REVISE/REJECT/CLOSE; reason: text; created_at: timestamptz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purchase_receipts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purchase_request_id: → purchase_requests; FK fund_transaction_id: → fund_transactions nullable; FK uploaded_by: → users; storage_provider: varchar; storage_file_id: varchar; file_url: text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journal_entries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created_by: → users; FK reversed_entry_id: → journal_entries nullable; entry_no: varchar unique; business_date: date; source_type: varchar; source_id: uuid logical ref; description: text; status: POSTED/VOID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journal_lines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PK id: uuid; FK journal_entry_id: → journal_entries; FK account_id: → chart_of_accounts; debit: numeric(18,2); credit: numeric(18,2); memo: text</w:t>
            </w:r>
          </w:p>
        </w:tc>
      </w:tr>
    </w:tbl>
    <w:p>
      <w:pPr>
        <w:pStyle w:val="Heading2"/>
      </w:pPr>
      <w:r>
        <w:t>8.1 Fund Transaction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transaction_type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Direction</w:t>
            </w:r>
          </w:p>
        </w:tc>
        <w:tc>
          <w:tcPr>
            <w:tcW w:type="dxa" w:w="6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Accounting Meaning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EXTERNAL_FUNDING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destination = HOUSEBANK; source internal account = NULL</w:t>
            </w:r>
          </w:p>
        </w:tc>
        <w:tc>
          <w:tcPr>
            <w:tcW w:type="dxa" w:w="6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Company cash injected into cafe operational fund; not sales revenue.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INTERNAL_TRANSFER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source + destination internal accounts are both required and different</w:t>
            </w:r>
          </w:p>
        </w:tc>
        <w:tc>
          <w:tcPr>
            <w:tcW w:type="dxa" w:w="6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Example Housebank → Cashier; not revenue and not expense.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EXPENSE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source internal account required; destination NULL; expense category required</w:t>
            </w:r>
          </w:p>
        </w:tc>
        <w:tc>
          <w:tcPr>
            <w:tcW w:type="dxa" w:w="6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Operational cash outflow.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OPENING_BALANCE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destination internal account required</w:t>
            </w:r>
          </w:p>
        </w:tc>
        <w:tc>
          <w:tcPr>
            <w:tcW w:type="dxa" w:w="6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Migration/initialization only; controlled by leadership/admin.</w:t>
            </w:r>
          </w:p>
        </w:tc>
      </w:tr>
      <w:t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ADJUSTMENT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requires reason + audit and elevated permission</w:t>
            </w:r>
          </w:p>
        </w:tc>
        <w:tc>
          <w:tcPr>
            <w:tcW w:type="dxa" w:w="62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Exceptional correction; use sparingly.</w:t>
            </w:r>
          </w:p>
        </w:tc>
      </w:tr>
    </w:tbl>
    <w:p>
      <w:pPr>
        <w:pStyle w:val="Heading2"/>
      </w:pPr>
      <w:r>
        <w:t>8.2 Journal Layer</w:t>
      </w:r>
    </w:p>
    <w:p>
      <w:pPr>
        <w:pStyle w:val="ListBullet"/>
        <w:spacing w:after="40"/>
      </w:pPr>
      <w:r>
        <w:t>journal_entries + journal_lines form the accounting ledger. Each posted entry must balance total debit = total credit.</w:t>
      </w:r>
    </w:p>
    <w:p>
      <w:pPr>
        <w:pStyle w:val="ListBullet"/>
        <w:spacing w:after="40"/>
      </w:pPr>
      <w:r>
        <w:t>source_type + source_id is a logical polymorphic reference to the originating business event. This avoids many nullable source FKs and keeps the journal extensible.</w:t>
      </w:r>
    </w:p>
    <w:p>
      <w:pPr>
        <w:pStyle w:val="ListBullet"/>
        <w:spacing w:after="40"/>
      </w:pPr>
      <w:r>
        <w:t>Sales auto-posting should be enabled only after daily category sales and payment totals pass reconciliation; until Moka integration exists, discrepancies must remain visible rather than forced into a false balanced sale.</w:t>
      </w:r>
    </w:p>
    <w:p>
      <w:pPr>
        <w:pStyle w:val="ListBullet"/>
        <w:spacing w:after="40"/>
      </w:pPr>
      <w:r>
        <w:t>Voiding a posted journal uses reversal/reversed_entry_id; history is preserved.</w:t>
      </w:r>
    </w:p>
    <w:p>
      <w:r>
        <w:br w:type="page"/>
      </w:r>
    </w:p>
    <w:p>
      <w:pPr>
        <w:pStyle w:val="Heading1"/>
      </w:pPr>
      <w:r>
        <w:t>9. Table Dictionary — Inventory, Reporting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 Fields / Logical Meaning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inventory_items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sku: varchar unique nullable; name: varchar; category: KITCHEN/BAR/OTHER; unit: varchar; minimum_stock: numeric nullable; is_active: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stock_opname_sessions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responsible_user_id: → users; FK reviewed_by: → users nullable; business_date: date; category: KITCHEN/BAR/OTHER; status: DRAFT/SUBMITTED/REVIEWED; submitted_at: timestamptz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stock_opname_lines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session_id: → stock_opname_sessions; FK inventory_item_id: → inventory_items; reference_qty: numeric nullable; actual_qty: numeric(18,3); note: text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daily_closings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closed_by: → users nullable; business_date: date unique; status: OPEN/INCOMPLETE/RECONCILED/CLOSED; cashier_complete: bool; kitchen_complete: bool; beverage_complete: bool; payment_total_snapshot: numeric; sales_total_snapshot: numeric; sales_payment_difference: numeric; cash_variance_snapshot: numeric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daily_report_settings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updated_by: → users; enabled: bool; send_time: time; timezone: varchar; incomplete_behavior: SEND_INCOMPLETE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daily_report_recipients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settings_id: → daily_report_settings; email: varchar; recipient_name: varchar; is_enabled: bool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daily_report_runs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daily_closing_id: → daily_closings nullable; FK parent_run_id: → daily_report_runs nullable; FK triggered_by: → users nullable; business_date: date; revision_no: int; trigger_type: SCHEDULED/MANUAL/REVISION; completeness_status: COMPLETE/INCOMPLETE; metrics_snapshot: jsonb; missing_sources: jsonb; status: varchar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daily_report_deliveries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report_run_id: → daily_report_runs; recipient_email: varchar snapshot; delivery_status: varchar; sent_at: timestamptz; error_message: text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data_corrections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created_by: → users; entity_type: varchar; entity_id: uuid logical ref; reason: text; status: ACTIVE/SUPERSEDED; created_at: timestamptz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data_correction_items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correction_id: → data_corrections; field_name: varchar; old_value: jsonb; new_value: jsonb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audit_logs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actor_user_id: → users nullable; action: varchar; entity_type: varchar; entity_id: uuid logical ref; before_data: jsonb; after_data: jsonb; reason: text; source: WEB/SYNC/JOB; created_at: timestamptz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system_settings</w:t>
            </w:r>
          </w:p>
        </w:tc>
        <w:tc>
          <w:tcPr>
            <w:tcW w:type="dxa" w:w="102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PK id: uuid; FK updated_by: → users; setting_key: varchar unique; value_json: jsonb; updated_at: timestamptz</w:t>
            </w:r>
          </w:p>
        </w:tc>
      </w:tr>
    </w:tbl>
    <w:p>
      <w:pPr>
        <w:pStyle w:val="Heading2"/>
      </w:pPr>
      <w:r>
        <w:t>9.1 Report Snapshot Rules</w:t>
      </w:r>
    </w:p>
    <w:p>
      <w:pPr>
        <w:pStyle w:val="ListBullet"/>
        <w:spacing w:after="40"/>
      </w:pPr>
      <w:r>
        <w:t>daily_closings has one row per Business Date and stores system-generated reconciliation/completeness snapshots; snapshot fields are read-only to users.</w:t>
      </w:r>
    </w:p>
    <w:p>
      <w:pPr>
        <w:pStyle w:val="ListBullet"/>
        <w:spacing w:after="40"/>
      </w:pPr>
      <w:r>
        <w:t>daily_report_runs is versioned by (business_date, revision_no). A revised email creates a new run and parent_run_id points to the previous run.</w:t>
      </w:r>
    </w:p>
    <w:p>
      <w:pPr>
        <w:pStyle w:val="ListBullet"/>
        <w:spacing w:after="40"/>
      </w:pPr>
      <w:r>
        <w:t>metrics_snapshot and source snapshot metadata preserve what was sent even if later corrections change effective operational data.</w:t>
      </w:r>
    </w:p>
    <w:p>
      <w:pPr>
        <w:pStyle w:val="ListBullet"/>
        <w:spacing w:after="40"/>
      </w:pPr>
      <w:r>
        <w:t>daily_report_deliveries stores recipient_email as a snapshot so historical delivery remains correct even if settings recipients are later changed.</w:t>
      </w:r>
    </w:p>
    <w:p>
      <w:pPr>
        <w:pStyle w:val="ListBullet"/>
        <w:spacing w:after="40"/>
      </w:pPr>
      <w:r>
        <w:t>data_corrections is the correction action header; data_correction_items captures field-level old/new values. audit_logs separately records the full system action trail.</w:t>
      </w:r>
    </w:p>
    <w:p>
      <w:r>
        <w:br w:type="page"/>
      </w:r>
    </w:p>
    <w:p>
      <w:pPr>
        <w:pStyle w:val="Heading1"/>
      </w:pPr>
      <w:r>
        <w:t>10. Key Cardinalities &amp; Integrity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Relationship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roles → users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Each application user has one active role in MVP.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roles ↔ permissions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Resolved through role_permissions.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data_sources → raw_submissions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One source contains many source rows/submissions.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raw_submissions → cashier_reports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0..1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Only Cashier source rows normalize into a cashier report.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raw_submissions → sales_reports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0..1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Kitchen/Beverage source rows normalize into a sales report.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cashier_reports → payment_lines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One submission can contain multiple payment methods.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cashier_reports → cashier_expense_lines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One submission can contain multiple expense categories.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cashier_reports → cash_counts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Denomination lines for cash closing.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sales_reports → sales_report_items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Wide product columns are unpivoted.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menu_items → menu_price_history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Historical prices are retained.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purchase_requests → purchase_request_actions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Approval/revision/reject history is immutable.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purchase_requests → fund_transactions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 optional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Actual spend may consist of one or multiple transactions.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stock_opname_sessions → stock_opname_lines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One session contains many inventory item counts.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daily_report_settings → recipients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One schedule can send to multiple emails.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daily_report_runs → deliveries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Delivery result is tracked per recipient snapshot.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data_corrections → correction_items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One correction action can change multiple fields.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journal_entries → journal_lines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: N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At least two lines are normally required for balanced double entry.</w:t>
            </w:r>
          </w:p>
        </w:tc>
      </w:tr>
    </w:tbl>
    <w:p>
      <w:pPr>
        <w:pStyle w:val="Heading2"/>
      </w:pPr>
      <w:r>
        <w:t>10.1 Non-Negotiable Constraints</w:t>
      </w:r>
    </w:p>
    <w:p>
      <w:pPr>
        <w:pStyle w:val="ListBullet"/>
        <w:spacing w:after="40"/>
      </w:pPr>
      <w:r>
        <w:t>All monetary amount columns: amount &gt;= 0; direction comes from transaction type/account side, not negative numbers.</w:t>
      </w:r>
    </w:p>
    <w:p>
      <w:pPr>
        <w:pStyle w:val="ListBullet"/>
        <w:spacing w:after="40"/>
      </w:pPr>
      <w:r>
        <w:t>fund_transactions INTERNAL_TRANSFER requires both source and destination, and they cannot be the same account.</w:t>
      </w:r>
    </w:p>
    <w:p>
      <w:pPr>
        <w:pStyle w:val="ListBullet"/>
        <w:spacing w:after="40"/>
      </w:pPr>
      <w:r>
        <w:t>No hard delete for posted financial transactions, journal entries, purchase approval history, report runs, corrections, or audit logs.</w:t>
      </w:r>
    </w:p>
    <w:p>
      <w:pPr>
        <w:pStyle w:val="ListBullet"/>
        <w:spacing w:after="40"/>
      </w:pPr>
      <w:r>
        <w:t>sales_report_items UNIQUE(sales_report_id, menu_item_id).</w:t>
      </w:r>
    </w:p>
    <w:p>
      <w:pPr>
        <w:pStyle w:val="ListBullet"/>
        <w:spacing w:after="40"/>
      </w:pPr>
      <w:r>
        <w:t>cash_counts UNIQUE(cashier_report_id, denomination_amount).</w:t>
      </w:r>
    </w:p>
    <w:p>
      <w:pPr>
        <w:pStyle w:val="ListBullet"/>
        <w:spacing w:after="40"/>
      </w:pPr>
      <w:r>
        <w:t>stock_opname_lines UNIQUE(session_id, inventory_item_id).</w:t>
      </w:r>
    </w:p>
    <w:p>
      <w:pPr>
        <w:pStyle w:val="ListBullet"/>
        <w:spacing w:after="40"/>
      </w:pPr>
      <w:r>
        <w:t>daily_report_runs UNIQUE(business_date, revision_no).</w:t>
      </w:r>
    </w:p>
    <w:p>
      <w:pPr>
        <w:pStyle w:val="ListBullet"/>
        <w:spacing w:after="40"/>
      </w:pPr>
      <w:r>
        <w:t>menu_price_history must not contain overlapping effective periods for the same menu item.</w:t>
      </w:r>
    </w:p>
    <w:p>
      <w:pPr>
        <w:pStyle w:val="ListBullet"/>
        <w:spacing w:after="40"/>
      </w:pPr>
      <w:r>
        <w:t>A normalized Cashier/Sales report must reference exactly one raw source submission; source_submission_id is unique within each normalized report table.</w:t>
      </w:r>
    </w:p>
    <w:p>
      <w:r>
        <w:br w:type="page"/>
      </w:r>
    </w:p>
    <w:p>
      <w:pPr>
        <w:pStyle w:val="Heading1"/>
      </w:pPr>
      <w:r>
        <w:t>11. Recommended Indexes &amp; SQL Views</w:t>
      </w:r>
    </w:p>
    <w:p>
      <w:pPr>
        <w:pStyle w:val="Heading2"/>
      </w:pPr>
      <w:r>
        <w:t>11.1 High-Value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Index / Unique Key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raw_submissions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UNIQUE(data_source_id, source_record_key)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Idempotent ingestion.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raw_submissions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INDEX(processing_status, first_seen_at)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Retry/error queue.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cashier_reports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INDEX(business_date, shift_code, report_status)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Daily cashier filtering.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payment_lines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INDEX(payment_method_id, cashier_report_id)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Payment mix aggregation.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sales_reports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INDEX(business_date, report_type, report_status)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Food/Beverage daily aggregation.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sales_report_items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INDEX(menu_item_id, sales_report_id)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Product trend/top seller.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menu_price_history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INDEX(menu_item_id, effective_from DESC)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Resolve effective price quickly.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fund_transactions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INDEX(business_date, status)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Daily Housebank/operational report.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fund_transactions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INDEX(source_fund_account_id, destination_fund_account_id)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Account balance queries.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stock_opname_sessions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INDEX(business_date, category, status)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Stock report filtering.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audit_logs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INDEX(created_at DESC); INDEX(entity_type, entity_id); INDEX(actor_user_id, created_at DESC)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Fast audit investigation.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daily_report_runs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UNIQUE(business_date, revision_no)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Immutable versioned report.</w:t>
            </w:r>
          </w:p>
        </w:tc>
      </w:tr>
    </w:tbl>
    <w:p>
      <w:pPr>
        <w:pStyle w:val="Heading2"/>
      </w:pPr>
      <w:r>
        <w:t>11.2 Recommended Views (Not Source-of-Truth Tables)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vw_daily_sales_summary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Food, Beverage, quantity, revenue by Business Date.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vw_daily_payment_summary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Cash, QRIS, Transfer, Card, DP, Receivable, Promotion totals.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vw_daily_cashier_expenses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outflow by category and staff.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vw_housebank_ledger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Housebank inflow/outflow and running balance.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vw_cashier_cash_reconciliation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Expected cash, denomination actual cash, variance.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vw_daily_completeness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Cashier/Kitchen/Beverage availability for report status.</w:t>
            </w:r>
          </w:p>
        </w:tc>
      </w:tr>
      <w:tr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vw_daily_management_report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Unified query consumed by dashboard/email report generation.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If dashboard volume later grows, these views may be backed by a materialized/cache table. That cache remains regenerable and never becomes a manually editable financial source of truth.</w:t>
            </w:r>
          </w:p>
        </w:tc>
      </w:tr>
    </w:tbl>
    <w:p>
      <w:r>
        <w:br w:type="page"/>
      </w:r>
    </w:p>
    <w:p>
      <w:pPr>
        <w:pStyle w:val="Heading1"/>
      </w:pPr>
      <w:r>
        <w:t>12. Existing Spreadsheet → ERD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Existing Source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Primary ERD Target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Important Mapping Rule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 Report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raw_submissions → cashier_reports → payment_lines / cashier_expense_lines / cash_counts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Tanggal Pelaporan = Business Date; branch payment fields are normalized; helper text is ignored/flagged.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Daily Sales Kitchen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raw_submissions → sales_reports(FOOD) → sales_report_items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Tanggal penjualan = Business Date; menu columns are unpivoted; price resolved by date.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Daily Sales Beverage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raw_submissions → sales_reports(BEVERAGE) → sales_report_items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Add Tanggal Penjualan before production; Barista maps to inputter.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OPEX Report</w:t>
            </w:r>
          </w:p>
        </w:tc>
        <w:tc>
          <w:tcPr>
            <w:tcW w:type="dxa" w:w="45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raw_submissions (historical import) → fund_transactions</w:t>
            </w:r>
          </w:p>
        </w:tc>
        <w:tc>
          <w:tcPr>
            <w:tcW w:type="dxa" w:w="56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Debit company funding → Housebank inflow; Kredit → operational outflow; spreadsheet Balance is validation only, not imported as editable balance.</w:t>
            </w:r>
          </w:p>
        </w:tc>
      </w:tr>
    </w:tbl>
    <w:p>
      <w:pPr>
        <w:pStyle w:val="Heading2"/>
      </w:pPr>
      <w:r>
        <w:t>12.1 Example: Incorrect Cash Input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7365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Behavior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raw_submissions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Original Google Form payload contains Cash = Rp400,000,000. Raw row stays unchanged.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cashier_reports/payment_lines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Normalized CASH line initially has effective amount Rp400,000,000 and is flagged NEEDS_REVIEW.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data_corrections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Manager/authorized user submits reason “salah input dua angka nol”.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data_correction_items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old_value = 400,000,000; new_value = 4,000,000.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payment_lines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Effective normalized value becomes Rp4,000,000 inside one DB transaction.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audit_logs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Records actor, field, before/after, reason, timestamp, source=WEB.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daily_closings / report views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Totals and variance are recalculated automatically; balance itself was never directly edited.</w:t>
            </w:r>
          </w:p>
        </w:tc>
      </w:tr>
      <w:t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396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APP_CORRECTIONS Sheet (integration behavior)</w:t>
            </w:r>
          </w:p>
        </w:tc>
        <w:tc>
          <w:tcPr>
            <w:tcW w:type="dxa" w:w="79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8FAFC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Correction can be mirrored to a dedicated correction sheet; original Form Responses row remains intact.</w:t>
            </w:r>
          </w:p>
        </w:tc>
      </w:tr>
    </w:tbl>
    <w:p>
      <w:r>
        <w:br w:type="page"/>
      </w:r>
    </w:p>
    <w:p>
      <w:pPr>
        <w:pStyle w:val="Heading1"/>
      </w:pPr>
      <w:r>
        <w:t>13. ERD Baseline Decisions to Carry into Physical Schema</w:t>
      </w:r>
    </w:p>
    <w:p>
      <w:pPr>
        <w:pStyle w:val="ListBullet"/>
        <w:spacing w:after="40"/>
      </w:pPr>
      <w:r>
        <w:t>Use UUID PKs. For audit_logs, UUID is acceptable; BIGINT may be used later only if performance justifies it.</w:t>
      </w:r>
    </w:p>
    <w:p>
      <w:pPr>
        <w:pStyle w:val="ListBullet"/>
        <w:spacing w:after="40"/>
      </w:pPr>
      <w:r>
        <w:t>Use NUMERIC(18,2) for IDR money and NUMERIC(18,3) for stock/quantity to support non-integer inventory units.</w:t>
      </w:r>
    </w:p>
    <w:p>
      <w:pPr>
        <w:pStyle w:val="ListBullet"/>
        <w:spacing w:after="40"/>
      </w:pPr>
      <w:r>
        <w:t>Use timestamptz for event times and date for Business Date.</w:t>
      </w:r>
    </w:p>
    <w:p>
      <w:pPr>
        <w:pStyle w:val="ListBullet"/>
        <w:spacing w:after="40"/>
      </w:pPr>
      <w:r>
        <w:t>Use JSONB only for raw payload, snapshots, flexible setting value, and before/after audit/correction data; core financial relationships remain relational columns/FKs.</w:t>
      </w:r>
    </w:p>
    <w:p>
      <w:pPr>
        <w:pStyle w:val="ListBullet"/>
        <w:spacing w:after="40"/>
      </w:pPr>
      <w:r>
        <w:t>Use ON DELETE RESTRICT for transactional FK relationships. Master records are deactivated rather than deleted when already referenced.</w:t>
      </w:r>
    </w:p>
    <w:p>
      <w:pPr>
        <w:pStyle w:val="ListBullet"/>
        <w:spacing w:after="40"/>
      </w:pPr>
      <w:r>
        <w:t>Use database transactions for every correction/void/approval/fund movement that writes more than one table.</w:t>
      </w:r>
    </w:p>
    <w:p>
      <w:pPr>
        <w:pStyle w:val="ListBullet"/>
        <w:spacing w:after="40"/>
      </w:pPr>
      <w:r>
        <w:t>Audit creation must occur in the same transaction as the business mutation wherever practical.</w:t>
      </w:r>
    </w:p>
    <w:p>
      <w:pPr>
        <w:pStyle w:val="ListBullet"/>
        <w:spacing w:after="40"/>
      </w:pPr>
      <w:r>
        <w:t>PostgreSQL schema must not rely on Neon-only functions so migration to another PostgreSQL provider remains feasible.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DDEBF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Next design artifact after this ERD: Physical Database Schema/DDL + seed master data, then Permission Matrix and screen-by-screen specification.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v0.1 • Logical ERD Baseline • PostgreSQL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ERD &amp; Data Model Specification — Dopamin Cafe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ptos" w:hAnsi="Aptos"/>
      <w:color w:val="5A5A5A"/>
      <w:sz w:val="15"/>
    </w:rPr>
  </w:style>
  <w:style w:type="paragraph" w:customStyle="1" w:styleId="Note">
    <w:name w:val="Note"/>
    <w:pPr>
      <w:spacing w:after="60"/>
    </w:pPr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