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00"/>
        <w:jc w:val="center"/>
      </w:pPr>
      <w:r>
        <w:rPr>
          <w:b/>
          <w:color w:val="0A432C"/>
          <w:sz w:val="60"/>
        </w:rPr>
        <w:t>PHYSICAL DATABASE</w:t>
        <w:br/>
        <w:t>SPECIFICATION</w:t>
      </w:r>
    </w:p>
    <w:p>
      <w:pPr>
        <w:jc w:val="center"/>
      </w:pPr>
      <w:r>
        <w:rPr>
          <w:b/>
          <w:color w:val="0F623E"/>
          <w:sz w:val="34"/>
        </w:rPr>
        <w:t>Dopamin Cafe Accounting &amp; Inventory System</w:t>
      </w:r>
    </w:p>
    <w:p>
      <w:pPr>
        <w:jc w:val="center"/>
      </w:pPr>
      <w:r>
        <w:rPr>
          <w:i/>
        </w:rPr>
        <w:t>PostgreSQL DDL • Drizzle ORM • Constraints • Indexes • Views • Seed Data • PWA Persistence Policy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3168"/>
            <w:shd w:fill="0F623E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Document</w:t>
            </w:r>
          </w:p>
        </w:tc>
        <w:tc>
          <w:tcPr>
            <w:tcW w:type="dxa" w:w="6336"/>
            <w:shd w:fill="0F623E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3168"/>
            <w:vAlign w:val="center"/>
            <w:shd w:fill="F5F2E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Document ID</w:t>
            </w:r>
          </w:p>
        </w:tc>
        <w:tc>
          <w:tcPr>
            <w:tcW w:type="dxa" w:w="6336"/>
            <w:vAlign w:val="center"/>
            <w:shd w:fill="F5F2E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PDB-DOPAMIN-ACCINV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Version</w:t>
            </w:r>
          </w:p>
        </w:tc>
        <w:tc>
          <w:tcPr>
            <w:tcW w:type="dxa" w:w="633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0.2 — Implementation Baseline</w:t>
            </w:r>
          </w:p>
        </w:tc>
      </w:tr>
      <w:tr>
        <w:tc>
          <w:tcPr>
            <w:tcW w:type="dxa" w:w="3168"/>
            <w:vAlign w:val="center"/>
            <w:shd w:fill="F5F2E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Parent Documents</w:t>
            </w:r>
          </w:p>
        </w:tc>
        <w:tc>
          <w:tcPr>
            <w:tcW w:type="dxa" w:w="6336"/>
            <w:vAlign w:val="center"/>
            <w:shd w:fill="F5F2E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SRS v0.1 • ERD v0.1 • SDD v0.1 • UI/UX v0.1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Target Database</w:t>
            </w:r>
          </w:p>
        </w:tc>
        <w:tc>
          <w:tcPr>
            <w:tcW w:type="dxa" w:w="633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PostgreSQL, provider-portable core</w:t>
            </w:r>
          </w:p>
        </w:tc>
      </w:tr>
      <w:tr>
        <w:tc>
          <w:tcPr>
            <w:tcW w:type="dxa" w:w="3168"/>
            <w:vAlign w:val="center"/>
            <w:shd w:fill="F5F2E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ORM</w:t>
            </w:r>
          </w:p>
        </w:tc>
        <w:tc>
          <w:tcPr>
            <w:tcW w:type="dxa" w:w="6336"/>
            <w:vAlign w:val="center"/>
            <w:shd w:fill="F5F2E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Drizzle ORM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Business Timezone</w:t>
            </w:r>
          </w:p>
        </w:tc>
        <w:tc>
          <w:tcPr>
            <w:tcW w:type="dxa" w:w="633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Asia/Jakarta</w:t>
            </w:r>
          </w:p>
        </w:tc>
      </w:tr>
      <w:tr>
        <w:tc>
          <w:tcPr>
            <w:tcW w:type="dxa" w:w="3168"/>
            <w:vAlign w:val="center"/>
            <w:shd w:fill="F5F2E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Operating Hours</w:t>
            </w:r>
          </w:p>
        </w:tc>
        <w:tc>
          <w:tcPr>
            <w:tcW w:type="dxa" w:w="6336"/>
            <w:vAlign w:val="center"/>
            <w:shd w:fill="F5F2E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10:00–21:30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PWA</w:t>
            </w:r>
          </w:p>
        </w:tc>
        <w:tc>
          <w:tcPr>
            <w:tcW w:type="dxa" w:w="633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Included in MVP; financial offline mutations disabled</w:t>
            </w:r>
          </w:p>
        </w:tc>
      </w:tr>
      <w:tr>
        <w:tc>
          <w:tcPr>
            <w:tcW w:type="dxa" w:w="3168"/>
            <w:vAlign w:val="center"/>
            <w:shd w:fill="F5F2E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Status</w:t>
            </w:r>
          </w:p>
        </w:tc>
        <w:tc>
          <w:tcPr>
            <w:tcW w:type="dxa" w:w="6336"/>
            <w:vAlign w:val="center"/>
            <w:shd w:fill="F5F2E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Ready for migration/API implementation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EF4E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Authority rule: SRS governs business behavior; ERD governs logical entities; SDD governs technical behavior; this document makes those designs executable and explicitly records v0.2 refinements where the source documents require implementation detail.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1. Scope and Physical Design Principles</w:t>
      </w:r>
    </w:p>
    <w:p>
      <w:pPr>
        <w:pStyle w:val="ListBullet"/>
        <w:spacing w:after="40"/>
      </w:pPr>
      <w:r>
        <w:t>Google Sheets remains raw operational evidence; PostgreSQL is the normalized application database.</w:t>
      </w:r>
    </w:p>
    <w:p>
      <w:pPr>
        <w:pStyle w:val="ListBullet"/>
        <w:spacing w:after="40"/>
      </w:pPr>
      <w:r>
        <w:t>UUID primary keys, NUMERIC(18,2) for IDR money, NUMERIC(18,3) for quantity/stock, DATE for Business Date, and TIMESTAMPTZ for events.</w:t>
      </w:r>
    </w:p>
    <w:p>
      <w:pPr>
        <w:pStyle w:val="ListBullet"/>
        <w:spacing w:after="40"/>
      </w:pPr>
      <w:r>
        <w:t>Derived totals, balances, variances, and dashboard KPIs remain query/service outputs rather than manually editable source fields.</w:t>
      </w:r>
    </w:p>
    <w:p>
      <w:pPr>
        <w:pStyle w:val="ListBullet"/>
        <w:spacing w:after="40"/>
      </w:pPr>
      <w:r>
        <w:t>Posted finance/accounting records use VOID/reversal semantics. Audit and report snapshots are append-only at application level.</w:t>
      </w:r>
    </w:p>
    <w:p>
      <w:pPr>
        <w:pStyle w:val="ListBullet"/>
        <w:spacing w:after="40"/>
      </w:pPr>
      <w:r>
        <w:t>All transactional foreign keys use ON DELETE RESTRICT. Master data is deactivated rather than deleted after use.</w:t>
      </w:r>
    </w:p>
    <w:p>
      <w:pPr>
        <w:pStyle w:val="ListBullet"/>
        <w:spacing w:after="40"/>
      </w:pPr>
      <w:r>
        <w:t>JSONB is limited to raw payloads, snapshots, flexible settings, and before/after correction/audit data.</w:t>
      </w:r>
    </w:p>
    <w:p>
      <w:pPr>
        <w:pStyle w:val="ListBullet"/>
        <w:spacing w:after="40"/>
      </w:pPr>
      <w:r>
        <w:t>PWA caching is restricted to static assets and generic offline UI; API responses and authenticated financial pages are not persistent offline caches.</w:t>
      </w:r>
    </w:p>
    <w:p>
      <w:pPr>
        <w:pStyle w:val="Heading2"/>
      </w:pPr>
      <w:r>
        <w:t>1.1 v0.2 Refinements Required by the Design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2088"/>
            <w:shd w:fill="0F623E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Refinement</w:t>
            </w:r>
          </w:p>
        </w:tc>
        <w:tc>
          <w:tcPr>
            <w:tcW w:type="dxa" w:w="3384"/>
            <w:shd w:fill="0F623E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Physical Decision</w:t>
            </w:r>
          </w:p>
        </w:tc>
        <w:tc>
          <w:tcPr>
            <w:tcW w:type="dxa" w:w="4248"/>
            <w:shd w:fill="0F623E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Reason</w:t>
            </w:r>
          </w:p>
        </w:tc>
      </w:tr>
      <w:tr>
        <w:tc>
          <w:tcPr>
            <w:tcW w:type="dxa" w:w="2088"/>
            <w:vAlign w:val="center"/>
            <w:shd w:fill="F5F2E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Raw submission versioning</w:t>
            </w:r>
          </w:p>
        </w:tc>
        <w:tc>
          <w:tcPr>
            <w:tcW w:type="dxa" w:w="3384"/>
            <w:vAlign w:val="center"/>
            <w:shd w:fill="F5F2E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`raw_submissions` stores source_revision and supersedes_submission_id; unique by source+row+revision and source+row+payload_hash.</w:t>
            </w:r>
          </w:p>
        </w:tc>
        <w:tc>
          <w:tcPr>
            <w:tcW w:type="dxa" w:w="4248"/>
            <w:vAlign w:val="center"/>
            <w:shd w:fill="F5F2E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SDD requires same row + different hash to become a new immutable raw revision, while ERD v0.1 only listed source+row uniqueness.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Persistent data-quality queue</w:t>
            </w:r>
          </w:p>
        </w:tc>
        <w:tc>
          <w:tcPr>
            <w:tcW w:type="dxa" w:w="3384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Add `data_issues`.</w:t>
            </w:r>
          </w:p>
        </w:tc>
        <w:tc>
          <w:tcPr>
            <w:tcW w:type="dxa" w:w="424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SDD/UI require Data Issues with severity, source trace, resolution state, and direct review action.</w:t>
            </w:r>
          </w:p>
        </w:tc>
      </w:tr>
      <w:tr>
        <w:tc>
          <w:tcPr>
            <w:tcW w:type="dxa" w:w="2088"/>
            <w:vAlign w:val="center"/>
            <w:shd w:fill="F5F2E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Account subtype</w:t>
            </w:r>
          </w:p>
        </w:tc>
        <w:tc>
          <w:tcPr>
            <w:tcW w:type="dxa" w:w="3384"/>
            <w:vAlign w:val="center"/>
            <w:shd w:fill="F5F2E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Add `chart_of_accounts.account_subtype`.</w:t>
            </w:r>
          </w:p>
        </w:tc>
        <w:tc>
          <w:tcPr>
            <w:tcW w:type="dxa" w:w="4248"/>
            <w:vAlign w:val="center"/>
            <w:shd w:fill="F5F2E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ERD account_type is limited to five accounting classes while SDD Appendix B uses logical Clearing classifications.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Finance detail fields</w:t>
            </w:r>
          </w:p>
        </w:tc>
        <w:tc>
          <w:tcPr>
            <w:tcW w:type="dxa" w:w="3384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Add description, counterparty_name, reference_no, receipt_reference and created_at to fund_transactions.</w:t>
            </w:r>
          </w:p>
        </w:tc>
        <w:tc>
          <w:tcPr>
            <w:tcW w:type="dxa" w:w="424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SRS finance expense traceability requires description/staff/vendor/receipt detail.</w:t>
            </w:r>
          </w:p>
        </w:tc>
      </w:tr>
      <w:tr>
        <w:tc>
          <w:tcPr>
            <w:tcW w:type="dxa" w:w="2088"/>
            <w:vAlign w:val="center"/>
            <w:shd w:fill="F5F2E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Audit metadata</w:t>
            </w:r>
          </w:p>
        </w:tc>
        <w:tc>
          <w:tcPr>
            <w:tcW w:type="dxa" w:w="3384"/>
            <w:vAlign w:val="center"/>
            <w:shd w:fill="F5F2E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Add actor_role, module and correlation_id.</w:t>
            </w:r>
          </w:p>
        </w:tc>
        <w:tc>
          <w:tcPr>
            <w:tcW w:type="dxa" w:w="4248"/>
            <w:vAlign w:val="center"/>
            <w:shd w:fill="F5F2E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SDD audit_event structure explicitly includes these fields.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Report generation time</w:t>
            </w:r>
          </w:p>
        </w:tc>
        <w:tc>
          <w:tcPr>
            <w:tcW w:type="dxa" w:w="3384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Add generated_at to daily_report_runs.</w:t>
            </w:r>
          </w:p>
        </w:tc>
        <w:tc>
          <w:tcPr>
            <w:tcW w:type="dxa" w:w="424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SRS requires generation timestamp for each immutable report run.</w:t>
            </w:r>
          </w:p>
        </w:tc>
      </w:tr>
      <w:tr>
        <w:tc>
          <w:tcPr>
            <w:tcW w:type="dxa" w:w="2088"/>
            <w:vAlign w:val="center"/>
            <w:shd w:fill="F5F2E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PWA database impact</w:t>
            </w:r>
          </w:p>
        </w:tc>
        <w:tc>
          <w:tcPr>
            <w:tcW w:type="dxa" w:w="3384"/>
            <w:vAlign w:val="center"/>
            <w:shd w:fill="F5F2E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No offline queue table.</w:t>
            </w:r>
          </w:p>
        </w:tc>
        <w:tc>
          <w:tcPr>
            <w:tcW w:type="dxa" w:w="4248"/>
            <w:vAlign w:val="center"/>
            <w:shd w:fill="F5F2E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Financial writes must stay online to preserve atomic transaction + journal + audit semantics.</w:t>
            </w:r>
          </w:p>
        </w:tc>
      </w:tr>
    </w:tbl>
    <w:p>
      <w:pPr>
        <w:spacing w:after="0"/>
      </w:pPr>
    </w:p>
    <w:p>
      <w:pPr>
        <w:pStyle w:val="Heading2"/>
      </w:pPr>
      <w:r>
        <w:t>1.2 Explicit Items Not Finalized by Source Documents</w:t>
      </w:r>
    </w:p>
    <w:p>
      <w:pPr>
        <w:pStyle w:val="ListBullet"/>
        <w:spacing w:after="40"/>
      </w:pPr>
      <w:r>
        <w:t>Exact cashier expected-closing-cash and petty-cash formula. SDD explicitly defers final treatment to current-form validation/UAT.</w:t>
      </w:r>
    </w:p>
    <w:p>
      <w:pPr>
        <w:pStyle w:val="ListBullet"/>
        <w:spacing w:after="40"/>
      </w:pPr>
      <w:r>
        <w:t>Final accounting classification of Company Funding / Intercompany. SDD Appendix B marks Equity/Liability classification as TBD.</w:t>
      </w:r>
    </w:p>
    <w:p>
      <w:pPr>
        <w:pStyle w:val="ListBullet"/>
        <w:spacing w:after="40"/>
      </w:pPr>
      <w:r>
        <w:t>Actual cafe menu master, price values, inventory master, and operational expense categories.</w:t>
      </w:r>
    </w:p>
    <w:p>
      <w:pPr>
        <w:pStyle w:val="ListBullet"/>
        <w:spacing w:after="40"/>
      </w:pPr>
      <w:r>
        <w:t>Google spreadsheet IDs, sheet names, detailed source-field mappings, production Owner/Director emails, daily report send time, and recipients.</w:t>
      </w:r>
    </w:p>
    <w:p>
      <w:pPr>
        <w:pStyle w:val="Heading1"/>
      </w:pPr>
      <w:r>
        <w:t>2. Physical Schema by Domain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1656"/>
            <w:shd w:fill="0F623E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Domain</w:t>
            </w:r>
          </w:p>
        </w:tc>
        <w:tc>
          <w:tcPr>
            <w:tcW w:type="dxa" w:w="3888"/>
            <w:shd w:fill="0F623E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Tables</w:t>
            </w:r>
          </w:p>
        </w:tc>
        <w:tc>
          <w:tcPr>
            <w:tcW w:type="dxa" w:w="4392"/>
            <w:shd w:fill="0F623E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Primary Physical Purpose</w:t>
            </w:r>
          </w:p>
        </w:tc>
      </w:tr>
      <w:tr>
        <w:tc>
          <w:tcPr>
            <w:tcW w:type="dxa" w:w="1656"/>
            <w:vAlign w:val="center"/>
            <w:shd w:fill="F5F2E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Access &amp; RBAC</w:t>
            </w:r>
          </w:p>
        </w:tc>
        <w:tc>
          <w:tcPr>
            <w:tcW w:type="dxa" w:w="3888"/>
            <w:vAlign w:val="center"/>
            <w:shd w:fill="F5F2E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roles, permissions, role_permissions, users</w:t>
            </w:r>
          </w:p>
        </w:tc>
        <w:tc>
          <w:tcPr>
            <w:tcW w:type="dxa" w:w="4392"/>
            <w:vAlign w:val="center"/>
            <w:shd w:fill="F5F2E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Authenticated application identity and server-side permission baseline.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Integration</w:t>
            </w:r>
          </w:p>
        </w:tc>
        <w:tc>
          <w:tcPr>
            <w:tcW w:type="dxa" w:w="388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data_sources, source_field_mappings, raw_submissions, sync_runs, data_issues</w:t>
            </w:r>
          </w:p>
        </w:tc>
        <w:tc>
          <w:tcPr>
            <w:tcW w:type="dxa" w:w="439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Signed/idempotent Google ingestion, immutable raw revisions, retries and review queue.</w:t>
            </w:r>
          </w:p>
        </w:tc>
      </w:tr>
      <w:tr>
        <w:tc>
          <w:tcPr>
            <w:tcW w:type="dxa" w:w="1656"/>
            <w:vAlign w:val="center"/>
            <w:shd w:fill="F5F2E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Master</w:t>
            </w:r>
          </w:p>
        </w:tc>
        <w:tc>
          <w:tcPr>
            <w:tcW w:type="dxa" w:w="3888"/>
            <w:vAlign w:val="center"/>
            <w:shd w:fill="F5F2E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chart_of_accounts, payment_methods, expense_categories, menu_items, menu_price_history, fund_accounts</w:t>
            </w:r>
          </w:p>
        </w:tc>
        <w:tc>
          <w:tcPr>
            <w:tcW w:type="dxa" w:w="4392"/>
            <w:vAlign w:val="center"/>
            <w:shd w:fill="F5F2E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Controlled accounting, payment, menu, price and fund references.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Cashier &amp; Sales</w:t>
            </w:r>
          </w:p>
        </w:tc>
        <w:tc>
          <w:tcPr>
            <w:tcW w:type="dxa" w:w="388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cashier_reports, payment_lines, cashier_expense_lines, cash_counts, sales_reports, sales_report_items</w:t>
            </w:r>
          </w:p>
        </w:tc>
        <w:tc>
          <w:tcPr>
            <w:tcW w:type="dxa" w:w="439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Normalized wide-form data and effective price snapshots.</w:t>
            </w:r>
          </w:p>
        </w:tc>
      </w:tr>
      <w:tr>
        <w:tc>
          <w:tcPr>
            <w:tcW w:type="dxa" w:w="1656"/>
            <w:vAlign w:val="center"/>
            <w:shd w:fill="F5F2E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Finance &amp; Purchase</w:t>
            </w:r>
          </w:p>
        </w:tc>
        <w:tc>
          <w:tcPr>
            <w:tcW w:type="dxa" w:w="3888"/>
            <w:vAlign w:val="center"/>
            <w:shd w:fill="F5F2E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purchase_requests/items/actions/receipts, fund_transactions, journal_entries/lines</w:t>
            </w:r>
          </w:p>
        </w:tc>
        <w:tc>
          <w:tcPr>
            <w:tcW w:type="dxa" w:w="4392"/>
            <w:vAlign w:val="center"/>
            <w:shd w:fill="F5F2E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Housebank/Cashier fund movement, PR lifecycle and balanced accounting layer.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Inventory</w:t>
            </w:r>
          </w:p>
        </w:tc>
        <w:tc>
          <w:tcPr>
            <w:tcW w:type="dxa" w:w="388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inventory_items, stock_opname_sessions, stock_opname_lines</w:t>
            </w:r>
          </w:p>
        </w:tc>
        <w:tc>
          <w:tcPr>
            <w:tcW w:type="dxa" w:w="439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MVP actual-count stock opname and variance input.</w:t>
            </w:r>
          </w:p>
        </w:tc>
      </w:tr>
      <w:tr>
        <w:tc>
          <w:tcPr>
            <w:tcW w:type="dxa" w:w="1656"/>
            <w:vAlign w:val="center"/>
            <w:shd w:fill="F5F2E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Reporting</w:t>
            </w:r>
          </w:p>
        </w:tc>
        <w:tc>
          <w:tcPr>
            <w:tcW w:type="dxa" w:w="3888"/>
            <w:vAlign w:val="center"/>
            <w:shd w:fill="F5F2E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daily_closings, daily_report_settings/recipients/runs/deliveries</w:t>
            </w:r>
          </w:p>
        </w:tc>
        <w:tc>
          <w:tcPr>
            <w:tcW w:type="dxa" w:w="4392"/>
            <w:vAlign w:val="center"/>
            <w:shd w:fill="F5F2E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Completeness state and immutable email/report snapshots.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Governance</w:t>
            </w:r>
          </w:p>
        </w:tc>
        <w:tc>
          <w:tcPr>
            <w:tcW w:type="dxa" w:w="388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data_corrections/items, audit_logs, system_settings</w:t>
            </w:r>
          </w:p>
        </w:tc>
        <w:tc>
          <w:tcPr>
            <w:tcW w:type="dxa" w:w="439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Audited effective-value changes and system configuration.</w:t>
            </w:r>
          </w:p>
        </w:tc>
      </w:tr>
    </w:tbl>
    <w:p>
      <w:pPr>
        <w:spacing w:after="0"/>
      </w:pPr>
    </w:p>
    <w:p>
      <w:pPr>
        <w:pStyle w:val="Heading2"/>
      </w:pPr>
      <w:r>
        <w:t>2.1 Access &amp; Integration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2880"/>
            <w:shd w:fill="0F623E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Table</w:t>
            </w:r>
          </w:p>
        </w:tc>
        <w:tc>
          <w:tcPr>
            <w:tcW w:type="dxa" w:w="6912"/>
            <w:shd w:fill="0F623E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Key Physical Constraints</w:t>
            </w:r>
          </w:p>
        </w:tc>
      </w:tr>
      <w:tr>
        <w:tc>
          <w:tcPr>
            <w:tcW w:type="dxa" w:w="2880"/>
            <w:vAlign w:val="center"/>
            <w:shd w:fill="F5F2E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roles</w:t>
            </w:r>
          </w:p>
        </w:tc>
        <w:tc>
          <w:tcPr>
            <w:tcW w:type="dxa" w:w="6912"/>
            <w:vAlign w:val="center"/>
            <w:shd w:fill="F5F2E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code UNIQUE; is_active default true.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permissions</w:t>
            </w:r>
          </w:p>
        </w:tc>
        <w:tc>
          <w:tcPr>
            <w:tcW w:type="dxa" w:w="691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code UNIQUE.</w:t>
            </w:r>
          </w:p>
        </w:tc>
      </w:tr>
      <w:tr>
        <w:tc>
          <w:tcPr>
            <w:tcW w:type="dxa" w:w="2880"/>
            <w:vAlign w:val="center"/>
            <w:shd w:fill="F5F2E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role_permissions</w:t>
            </w:r>
          </w:p>
        </w:tc>
        <w:tc>
          <w:tcPr>
            <w:tcW w:type="dxa" w:w="6912"/>
            <w:vAlign w:val="center"/>
            <w:shd w:fill="F5F2E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composite PK(role_id, permission_id).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users</w:t>
            </w:r>
          </w:p>
        </w:tc>
        <w:tc>
          <w:tcPr>
            <w:tcW w:type="dxa" w:w="691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email UNIQUE; one required role_id; is_active default true.</w:t>
            </w:r>
          </w:p>
        </w:tc>
      </w:tr>
      <w:tr>
        <w:tc>
          <w:tcPr>
            <w:tcW w:type="dxa" w:w="2880"/>
            <w:vAlign w:val="center"/>
            <w:shd w:fill="F5F2E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data_sources</w:t>
            </w:r>
          </w:p>
        </w:tc>
        <w:tc>
          <w:tcPr>
            <w:tcW w:type="dxa" w:w="6912"/>
            <w:vAlign w:val="center"/>
            <w:shd w:fill="F5F2E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source_type CHECK FORM/SHEET_IMPORT; code UNIQUE; required-daily and active flags.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source_field_mappings</w:t>
            </w:r>
          </w:p>
        </w:tc>
        <w:tc>
          <w:tcPr>
            <w:tcW w:type="dxa" w:w="691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UNIQUE(source, field, mapping_version); mapping version retained.</w:t>
            </w:r>
          </w:p>
        </w:tc>
      </w:tr>
      <w:tr>
        <w:tc>
          <w:tcPr>
            <w:tcW w:type="dxa" w:w="2880"/>
            <w:vAlign w:val="center"/>
            <w:shd w:fill="F5F2E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raw_submissions</w:t>
            </w:r>
          </w:p>
        </w:tc>
        <w:tc>
          <w:tcPr>
            <w:tcW w:type="dxa" w:w="6912"/>
            <w:vAlign w:val="center"/>
            <w:shd w:fill="F5F2E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immutable JSONB payload; source revision &gt;=1; source+row+revision UNIQUE; source+row+hash UNIQUE; status controlled.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sync_runs</w:t>
            </w:r>
          </w:p>
        </w:tc>
        <w:tc>
          <w:tcPr>
            <w:tcW w:type="dxa" w:w="691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trigger WEBHOOK/REPLAY/RECONCILIATION/MANUAL; status RUNNING/SUCCESS/PARTIAL/FAILED.</w:t>
            </w:r>
          </w:p>
        </w:tc>
      </w:tr>
      <w:tr>
        <w:tc>
          <w:tcPr>
            <w:tcW w:type="dxa" w:w="2880"/>
            <w:vAlign w:val="center"/>
            <w:shd w:fill="F5F2E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data_issues</w:t>
            </w:r>
          </w:p>
        </w:tc>
        <w:tc>
          <w:tcPr>
            <w:tcW w:type="dxa" w:w="6912"/>
            <w:vAlign w:val="center"/>
            <w:shd w:fill="F5F2E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severity INFO/WARNING/CRITICAL; status OPEN/RESOLVED/IGNORED; optional source submission link.</w:t>
            </w:r>
          </w:p>
        </w:tc>
      </w:tr>
    </w:tbl>
    <w:p>
      <w:pPr>
        <w:spacing w:after="0"/>
      </w:pPr>
    </w:p>
    <w:p>
      <w:pPr>
        <w:pStyle w:val="Heading2"/>
      </w:pPr>
      <w:r>
        <w:t>2.2 Master, Cashier &amp; Sales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2880"/>
            <w:shd w:fill="0F623E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Table</w:t>
            </w:r>
          </w:p>
        </w:tc>
        <w:tc>
          <w:tcPr>
            <w:tcW w:type="dxa" w:w="6912"/>
            <w:shd w:fill="0F623E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Key Physical Constraints</w:t>
            </w:r>
          </w:p>
        </w:tc>
      </w:tr>
      <w:tr>
        <w:tc>
          <w:tcPr>
            <w:tcW w:type="dxa" w:w="2880"/>
            <w:vAlign w:val="center"/>
            <w:shd w:fill="F5F2E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chart_of_accounts</w:t>
            </w:r>
          </w:p>
        </w:tc>
        <w:tc>
          <w:tcPr>
            <w:tcW w:type="dxa" w:w="6912"/>
            <w:vAlign w:val="center"/>
            <w:shd w:fill="F5F2E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account_type CHECK ASSET/LIABILITY/EQUITY/REVENUE/EXPENSE; optional subtype; self parent FK.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payment_methods</w:t>
            </w:r>
          </w:p>
        </w:tc>
        <w:tc>
          <w:tcPr>
            <w:tcW w:type="dxa" w:w="691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code UNIQUE; settlement account FK.</w:t>
            </w:r>
          </w:p>
        </w:tc>
      </w:tr>
      <w:tr>
        <w:tc>
          <w:tcPr>
            <w:tcW w:type="dxa" w:w="2880"/>
            <w:vAlign w:val="center"/>
            <w:shd w:fill="F5F2E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expense_categories</w:t>
            </w:r>
          </w:p>
        </w:tc>
        <w:tc>
          <w:tcPr>
            <w:tcW w:type="dxa" w:w="6912"/>
            <w:vAlign w:val="center"/>
            <w:shd w:fill="F5F2E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code UNIQUE; expense account FK.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menu_items</w:t>
            </w:r>
          </w:p>
        </w:tc>
        <w:tc>
          <w:tcPr>
            <w:tcW w:type="dxa" w:w="691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code UNIQUE; category FOOD/BEVERAGE; revenue account FK.</w:t>
            </w:r>
          </w:p>
        </w:tc>
      </w:tr>
      <w:tr>
        <w:tc>
          <w:tcPr>
            <w:tcW w:type="dxa" w:w="2880"/>
            <w:vAlign w:val="center"/>
            <w:shd w:fill="F5F2E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menu_price_history</w:t>
            </w:r>
          </w:p>
        </w:tc>
        <w:tc>
          <w:tcPr>
            <w:tcW w:type="dxa" w:w="6912"/>
            <w:vAlign w:val="center"/>
            <w:shd w:fill="F5F2E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price &gt;=0; valid date range; PostgreSQL exclusion constraint prevents overlapping effective ranges per item.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fund_accounts</w:t>
            </w:r>
          </w:p>
        </w:tc>
        <w:tc>
          <w:tcPr>
            <w:tcW w:type="dxa" w:w="691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code UNIQUE; linked to COA.</w:t>
            </w:r>
          </w:p>
        </w:tc>
      </w:tr>
      <w:tr>
        <w:tc>
          <w:tcPr>
            <w:tcW w:type="dxa" w:w="2880"/>
            <w:vAlign w:val="center"/>
            <w:shd w:fill="F5F2E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cashier_reports</w:t>
            </w:r>
          </w:p>
        </w:tc>
        <w:tc>
          <w:tcPr>
            <w:tcW w:type="dxa" w:w="6912"/>
            <w:vAlign w:val="center"/>
            <w:shd w:fill="F5F2E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one normalized row per raw submission revision; Business Date required.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payment_lines</w:t>
            </w:r>
          </w:p>
        </w:tc>
        <w:tc>
          <w:tcPr>
            <w:tcW w:type="dxa" w:w="691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amount &gt;=0; payment method FK; source field retained.</w:t>
            </w:r>
          </w:p>
        </w:tc>
      </w:tr>
      <w:tr>
        <w:tc>
          <w:tcPr>
            <w:tcW w:type="dxa" w:w="2880"/>
            <w:vAlign w:val="center"/>
            <w:shd w:fill="F5F2E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cashier_expense_lines</w:t>
            </w:r>
          </w:p>
        </w:tc>
        <w:tc>
          <w:tcPr>
            <w:tcW w:type="dxa" w:w="6912"/>
            <w:vAlign w:val="center"/>
            <w:shd w:fill="F5F2E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amount &gt;=0; category may remain UNMAPPED; source field retained.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cash_counts</w:t>
            </w:r>
          </w:p>
        </w:tc>
        <w:tc>
          <w:tcPr>
            <w:tcW w:type="dxa" w:w="691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denomination &gt;0; quantity &gt;=0; UNIQUE(report, denomination).</w:t>
            </w:r>
          </w:p>
        </w:tc>
      </w:tr>
      <w:tr>
        <w:tc>
          <w:tcPr>
            <w:tcW w:type="dxa" w:w="2880"/>
            <w:vAlign w:val="center"/>
            <w:shd w:fill="F5F2E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sales_reports</w:t>
            </w:r>
          </w:p>
        </w:tc>
        <w:tc>
          <w:tcPr>
            <w:tcW w:type="dxa" w:w="6912"/>
            <w:vAlign w:val="center"/>
            <w:shd w:fill="F5F2E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one normalized row per raw submission revision; report_type FOOD/BEVERAGE.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sales_report_items</w:t>
            </w:r>
          </w:p>
        </w:tc>
        <w:tc>
          <w:tcPr>
            <w:tcW w:type="dxa" w:w="691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quantity &gt;=0; price snapshot &gt;=0; UNIQUE(report, menu item).</w:t>
            </w:r>
          </w:p>
        </w:tc>
      </w:tr>
    </w:tbl>
    <w:p>
      <w:pPr>
        <w:spacing w:after="0"/>
      </w:pPr>
    </w:p>
    <w:p>
      <w:pPr>
        <w:sectPr>
          <w:headerReference w:type="default" r:id="rId9"/>
          <w:footerReference w:type="default" r:id="rId10"/>
          <w:pgSz w:w="12240" w:h="15840"/>
          <w:pgMar w:top="792" w:right="936" w:bottom="792" w:left="936" w:header="720" w:footer="720" w:gutter="0"/>
          <w:cols w:space="720"/>
          <w:docGrid w:linePitch="360"/>
        </w:sectPr>
      </w:pPr>
    </w:p>
    <w:p>
      <w:pPr>
        <w:pStyle w:val="Heading2"/>
      </w:pPr>
      <w:r>
        <w:t>2.3 Finance, Purchase, Inventory, Reporting &amp; Governance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2"/>
        <w:gridCol w:w="4752"/>
        <w:gridCol w:w="4752"/>
      </w:tblGrid>
      <w:tr>
        <w:trPr>
          <w:tblHeader w:val="true"/>
        </w:trPr>
        <w:tc>
          <w:tcPr>
            <w:tcW w:type="dxa" w:w="2880"/>
            <w:shd w:fill="0F623E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Table</w:t>
            </w:r>
          </w:p>
        </w:tc>
        <w:tc>
          <w:tcPr>
            <w:tcW w:type="dxa" w:w="4032"/>
            <w:shd w:fill="0F623E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State / Type Controls</w:t>
            </w:r>
          </w:p>
        </w:tc>
        <w:tc>
          <w:tcPr>
            <w:tcW w:type="dxa" w:w="8352"/>
            <w:shd w:fill="0F623E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Integrity Notes</w:t>
            </w:r>
          </w:p>
        </w:tc>
      </w:tr>
      <w:tr>
        <w:tc>
          <w:tcPr>
            <w:tcW w:type="dxa" w:w="2880"/>
            <w:vAlign w:val="center"/>
            <w:shd w:fill="F5F2E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purchase_requests</w:t>
            </w:r>
          </w:p>
        </w:tc>
        <w:tc>
          <w:tcPr>
            <w:tcW w:type="dxa" w:w="4032"/>
            <w:vAlign w:val="center"/>
            <w:shd w:fill="F5F2E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DRAFT, SUBMITTED, APPROVED, FUNDED_READY_TO_SPEND, PURCHASED, RECEIPT_RECORDED, CLOSED, REVISION_REQUESTED, REJECTED</w:t>
            </w:r>
          </w:p>
        </w:tc>
        <w:tc>
          <w:tcPr>
            <w:tcW w:type="dxa" w:w="8352"/>
            <w:vAlign w:val="center"/>
            <w:shd w:fill="F5F2E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UI labels map to these canonical SDD states; estimated_total &gt;=0.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purchase_request_actions</w:t>
            </w:r>
          </w:p>
        </w:tc>
        <w:tc>
          <w:tcPr>
            <w:tcW w:type="dxa" w:w="403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SUBMIT, APPROVE, REVISE, REJECT, CLOSE</w:t>
            </w:r>
          </w:p>
        </w:tc>
        <w:tc>
          <w:tcPr>
            <w:tcW w:type="dxa" w:w="835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Append-only action history; reason enforced by service for Revision/Reject.</w:t>
            </w:r>
          </w:p>
        </w:tc>
      </w:tr>
      <w:tr>
        <w:tc>
          <w:tcPr>
            <w:tcW w:type="dxa" w:w="2880"/>
            <w:vAlign w:val="center"/>
            <w:shd w:fill="F5F2E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fund_transactions</w:t>
            </w:r>
          </w:p>
        </w:tc>
        <w:tc>
          <w:tcPr>
            <w:tcW w:type="dxa" w:w="4032"/>
            <w:vAlign w:val="center"/>
            <w:shd w:fill="F5F2E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EXTERNAL_FUNDING, INTERNAL_TRANSFER, EXPENSE, OPENING_BALANCE, ADJUSTMENT; POSTED/VOID</w:t>
            </w:r>
          </w:p>
        </w:tc>
        <w:tc>
          <w:tcPr>
            <w:tcW w:type="dxa" w:w="8352"/>
            <w:vAlign w:val="center"/>
            <w:shd w:fill="F5F2E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Direction CHECK enforces required source/destination/category; amount &gt;0; service creates journal+audit atomically.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journal_entries</w:t>
            </w:r>
          </w:p>
        </w:tc>
        <w:tc>
          <w:tcPr>
            <w:tcW w:type="dxa" w:w="403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POSTED/VOID</w:t>
            </w:r>
          </w:p>
        </w:tc>
        <w:tc>
          <w:tcPr>
            <w:tcW w:type="dxa" w:w="835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Unique posted source event; reversal uses reversed_entry_id.</w:t>
            </w:r>
          </w:p>
        </w:tc>
      </w:tr>
      <w:tr>
        <w:tc>
          <w:tcPr>
            <w:tcW w:type="dxa" w:w="2880"/>
            <w:vAlign w:val="center"/>
            <w:shd w:fill="F5F2E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journal_lines</w:t>
            </w:r>
          </w:p>
        </w:tc>
        <w:tc>
          <w:tcPr>
            <w:tcW w:type="dxa" w:w="4032"/>
            <w:vAlign w:val="center"/>
            <w:shd w:fill="F5F2E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debit/credit NUMERIC(18,2)</w:t>
            </w:r>
          </w:p>
        </w:tc>
        <w:tc>
          <w:tcPr>
            <w:tcW w:type="dxa" w:w="8352"/>
            <w:vAlign w:val="center"/>
            <w:shd w:fill="F5F2E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Exactly one side &gt;0 per line; posting service must assert total debit = total credit.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inventory_items</w:t>
            </w:r>
          </w:p>
        </w:tc>
        <w:tc>
          <w:tcPr>
            <w:tcW w:type="dxa" w:w="403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KITCHEN/BAR/OTHER</w:t>
            </w:r>
          </w:p>
        </w:tc>
        <w:tc>
          <w:tcPr>
            <w:tcW w:type="dxa" w:w="835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minimum_stock nullable; master is deactivated rather than deleted.</w:t>
            </w:r>
          </w:p>
        </w:tc>
      </w:tr>
      <w:tr>
        <w:tc>
          <w:tcPr>
            <w:tcW w:type="dxa" w:w="2880"/>
            <w:vAlign w:val="center"/>
            <w:shd w:fill="F5F2E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stock_opname_sessions</w:t>
            </w:r>
          </w:p>
        </w:tc>
        <w:tc>
          <w:tcPr>
            <w:tcW w:type="dxa" w:w="4032"/>
            <w:vAlign w:val="center"/>
            <w:shd w:fill="F5F2E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DRAFT/SUBMITTED/REVIEWED</w:t>
            </w:r>
          </w:p>
        </w:tc>
        <w:tc>
          <w:tcPr>
            <w:tcW w:type="dxa" w:w="8352"/>
            <w:vAlign w:val="center"/>
            <w:shd w:fill="F5F2E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Business Date + category indexed; session becomes read-only after completion in service/UI.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stock_opname_lines</w:t>
            </w:r>
          </w:p>
        </w:tc>
        <w:tc>
          <w:tcPr>
            <w:tcW w:type="dxa" w:w="403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actual_qty &gt;=0</w:t>
            </w:r>
          </w:p>
        </w:tc>
        <w:tc>
          <w:tcPr>
            <w:tcW w:type="dxa" w:w="835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UNIQUE(session, item); variance = actual-reference, or NULL when reference unavailable.</w:t>
            </w:r>
          </w:p>
        </w:tc>
      </w:tr>
      <w:tr>
        <w:tc>
          <w:tcPr>
            <w:tcW w:type="dxa" w:w="2880"/>
            <w:vAlign w:val="center"/>
            <w:shd w:fill="F5F2E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daily_closings</w:t>
            </w:r>
          </w:p>
        </w:tc>
        <w:tc>
          <w:tcPr>
            <w:tcW w:type="dxa" w:w="4032"/>
            <w:vAlign w:val="center"/>
            <w:shd w:fill="F5F2E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OPEN/INCOMPLETE/RECONCILED/CLOSED</w:t>
            </w:r>
          </w:p>
        </w:tc>
        <w:tc>
          <w:tcPr>
            <w:tcW w:type="dxa" w:w="8352"/>
            <w:vAlign w:val="center"/>
            <w:shd w:fill="F5F2E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One row per Business Date; snapshots read-only to user.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daily_report_runs</w:t>
            </w:r>
          </w:p>
        </w:tc>
        <w:tc>
          <w:tcPr>
            <w:tcW w:type="dxa" w:w="403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SCHEDULED/MANUAL/REVISION; COMPLETE/INCOMPLETE</w:t>
            </w:r>
          </w:p>
        </w:tc>
        <w:tc>
          <w:tcPr>
            <w:tcW w:type="dxa" w:w="835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UNIQUE(Business Date, revision); parent_run_id links revisions; metrics/missing sources are immutable JSON snapshots.</w:t>
            </w:r>
          </w:p>
        </w:tc>
      </w:tr>
      <w:tr>
        <w:tc>
          <w:tcPr>
            <w:tcW w:type="dxa" w:w="2880"/>
            <w:vAlign w:val="center"/>
            <w:shd w:fill="F5F2E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data_corrections</w:t>
            </w:r>
          </w:p>
        </w:tc>
        <w:tc>
          <w:tcPr>
            <w:tcW w:type="dxa" w:w="4032"/>
            <w:vAlign w:val="center"/>
            <w:shd w:fill="F5F2E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ACTIVE/SUPERSEDED</w:t>
            </w:r>
          </w:p>
        </w:tc>
        <w:tc>
          <w:tcPr>
            <w:tcW w:type="dxa" w:w="8352"/>
            <w:vAlign w:val="center"/>
            <w:shd w:fill="F5F2E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Reason mandatory; field-level before/after stored in data_correction_items.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audit_logs</w:t>
            </w:r>
          </w:p>
        </w:tc>
        <w:tc>
          <w:tcPr>
            <w:tcW w:type="dxa" w:w="403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WEB/GOOGLE_SCRIPT/SYSTEM</w:t>
            </w:r>
          </w:p>
        </w:tc>
        <w:tc>
          <w:tcPr>
            <w:tcW w:type="dxa" w:w="835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No edit/delete UI; actor/module/entity/correlation metadata retained.</w:t>
            </w:r>
          </w:p>
        </w:tc>
      </w:tr>
      <w:tr>
        <w:tc>
          <w:tcPr>
            <w:tcW w:type="dxa" w:w="2880"/>
            <w:vAlign w:val="center"/>
            <w:shd w:fill="F5F2E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system_settings</w:t>
            </w:r>
          </w:p>
        </w:tc>
        <w:tc>
          <w:tcPr>
            <w:tcW w:type="dxa" w:w="4032"/>
            <w:vAlign w:val="center"/>
            <w:shd w:fill="F5F2E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setting_key UNIQUE</w:t>
            </w:r>
          </w:p>
        </w:tc>
        <w:tc>
          <w:tcPr>
            <w:tcW w:type="dxa" w:w="8352"/>
            <w:vAlign w:val="center"/>
            <w:shd w:fill="F5F2E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Flexible JSON settings; business timezone and operating hours seeded.</w:t>
            </w:r>
          </w:p>
        </w:tc>
      </w:tr>
    </w:tbl>
    <w:p>
      <w:pPr>
        <w:spacing w:after="0"/>
      </w:pPr>
    </w:p>
    <w:p>
      <w:pPr>
        <w:sectPr>
          <w:pgSz w:w="15840" w:h="12240" w:orient="landscape"/>
          <w:pgMar w:top="720" w:right="792" w:bottom="720" w:left="792" w:header="720" w:footer="720" w:gutter="0"/>
          <w:cols w:space="720"/>
          <w:docGrid w:linePitch="360"/>
        </w:sectPr>
      </w:pPr>
    </w:p>
    <w:p>
      <w:pPr>
        <w:pStyle w:val="Heading1"/>
      </w:pPr>
      <w:r>
        <w:t>3. Non-Negotiable Database Constraints</w:t>
      </w:r>
    </w:p>
    <w:p>
      <w:pPr>
        <w:pStyle w:val="ListBullet"/>
        <w:spacing w:after="40"/>
      </w:pPr>
      <w:r>
        <w:t>All transactional FKs use ON DELETE RESTRICT. No production delete path exists for posted finance, journals, purchase action history, report runs, corrections, or audit logs.</w:t>
      </w:r>
    </w:p>
    <w:p>
      <w:pPr>
        <w:pStyle w:val="ListBullet"/>
        <w:spacing w:after="40"/>
      </w:pPr>
      <w:r>
        <w:t>INTERNAL_TRANSFER requires different non-null source and destination internal fund accounts and creates no revenue/expense.</w:t>
      </w:r>
    </w:p>
    <w:p>
      <w:pPr>
        <w:pStyle w:val="ListBullet"/>
        <w:spacing w:after="40"/>
      </w:pPr>
      <w:r>
        <w:t>EXTERNAL_FUNDING requires destination only; seed target is HOUSEBANK and it is not sales revenue.</w:t>
      </w:r>
    </w:p>
    <w:p>
      <w:pPr>
        <w:pStyle w:val="ListBullet"/>
        <w:spacing w:after="40"/>
      </w:pPr>
      <w:r>
        <w:t>EXPENSE requires source fund + expense category and no destination fund.</w:t>
      </w:r>
    </w:p>
    <w:p>
      <w:pPr>
        <w:pStyle w:val="ListBullet"/>
        <w:spacing w:after="40"/>
      </w:pPr>
      <w:r>
        <w:t>Journal lines are non-negative and one-sided; PostingService must validate balanced debit/credit before commit.</w:t>
      </w:r>
    </w:p>
    <w:p>
      <w:pPr>
        <w:pStyle w:val="ListBullet"/>
        <w:spacing w:after="40"/>
      </w:pPr>
      <w:r>
        <w:t>Price history does not permit overlapping effective date ranges for the same menu item.</w:t>
      </w:r>
    </w:p>
    <w:p>
      <w:pPr>
        <w:pStyle w:val="ListBullet"/>
        <w:spacing w:after="40"/>
      </w:pPr>
      <w:r>
        <w:t>Raw payload evidence is never overwritten. Same row/same hash is idempotent; same row/different hash becomes a later revision.</w:t>
      </w:r>
    </w:p>
    <w:p>
      <w:pPr>
        <w:pStyle w:val="ListBullet"/>
        <w:spacing w:after="40"/>
      </w:pPr>
      <w:r>
        <w:t>Report runs remain immutable; late data/correction produces revision R1/R2 rather than rewriting R0.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4E3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Cash variance and sales-payment difference are signed derived values, so they intentionally do not use the non-negative monetary-amount constraint. They can be negative or positive reconciliation signals.</w:t>
            </w:r>
          </w:p>
        </w:tc>
      </w:tr>
    </w:tbl>
    <w:p>
      <w:pPr>
        <w:spacing w:after="0"/>
      </w:pPr>
    </w:p>
    <w:p>
      <w:pPr>
        <w:pStyle w:val="Heading1"/>
      </w:pPr>
      <w:r>
        <w:t>4. High-Value Indexes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2592"/>
            <w:shd w:fill="0F623E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Object</w:t>
            </w:r>
          </w:p>
        </w:tc>
        <w:tc>
          <w:tcPr>
            <w:tcW w:type="dxa" w:w="3960"/>
            <w:shd w:fill="0F623E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Index / Constraint</w:t>
            </w:r>
          </w:p>
        </w:tc>
        <w:tc>
          <w:tcPr>
            <w:tcW w:type="dxa" w:w="3240"/>
            <w:shd w:fill="0F623E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Purpose</w:t>
            </w:r>
          </w:p>
        </w:tc>
      </w:tr>
      <w:tr>
        <w:tc>
          <w:tcPr>
            <w:tcW w:type="dxa" w:w="2592"/>
            <w:vAlign w:val="center"/>
            <w:shd w:fill="F5F2E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raw_submissions</w:t>
            </w:r>
          </w:p>
        </w:tc>
        <w:tc>
          <w:tcPr>
            <w:tcW w:type="dxa" w:w="3960"/>
            <w:vAlign w:val="center"/>
            <w:shd w:fill="F5F2E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(processing_status, first_seen_at); source revision/hash unique keys</w:t>
            </w:r>
          </w:p>
        </w:tc>
        <w:tc>
          <w:tcPr>
            <w:tcW w:type="dxa" w:w="3240"/>
            <w:vAlign w:val="center"/>
            <w:shd w:fill="F5F2E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Idempotency and retry queue.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cashier_reports</w:t>
            </w:r>
          </w:p>
        </w:tc>
        <w:tc>
          <w:tcPr>
            <w:tcW w:type="dxa" w:w="396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(business_date, shift_code, report_status)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Daily cashier filters.</w:t>
            </w:r>
          </w:p>
        </w:tc>
      </w:tr>
      <w:tr>
        <w:tc>
          <w:tcPr>
            <w:tcW w:type="dxa" w:w="2592"/>
            <w:vAlign w:val="center"/>
            <w:shd w:fill="F5F2E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payment_lines</w:t>
            </w:r>
          </w:p>
        </w:tc>
        <w:tc>
          <w:tcPr>
            <w:tcW w:type="dxa" w:w="3960"/>
            <w:vAlign w:val="center"/>
            <w:shd w:fill="F5F2E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(payment_method_id, cashier_report_id)</w:t>
            </w:r>
          </w:p>
        </w:tc>
        <w:tc>
          <w:tcPr>
            <w:tcW w:type="dxa" w:w="3240"/>
            <w:vAlign w:val="center"/>
            <w:shd w:fill="F5F2E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Payment-mix aggregation.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sales_reports</w:t>
            </w:r>
          </w:p>
        </w:tc>
        <w:tc>
          <w:tcPr>
            <w:tcW w:type="dxa" w:w="396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(business_date, report_type, report_status)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Daily Food/Beverage aggregation.</w:t>
            </w:r>
          </w:p>
        </w:tc>
      </w:tr>
      <w:tr>
        <w:tc>
          <w:tcPr>
            <w:tcW w:type="dxa" w:w="2592"/>
            <w:vAlign w:val="center"/>
            <w:shd w:fill="F5F2E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sales_report_items</w:t>
            </w:r>
          </w:p>
        </w:tc>
        <w:tc>
          <w:tcPr>
            <w:tcW w:type="dxa" w:w="3960"/>
            <w:vAlign w:val="center"/>
            <w:shd w:fill="F5F2E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(menu_item_id, sales_report_id)</w:t>
            </w:r>
          </w:p>
        </w:tc>
        <w:tc>
          <w:tcPr>
            <w:tcW w:type="dxa" w:w="3240"/>
            <w:vAlign w:val="center"/>
            <w:shd w:fill="F5F2E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Product trend/top seller.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menu_price_history</w:t>
            </w:r>
          </w:p>
        </w:tc>
        <w:tc>
          <w:tcPr>
            <w:tcW w:type="dxa" w:w="396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(menu_item_id, effective_from DESC) + exclusion range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Effective price resolution.</w:t>
            </w:r>
          </w:p>
        </w:tc>
      </w:tr>
      <w:tr>
        <w:tc>
          <w:tcPr>
            <w:tcW w:type="dxa" w:w="2592"/>
            <w:vAlign w:val="center"/>
            <w:shd w:fill="F5F2E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fund_transactions</w:t>
            </w:r>
          </w:p>
        </w:tc>
        <w:tc>
          <w:tcPr>
            <w:tcW w:type="dxa" w:w="3960"/>
            <w:vAlign w:val="center"/>
            <w:shd w:fill="F5F2E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(business_date,status); (source,destination)</w:t>
            </w:r>
          </w:p>
        </w:tc>
        <w:tc>
          <w:tcPr>
            <w:tcW w:type="dxa" w:w="3240"/>
            <w:vAlign w:val="center"/>
            <w:shd w:fill="F5F2E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Daily fund ledger and account balance.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stock_opname_sessions</w:t>
            </w:r>
          </w:p>
        </w:tc>
        <w:tc>
          <w:tcPr>
            <w:tcW w:type="dxa" w:w="396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(business_date,category,status)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Stock completion/review.</w:t>
            </w:r>
          </w:p>
        </w:tc>
      </w:tr>
      <w:tr>
        <w:tc>
          <w:tcPr>
            <w:tcW w:type="dxa" w:w="2592"/>
            <w:vAlign w:val="center"/>
            <w:shd w:fill="F5F2E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audit_logs</w:t>
            </w:r>
          </w:p>
        </w:tc>
        <w:tc>
          <w:tcPr>
            <w:tcW w:type="dxa" w:w="3960"/>
            <w:vAlign w:val="center"/>
            <w:shd w:fill="F5F2E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created_at; entity; actor+created_at</w:t>
            </w:r>
          </w:p>
        </w:tc>
        <w:tc>
          <w:tcPr>
            <w:tcW w:type="dxa" w:w="3240"/>
            <w:vAlign w:val="center"/>
            <w:shd w:fill="F5F2E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Audit investigation.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daily_report_runs</w:t>
            </w:r>
          </w:p>
        </w:tc>
        <w:tc>
          <w:tcPr>
            <w:tcW w:type="dxa" w:w="396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UNIQUE(business_date,revision_no)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Immutable versioned reporting.</w:t>
            </w:r>
          </w:p>
        </w:tc>
      </w:tr>
    </w:tbl>
    <w:p>
      <w:pPr>
        <w:spacing w:after="0"/>
      </w:pPr>
    </w:p>
    <w:p>
      <w:pPr>
        <w:pStyle w:val="Heading1"/>
      </w:pPr>
      <w:r>
        <w:t>5. SQL Reporting Views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3168"/>
            <w:shd w:fill="0F623E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View</w:t>
            </w:r>
          </w:p>
        </w:tc>
        <w:tc>
          <w:tcPr>
            <w:tcW w:type="dxa" w:w="6624"/>
            <w:shd w:fill="0F623E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Implementation State / Purpose</w:t>
            </w:r>
          </w:p>
        </w:tc>
      </w:tr>
      <w:tr>
        <w:tc>
          <w:tcPr>
            <w:tcW w:type="dxa" w:w="3168"/>
            <w:vAlign w:val="center"/>
            <w:shd w:fill="F5F2E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vw_daily_sales_summary</w:t>
            </w:r>
          </w:p>
        </w:tc>
        <w:tc>
          <w:tcPr>
            <w:tcW w:type="dxa" w:w="6624"/>
            <w:vAlign w:val="center"/>
            <w:shd w:fill="F5F2E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Implemented. Food/Beverage quantity and revenue by Business Date using normalized price snapshots.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vw_daily_payment_summary</w:t>
            </w:r>
          </w:p>
        </w:tc>
        <w:tc>
          <w:tcPr>
            <w:tcW w:type="dxa" w:w="6624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Implemented. Cash/QRIS/Transfer/Card/etc. received amounts from valid cashier reports.</w:t>
            </w:r>
          </w:p>
        </w:tc>
      </w:tr>
      <w:tr>
        <w:tc>
          <w:tcPr>
            <w:tcW w:type="dxa" w:w="3168"/>
            <w:vAlign w:val="center"/>
            <w:shd w:fill="F5F2E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vw_daily_cashier_expenses</w:t>
            </w:r>
          </w:p>
        </w:tc>
        <w:tc>
          <w:tcPr>
            <w:tcW w:type="dxa" w:w="6624"/>
            <w:vAlign w:val="center"/>
            <w:shd w:fill="F5F2E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Implemented. Cashier outflow by category and staff.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vw_housebank_ledger</w:t>
            </w:r>
          </w:p>
        </w:tc>
        <w:tc>
          <w:tcPr>
            <w:tcW w:type="dxa" w:w="6624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Implemented. Housebank in/out plus running balance from posted fund transactions.</w:t>
            </w:r>
          </w:p>
        </w:tc>
      </w:tr>
      <w:tr>
        <w:tc>
          <w:tcPr>
            <w:tcW w:type="dxa" w:w="3168"/>
            <w:vAlign w:val="center"/>
            <w:shd w:fill="F5F2E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vw_cashier_cash_reconciliation_base</w:t>
            </w:r>
          </w:p>
        </w:tc>
        <w:tc>
          <w:tcPr>
            <w:tcW w:type="dxa" w:w="6624"/>
            <w:vAlign w:val="center"/>
            <w:shd w:fill="F5F2E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Implemented as base components only. Final expected cash/variance intentionally deferred because SDD says opening/petty treatment is not yet finalized.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vw_daily_completeness</w:t>
            </w:r>
          </w:p>
        </w:tc>
        <w:tc>
          <w:tcPr>
            <w:tcW w:type="dxa" w:w="6624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Implemented. Cashier/Kitchen/Beverage valid-state availability and COMPLETE/INCOMPLETE.</w:t>
            </w:r>
          </w:p>
        </w:tc>
      </w:tr>
      <w:tr>
        <w:tc>
          <w:tcPr>
            <w:tcW w:type="dxa" w:w="3168"/>
            <w:vAlign w:val="center"/>
            <w:shd w:fill="F5F2E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vw_daily_management_report</w:t>
            </w:r>
          </w:p>
        </w:tc>
        <w:tc>
          <w:tcPr>
            <w:tcW w:type="dxa" w:w="6624"/>
            <w:vAlign w:val="center"/>
            <w:shd w:fill="F5F2E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Implemented. Unified Food/Beverage, cashier inflow/outflow, Housebank flow and completeness data for dashboard/email snapshot.</w:t>
            </w:r>
          </w:p>
        </w:tc>
      </w:tr>
    </w:tbl>
    <w:p>
      <w:pPr>
        <w:spacing w:after="0"/>
      </w:pPr>
    </w:p>
    <w:p>
      <w:pPr>
        <w:pStyle w:val="Heading1"/>
      </w:pPr>
      <w:r>
        <w:t>6. Core Seed Data</w:t>
      </w:r>
    </w:p>
    <w:p>
      <w:pPr>
        <w:pStyle w:val="Heading2"/>
      </w:pPr>
      <w:r>
        <w:t>6.1 Roles and Permission Baseline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1872"/>
            <w:shd w:fill="0F623E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Role</w:t>
            </w:r>
          </w:p>
        </w:tc>
        <w:tc>
          <w:tcPr>
            <w:tcW w:type="dxa" w:w="7920"/>
            <w:shd w:fill="0F623E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Seed Scope</w:t>
            </w:r>
          </w:p>
        </w:tc>
      </w:tr>
      <w:tr>
        <w:tc>
          <w:tcPr>
            <w:tcW w:type="dxa" w:w="1872"/>
            <w:vAlign w:val="center"/>
            <w:shd w:fill="F5F2E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OWNER</w:t>
            </w:r>
          </w:p>
        </w:tc>
        <w:tc>
          <w:tcPr>
            <w:tcW w:type="dxa" w:w="7920"/>
            <w:vAlign w:val="center"/>
            <w:shd w:fill="F5F2E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All baseline permissions.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DIRECTOR</w:t>
            </w:r>
          </w:p>
        </w:tc>
        <w:tc>
          <w:tcPr>
            <w:tcW w:type="dxa" w:w="792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All baseline permissions; primary Company → Housebank operator.</w:t>
            </w:r>
          </w:p>
        </w:tc>
      </w:tr>
      <w:tr>
        <w:tc>
          <w:tcPr>
            <w:tcW w:type="dxa" w:w="1872"/>
            <w:vAlign w:val="center"/>
            <w:shd w:fill="F5F2E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MANAGER</w:t>
            </w:r>
          </w:p>
        </w:tc>
        <w:tc>
          <w:tcPr>
            <w:tcW w:type="dxa" w:w="7920"/>
            <w:vAlign w:val="center"/>
            <w:shd w:fill="F5F2E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Operational dashboard, sales/cashier visibility, limited finance view, PR create/manage, inventory input/review, reports, data issues, corrections, export.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CASHIER</w:t>
            </w:r>
          </w:p>
        </w:tc>
        <w:tc>
          <w:tcPr>
            <w:tcW w:type="dxa" w:w="792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Operational dashboard, Cashier + Beverage/Sales view, Bar inventory input, scoped reports/data issues.</w:t>
            </w:r>
          </w:p>
        </w:tc>
      </w:tr>
      <w:tr>
        <w:tc>
          <w:tcPr>
            <w:tcW w:type="dxa" w:w="1872"/>
            <w:vAlign w:val="center"/>
            <w:shd w:fill="F5F2E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KITCHEN</w:t>
            </w:r>
          </w:p>
        </w:tc>
        <w:tc>
          <w:tcPr>
            <w:tcW w:type="dxa" w:w="7920"/>
            <w:vAlign w:val="center"/>
            <w:shd w:fill="F5F2E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Operational dashboard, Food/Sales view, Kitchen inventory input, scoped reports/data issues.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EF4E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Permission rows are an implementation baseline derived from the SRS/UI role table. Entity/category scoping is still enforced in server-side policy. A dedicated RBAC Matrix remains the next formal artifact for final action-level sign-off.</w:t>
            </w:r>
          </w:p>
        </w:tc>
      </w:tr>
    </w:tbl>
    <w:p>
      <w:pPr>
        <w:spacing w:after="0"/>
      </w:pPr>
    </w:p>
    <w:p>
      <w:pPr>
        <w:pStyle w:val="Heading2"/>
      </w:pPr>
      <w:r>
        <w:t>6.2 Initial Accounting Master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1440"/>
            <w:shd w:fill="0F623E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Code</w:t>
            </w:r>
          </w:p>
        </w:tc>
        <w:tc>
          <w:tcPr>
            <w:tcW w:type="dxa" w:w="4608"/>
            <w:shd w:fill="0F623E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Account</w:t>
            </w:r>
          </w:p>
        </w:tc>
        <w:tc>
          <w:tcPr>
            <w:tcW w:type="dxa" w:w="3600"/>
            <w:shd w:fill="0F623E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Type / Subtype</w:t>
            </w:r>
          </w:p>
        </w:tc>
      </w:tr>
      <w:tr>
        <w:tc>
          <w:tcPr>
            <w:tcW w:type="dxa" w:w="1440"/>
            <w:vAlign w:val="center"/>
            <w:shd w:fill="F5F2E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1001</w:t>
            </w:r>
          </w:p>
        </w:tc>
        <w:tc>
          <w:tcPr>
            <w:tcW w:type="dxa" w:w="4608"/>
            <w:vAlign w:val="center"/>
            <w:shd w:fill="F5F2E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Cashier Cash</w:t>
            </w:r>
          </w:p>
        </w:tc>
        <w:tc>
          <w:tcPr>
            <w:tcW w:type="dxa" w:w="3600"/>
            <w:vAlign w:val="center"/>
            <w:shd w:fill="F5F2E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ASSET / CASH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1002</w:t>
            </w:r>
          </w:p>
        </w:tc>
        <w:tc>
          <w:tcPr>
            <w:tcW w:type="dxa" w:w="460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Housebank</w:t>
            </w:r>
          </w:p>
        </w:tc>
        <w:tc>
          <w:tcPr>
            <w:tcW w:type="dxa" w:w="360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ASSET / CASH</w:t>
            </w:r>
          </w:p>
        </w:tc>
      </w:tr>
      <w:tr>
        <w:tc>
          <w:tcPr>
            <w:tcW w:type="dxa" w:w="1440"/>
            <w:vAlign w:val="center"/>
            <w:shd w:fill="F5F2E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1010</w:t>
            </w:r>
          </w:p>
        </w:tc>
        <w:tc>
          <w:tcPr>
            <w:tcW w:type="dxa" w:w="4608"/>
            <w:vAlign w:val="center"/>
            <w:shd w:fill="F5F2E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QRIS Clearing</w:t>
            </w:r>
          </w:p>
        </w:tc>
        <w:tc>
          <w:tcPr>
            <w:tcW w:type="dxa" w:w="3600"/>
            <w:vAlign w:val="center"/>
            <w:shd w:fill="F5F2E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ASSET / CLEARING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1011</w:t>
            </w:r>
          </w:p>
        </w:tc>
        <w:tc>
          <w:tcPr>
            <w:tcW w:type="dxa" w:w="460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Bank Transfer Clearing</w:t>
            </w:r>
          </w:p>
        </w:tc>
        <w:tc>
          <w:tcPr>
            <w:tcW w:type="dxa" w:w="360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ASSET / CLEARING</w:t>
            </w:r>
          </w:p>
        </w:tc>
      </w:tr>
      <w:tr>
        <w:tc>
          <w:tcPr>
            <w:tcW w:type="dxa" w:w="1440"/>
            <w:vAlign w:val="center"/>
            <w:shd w:fill="F5F2E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1012</w:t>
            </w:r>
          </w:p>
        </w:tc>
        <w:tc>
          <w:tcPr>
            <w:tcW w:type="dxa" w:w="4608"/>
            <w:vAlign w:val="center"/>
            <w:shd w:fill="F5F2E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Card Clearing</w:t>
            </w:r>
          </w:p>
        </w:tc>
        <w:tc>
          <w:tcPr>
            <w:tcW w:type="dxa" w:w="3600"/>
            <w:vAlign w:val="center"/>
            <w:shd w:fill="F5F2E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ASSET / CLEARING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1100</w:t>
            </w:r>
          </w:p>
        </w:tc>
        <w:tc>
          <w:tcPr>
            <w:tcW w:type="dxa" w:w="460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Accounts Receivable / City Ledger</w:t>
            </w:r>
          </w:p>
        </w:tc>
        <w:tc>
          <w:tcPr>
            <w:tcW w:type="dxa" w:w="360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ASSET / RECEIVABLE</w:t>
            </w:r>
          </w:p>
        </w:tc>
      </w:tr>
      <w:tr>
        <w:tc>
          <w:tcPr>
            <w:tcW w:type="dxa" w:w="1440"/>
            <w:vAlign w:val="center"/>
            <w:shd w:fill="F5F2E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2001</w:t>
            </w:r>
          </w:p>
        </w:tc>
        <w:tc>
          <w:tcPr>
            <w:tcW w:type="dxa" w:w="4608"/>
            <w:vAlign w:val="center"/>
            <w:shd w:fill="F5F2E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Customer Deposit / DP</w:t>
            </w:r>
          </w:p>
        </w:tc>
        <w:tc>
          <w:tcPr>
            <w:tcW w:type="dxa" w:w="3600"/>
            <w:vAlign w:val="center"/>
            <w:shd w:fill="F5F2E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LIABILITY / CUSTOMER_DEPOSIT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3001</w:t>
            </w:r>
          </w:p>
        </w:tc>
        <w:tc>
          <w:tcPr>
            <w:tcW w:type="dxa" w:w="460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Company Funding / Intercompany</w:t>
            </w:r>
          </w:p>
        </w:tc>
        <w:tc>
          <w:tcPr>
            <w:tcW w:type="dxa" w:w="360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EQUITY / INTERCOMPANY_FUNDING — provisional</w:t>
            </w:r>
          </w:p>
        </w:tc>
      </w:tr>
      <w:tr>
        <w:tc>
          <w:tcPr>
            <w:tcW w:type="dxa" w:w="1440"/>
            <w:vAlign w:val="center"/>
            <w:shd w:fill="F5F2E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4000</w:t>
            </w:r>
          </w:p>
        </w:tc>
        <w:tc>
          <w:tcPr>
            <w:tcW w:type="dxa" w:w="4608"/>
            <w:vAlign w:val="center"/>
            <w:shd w:fill="F5F2E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Sales Clearing</w:t>
            </w:r>
          </w:p>
        </w:tc>
        <w:tc>
          <w:tcPr>
            <w:tcW w:type="dxa" w:w="3600"/>
            <w:vAlign w:val="center"/>
            <w:shd w:fill="F5F2E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LIABILITY / CLEARING — provisional physical classification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4100</w:t>
            </w:r>
          </w:p>
        </w:tc>
        <w:tc>
          <w:tcPr>
            <w:tcW w:type="dxa" w:w="460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Food Sales Revenue</w:t>
            </w:r>
          </w:p>
        </w:tc>
        <w:tc>
          <w:tcPr>
            <w:tcW w:type="dxa" w:w="360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REVENUE / FOOD</w:t>
            </w:r>
          </w:p>
        </w:tc>
      </w:tr>
      <w:tr>
        <w:tc>
          <w:tcPr>
            <w:tcW w:type="dxa" w:w="1440"/>
            <w:vAlign w:val="center"/>
            <w:shd w:fill="F5F2E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4200</w:t>
            </w:r>
          </w:p>
        </w:tc>
        <w:tc>
          <w:tcPr>
            <w:tcW w:type="dxa" w:w="4608"/>
            <w:vAlign w:val="center"/>
            <w:shd w:fill="F5F2E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Beverage Sales Revenue</w:t>
            </w:r>
          </w:p>
        </w:tc>
        <w:tc>
          <w:tcPr>
            <w:tcW w:type="dxa" w:w="3600"/>
            <w:vAlign w:val="center"/>
            <w:shd w:fill="F5F2E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REVENUE / BEVERAGE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5000</w:t>
            </w:r>
          </w:p>
        </w:tc>
        <w:tc>
          <w:tcPr>
            <w:tcW w:type="dxa" w:w="460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Operational Expenses</w:t>
            </w:r>
          </w:p>
        </w:tc>
        <w:tc>
          <w:tcPr>
            <w:tcW w:type="dxa" w:w="360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EXPENSE / OPEX_PARENT</w:t>
            </w:r>
          </w:p>
        </w:tc>
      </w:tr>
      <w:tr>
        <w:tc>
          <w:tcPr>
            <w:tcW w:type="dxa" w:w="1440"/>
            <w:vAlign w:val="center"/>
            <w:shd w:fill="F5F2E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5099</w:t>
            </w:r>
          </w:p>
        </w:tc>
        <w:tc>
          <w:tcPr>
            <w:tcW w:type="dxa" w:w="4608"/>
            <w:vAlign w:val="center"/>
            <w:shd w:fill="F5F2E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Unmapped Operational Expense</w:t>
            </w:r>
          </w:p>
        </w:tc>
        <w:tc>
          <w:tcPr>
            <w:tcW w:type="dxa" w:w="3600"/>
            <w:vAlign w:val="center"/>
            <w:shd w:fill="F5F2E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EXPENSE / UNMAPPED</w:t>
            </w:r>
          </w:p>
        </w:tc>
      </w:tr>
    </w:tbl>
    <w:p>
      <w:pPr>
        <w:spacing w:after="0"/>
      </w:pPr>
    </w:p>
    <w:p>
      <w:r>
        <w:rPr>
          <w:b/>
        </w:rPr>
        <w:t xml:space="preserve">Seeded payment methods: </w:t>
      </w:r>
      <w:r>
        <w:t>Cash, QRIS, Transfer, Debit Card, Credit Card Visa, Credit Card Mastercard, Receivable/City Ledger, DP/Customer Deposit, Promotion/Cooperation.</w:t>
      </w:r>
    </w:p>
    <w:p>
      <w:r>
        <w:rPr>
          <w:b/>
        </w:rPr>
        <w:t xml:space="preserve">Seeded fund accounts: </w:t>
      </w:r>
      <w:r>
        <w:t>HOUSEBANK and CASHIER_CASH.</w:t>
      </w:r>
    </w:p>
    <w:p>
      <w:r>
        <w:rPr>
          <w:b/>
        </w:rPr>
        <w:t xml:space="preserve">Not seeded as final business data: </w:t>
      </w:r>
      <w:r>
        <w:t>menu items/prices, real expense categories, users, spreadsheet IDs, source field mappings, report schedule/recipients.</w:t>
      </w:r>
    </w:p>
    <w:p>
      <w:pPr>
        <w:pStyle w:val="Heading1"/>
      </w:pPr>
      <w:r>
        <w:t>7. PWA Persistence and Offline Safety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2880"/>
            <w:shd w:fill="0F623E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Area</w:t>
            </w:r>
          </w:p>
        </w:tc>
        <w:tc>
          <w:tcPr>
            <w:tcW w:type="dxa" w:w="6912"/>
            <w:shd w:fill="0F623E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Policy</w:t>
            </w:r>
          </w:p>
        </w:tc>
      </w:tr>
      <w:tr>
        <w:tc>
          <w:tcPr>
            <w:tcW w:type="dxa" w:w="2880"/>
            <w:vAlign w:val="center"/>
            <w:shd w:fill="F5F2E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Manifest</w:t>
            </w:r>
          </w:p>
        </w:tc>
        <w:tc>
          <w:tcPr>
            <w:tcW w:type="dxa" w:w="6912"/>
            <w:vAlign w:val="center"/>
            <w:shd w:fill="F5F2E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Standalone app; Dopamin Green #0F623E theme; Cafe Cream #F6F3E9 background.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Static cache</w:t>
            </w:r>
          </w:p>
        </w:tc>
        <w:tc>
          <w:tcPr>
            <w:tcW w:type="dxa" w:w="691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Allowed for /_next/static, icons and generic offline page.</w:t>
            </w:r>
          </w:p>
        </w:tc>
      </w:tr>
      <w:tr>
        <w:tc>
          <w:tcPr>
            <w:tcW w:type="dxa" w:w="2880"/>
            <w:vAlign w:val="center"/>
            <w:shd w:fill="F5F2E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API responses</w:t>
            </w:r>
          </w:p>
        </w:tc>
        <w:tc>
          <w:tcPr>
            <w:tcW w:type="dxa" w:w="6912"/>
            <w:vAlign w:val="center"/>
            <w:shd w:fill="F5F2E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Never cached by service worker.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Authenticated financial HTML</w:t>
            </w:r>
          </w:p>
        </w:tc>
        <w:tc>
          <w:tcPr>
            <w:tcW w:type="dxa" w:w="691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Network-first; when offline, use generic offline screen instead of stale sensitive finance pages.</w:t>
            </w:r>
          </w:p>
        </w:tc>
      </w:tr>
      <w:tr>
        <w:tc>
          <w:tcPr>
            <w:tcW w:type="dxa" w:w="2880"/>
            <w:vAlign w:val="center"/>
            <w:shd w:fill="F5F2E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Offline mutations</w:t>
            </w:r>
          </w:p>
        </w:tc>
        <w:tc>
          <w:tcPr>
            <w:tcW w:type="dxa" w:w="6912"/>
            <w:vAlign w:val="center"/>
            <w:shd w:fill="F5F2E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Disabled for Company Funding, fund transfer, expense, PR approval, correction, void, settings and other audited financial writes.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Reason</w:t>
            </w:r>
          </w:p>
        </w:tc>
        <w:tc>
          <w:tcPr>
            <w:tcW w:type="dxa" w:w="691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These writes must atomically commit domain row + journal when applicable + audit, which cannot be guaranteed by a browser offline queue.</w:t>
            </w:r>
          </w:p>
        </w:tc>
      </w:tr>
      <w:tr>
        <w:tc>
          <w:tcPr>
            <w:tcW w:type="dxa" w:w="2880"/>
            <w:vAlign w:val="center"/>
            <w:shd w:fill="F5F2E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Icons</w:t>
            </w:r>
          </w:p>
        </w:tc>
        <w:tc>
          <w:tcPr>
            <w:tcW w:type="dxa" w:w="6912"/>
            <w:vAlign w:val="center"/>
            <w:shd w:fill="F5F2E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Current scaffold icons are generic placeholders and intentionally do not recreate the cafe logo. Replace with official brand asset when supplied.</w:t>
            </w:r>
          </w:p>
        </w:tc>
      </w:tr>
    </w:tbl>
    <w:p>
      <w:pPr>
        <w:spacing w:after="0"/>
      </w:pPr>
    </w:p>
    <w:p>
      <w:pPr>
        <w:pStyle w:val="Heading1"/>
      </w:pPr>
      <w:r>
        <w:t>8. Implementation Handoff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4392"/>
            <w:shd w:fill="0F623E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Artifact Path</w:t>
            </w:r>
          </w:p>
        </w:tc>
        <w:tc>
          <w:tcPr>
            <w:tcW w:type="dxa" w:w="5400"/>
            <w:shd w:fill="0F623E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Purpose</w:t>
            </w:r>
          </w:p>
        </w:tc>
      </w:tr>
      <w:tr>
        <w:tc>
          <w:tcPr>
            <w:tcW w:type="dxa" w:w="4392"/>
            <w:vAlign w:val="center"/>
            <w:shd w:fill="F5F2E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src/db/migrations/0000_initial_schema.sql</w:t>
            </w:r>
          </w:p>
        </w:tc>
        <w:tc>
          <w:tcPr>
            <w:tcW w:type="dxa" w:w="5400"/>
            <w:vAlign w:val="center"/>
            <w:shd w:fill="F5F2E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Executable PostgreSQL baseline DDL.</w:t>
            </w:r>
          </w:p>
        </w:tc>
      </w:tr>
      <w:tr>
        <w:tc>
          <w:tcPr>
            <w:tcW w:type="dxa" w:w="439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src/db/schema/*.ts</w:t>
            </w:r>
          </w:p>
        </w:tc>
        <w:tc>
          <w:tcPr>
            <w:tcW w:type="dxa" w:w="540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Modular Drizzle schema by domain.</w:t>
            </w:r>
          </w:p>
        </w:tc>
      </w:tr>
      <w:tr>
        <w:tc>
          <w:tcPr>
            <w:tcW w:type="dxa" w:w="4392"/>
            <w:vAlign w:val="center"/>
            <w:shd w:fill="F5F2E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src/db/views/001_reporting_views.sql</w:t>
            </w:r>
          </w:p>
        </w:tc>
        <w:tc>
          <w:tcPr>
            <w:tcW w:type="dxa" w:w="5400"/>
            <w:vAlign w:val="center"/>
            <w:shd w:fill="F5F2E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Dashboard/reporting SQL views.</w:t>
            </w:r>
          </w:p>
        </w:tc>
      </w:tr>
      <w:tr>
        <w:tc>
          <w:tcPr>
            <w:tcW w:type="dxa" w:w="439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src/db/seed/001_core_seed.sql</w:t>
            </w:r>
          </w:p>
        </w:tc>
        <w:tc>
          <w:tcPr>
            <w:tcW w:type="dxa" w:w="540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Roles, permissions, COA, payment methods, funds, sources and system setting seeds.</w:t>
            </w:r>
          </w:p>
        </w:tc>
      </w:tr>
      <w:tr>
        <w:tc>
          <w:tcPr>
            <w:tcW w:type="dxa" w:w="4392"/>
            <w:vAlign w:val="center"/>
            <w:shd w:fill="F5F2E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scripts/seed.ts</w:t>
            </w:r>
          </w:p>
        </w:tc>
        <w:tc>
          <w:tcPr>
            <w:tcW w:type="dxa" w:w="5400"/>
            <w:vAlign w:val="center"/>
            <w:shd w:fill="F5F2E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Seed runner.</w:t>
            </w:r>
          </w:p>
        </w:tc>
      </w:tr>
      <w:tr>
        <w:tc>
          <w:tcPr>
            <w:tcW w:type="dxa" w:w="439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src/app/manifest.ts</w:t>
            </w:r>
          </w:p>
        </w:tc>
        <w:tc>
          <w:tcPr>
            <w:tcW w:type="dxa" w:w="540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PWA manifest.</w:t>
            </w:r>
          </w:p>
        </w:tc>
      </w:tr>
      <w:tr>
        <w:tc>
          <w:tcPr>
            <w:tcW w:type="dxa" w:w="4392"/>
            <w:vAlign w:val="center"/>
            <w:shd w:fill="F5F2E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public/sw.js</w:t>
            </w:r>
          </w:p>
        </w:tc>
        <w:tc>
          <w:tcPr>
            <w:tcW w:type="dxa" w:w="5400"/>
            <w:vAlign w:val="center"/>
            <w:shd w:fill="F5F2E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Safe service worker with no API/financial cache.</w:t>
            </w:r>
          </w:p>
        </w:tc>
      </w:tr>
      <w:tr>
        <w:tc>
          <w:tcPr>
            <w:tcW w:type="dxa" w:w="439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src/components/pwa/*</w:t>
            </w:r>
          </w:p>
        </w:tc>
        <w:tc>
          <w:tcPr>
            <w:tcW w:type="dxa" w:w="540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Service worker registration and online/offline UI.</w:t>
            </w:r>
          </w:p>
        </w:tc>
      </w:tr>
      <w:tr>
        <w:tc>
          <w:tcPr>
            <w:tcW w:type="dxa" w:w="4392"/>
            <w:vAlign w:val="center"/>
            <w:shd w:fill="F5F2E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src/app/(protected)/dashboard/page.tsx</w:t>
            </w:r>
          </w:p>
        </w:tc>
        <w:tc>
          <w:tcPr>
            <w:tcW w:type="dxa" w:w="5400"/>
            <w:vAlign w:val="center"/>
            <w:shd w:fill="F5F2E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Initial branded dashboard scaffold awaiting query/auth wiring.</w:t>
            </w:r>
          </w:p>
        </w:tc>
      </w:tr>
    </w:tbl>
    <w:p>
      <w:pPr>
        <w:spacing w:after="0"/>
      </w:pPr>
    </w:p>
    <w:p>
      <w:pPr>
        <w:pStyle w:val="Heading2"/>
      </w:pPr>
      <w:r>
        <w:t>8.1 Migration Order</w:t>
      </w:r>
    </w:p>
    <w:p>
      <w:pPr>
        <w:pStyle w:val="ListBullet"/>
        <w:spacing w:after="40"/>
      </w:pPr>
      <w:r>
        <w:t>Configure PostgreSQL runtime and migration URLs in environment secrets.</w:t>
      </w:r>
    </w:p>
    <w:p>
      <w:pPr>
        <w:pStyle w:val="ListBullet"/>
        <w:spacing w:after="40"/>
      </w:pPr>
      <w:r>
        <w:t>Apply 0000_initial_schema.sql.</w:t>
      </w:r>
    </w:p>
    <w:p>
      <w:pPr>
        <w:pStyle w:val="ListBullet"/>
        <w:spacing w:after="40"/>
      </w:pPr>
      <w:r>
        <w:t>Apply reporting views.</w:t>
      </w:r>
    </w:p>
    <w:p>
      <w:pPr>
        <w:pStyle w:val="ListBullet"/>
        <w:spacing w:after="40"/>
      </w:pPr>
      <w:r>
        <w:t>Run core seed script.</w:t>
      </w:r>
    </w:p>
    <w:p>
      <w:pPr>
        <w:pStyle w:val="ListBullet"/>
        <w:spacing w:after="40"/>
      </w:pPr>
      <w:r>
        <w:t>Create/approve initial Owner/Director application user after Google OAuth identity is known.</w:t>
      </w:r>
    </w:p>
    <w:p>
      <w:pPr>
        <w:pStyle w:val="ListBullet"/>
        <w:spacing w:after="40"/>
      </w:pPr>
      <w:r>
        <w:t>Configure source spreadsheet IDs and field mappings.</w:t>
      </w:r>
    </w:p>
    <w:p>
      <w:pPr>
        <w:pStyle w:val="ListBullet"/>
        <w:spacing w:after="40"/>
      </w:pPr>
      <w:r>
        <w:t>Load real menu/prices and expense categories.</w:t>
      </w:r>
    </w:p>
    <w:p>
      <w:pPr>
        <w:pStyle w:val="ListBullet"/>
        <w:spacing w:after="40"/>
      </w:pPr>
      <w:r>
        <w:t>Wire Auth.js/RBAC, then integration webhook and domain services.</w:t>
      </w:r>
    </w:p>
    <w:p>
      <w:pPr>
        <w:pStyle w:val="ListBullet"/>
        <w:spacing w:after="40"/>
      </w:pPr>
      <w:r>
        <w:t>Run permission, ingestion, accounting, correction, scheduler, backup and PWA UAT before production.</w:t>
      </w:r>
    </w:p>
    <w:p>
      <w:pPr>
        <w:pStyle w:val="Heading1"/>
      </w:pPr>
      <w:r>
        <w:t>9. Acceptance Gate for This Artifact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2232"/>
            <w:shd w:fill="0F623E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Gate</w:t>
            </w:r>
          </w:p>
        </w:tc>
        <w:tc>
          <w:tcPr>
            <w:tcW w:type="dxa" w:w="7560"/>
            <w:shd w:fill="0F623E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Expected Result</w:t>
            </w:r>
          </w:p>
        </w:tc>
      </w:tr>
      <w:tr>
        <w:tc>
          <w:tcPr>
            <w:tcW w:type="dxa" w:w="2232"/>
            <w:vAlign w:val="center"/>
            <w:shd w:fill="F5F2E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DDL integrity</w:t>
            </w:r>
          </w:p>
        </w:tc>
        <w:tc>
          <w:tcPr>
            <w:tcW w:type="dxa" w:w="7560"/>
            <w:vAlign w:val="center"/>
            <w:shd w:fill="F5F2E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All tables, FKs, checks, unique keys and indexes represent the approved logical domains plus documented v0.2 refinements.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Idempotency</w:t>
            </w:r>
          </w:p>
        </w:tc>
        <w:tc>
          <w:tcPr>
            <w:tcW w:type="dxa" w:w="756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Duplicate source payload cannot create duplicate raw revision; changed payload is retained as a new revision.</w:t>
            </w:r>
          </w:p>
        </w:tc>
      </w:tr>
      <w:tr>
        <w:tc>
          <w:tcPr>
            <w:tcW w:type="dxa" w:w="2232"/>
            <w:vAlign w:val="center"/>
            <w:shd w:fill="F5F2E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Money safety</w:t>
            </w:r>
          </w:p>
        </w:tc>
        <w:tc>
          <w:tcPr>
            <w:tcW w:type="dxa" w:w="7560"/>
            <w:vAlign w:val="center"/>
            <w:shd w:fill="F5F2E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Money uses fixed precision; journal lines are one-sided; finance transaction direction is constrained.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Historical stability</w:t>
            </w:r>
          </w:p>
        </w:tc>
        <w:tc>
          <w:tcPr>
            <w:tcW w:type="dxa" w:w="756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Menu price history cannot overlap and item sales store unit_price_snapshot.</w:t>
            </w:r>
          </w:p>
        </w:tc>
      </w:tr>
      <w:tr>
        <w:tc>
          <w:tcPr>
            <w:tcW w:type="dxa" w:w="2232"/>
            <w:vAlign w:val="center"/>
            <w:shd w:fill="F5F2E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Auditability</w:t>
            </w:r>
          </w:p>
        </w:tc>
        <w:tc>
          <w:tcPr>
            <w:tcW w:type="dxa" w:w="7560"/>
            <w:vAlign w:val="center"/>
            <w:shd w:fill="F5F2E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Correction/audit/report-run evidence is preserved and no hard-delete path is required.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PWA safety</w:t>
            </w:r>
          </w:p>
        </w:tc>
        <w:tc>
          <w:tcPr>
            <w:tcW w:type="dxa" w:w="756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Offline service worker never queues audited financial mutations or stores API response caches.</w:t>
            </w:r>
          </w:p>
        </w:tc>
      </w:tr>
      <w:tr>
        <w:tc>
          <w:tcPr>
            <w:tcW w:type="dxa" w:w="2232"/>
            <w:vAlign w:val="center"/>
            <w:shd w:fill="F5F2E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Known gaps</w:t>
            </w:r>
          </w:p>
        </w:tc>
        <w:tc>
          <w:tcPr>
            <w:tcW w:type="dxa" w:w="7560"/>
            <w:vAlign w:val="center"/>
            <w:shd w:fill="F5F2E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Cash reconciliation formula and final accounting classifications remain explicitly pending rather than guessed.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8F2F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Next recommended formal artifact: RBAC Permission Matrix v0.2, followed by API &amp; Integration Specification. In parallel, the codebase can proceed with Auth.js/Google login, server-side permission policy, and signed Google ingestion endpoints against this physical schema.</w:t>
            </w:r>
          </w:p>
        </w:tc>
      </w:tr>
    </w:tbl>
    <w:p>
      <w:pPr>
        <w:spacing w:after="0"/>
      </w:pP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8736A"/>
        <w:sz w:val="16"/>
      </w:rPr>
      <w:t>PDB-DOPAMIN v0.2  •  Implementation Baseline  •  Confidential Internal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68736A"/>
        <w:sz w:val="16"/>
      </w:rPr>
      <w:t>Physical Database Specification — Dopamin Cafe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D271E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F623E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F623E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F623E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A432C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60"/>
    </w:pPr>
    <w:rPr>
      <w:rFonts w:ascii="Liberation Mono" w:hAnsi="Liberation Mono"/>
      <w:color w:val="1D271E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