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7365D"/>
          <w:sz w:val="52"/>
        </w:rPr>
        <w:t>SOFTWARE REQUIREMENTS</w:t>
        <w:br/>
        <w:t>SPECIFICATION</w:t>
      </w:r>
    </w:p>
    <w:p>
      <w:pPr>
        <w:jc w:val="center"/>
      </w:pPr>
      <w:r>
        <w:rPr>
          <w:b/>
          <w:color w:val="2F5597"/>
          <w:sz w:val="36"/>
        </w:rPr>
        <w:t>Dopamin Cafe Accounting &amp; Inventory System</w:t>
      </w:r>
    </w:p>
    <w:p>
      <w:pPr>
        <w:spacing w:before="280"/>
        <w:jc w:val="center"/>
      </w:pPr>
      <w:r>
        <w:rPr>
          <w:color w:val="505050"/>
          <w:sz w:val="20"/>
        </w:rPr>
        <w:t>Google Forms / Google Sheets Integration • Financial Reporting • Inventory • Audit Trail</w:t>
      </w:r>
    </w:p>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AF7"/>
            <w:vAlign w:val="center"/>
            <w:tcMar>
              <w:top w:w="70" w:type="dxa"/>
              <w:start w:w="70" w:type="dxa"/>
              <w:bottom w:w="70" w:type="dxa"/>
              <w:end w:w="70" w:type="dxa"/>
            </w:tcMar>
          </w:tcPr>
          <w:p>
            <w:r/>
            <w:r>
              <w:rPr>
                <w:rFonts w:ascii="Aptos" w:hAnsi="Aptos"/>
                <w:b/>
                <w:color w:val="000000"/>
                <w:sz w:val="18"/>
              </w:rPr>
              <w:t>Document ID</w:t>
            </w:r>
          </w:p>
        </w:tc>
        <w:tc>
          <w:tcPr>
            <w:tcW w:type="dxa" w:w="5040"/>
            <w:vAlign w:val="center"/>
            <w:tcMar>
              <w:top w:w="70" w:type="dxa"/>
              <w:start w:w="70" w:type="dxa"/>
              <w:bottom w:w="70" w:type="dxa"/>
              <w:end w:w="70" w:type="dxa"/>
            </w:tcMar>
          </w:tcPr>
          <w:p>
            <w:r/>
            <w:r>
              <w:rPr>
                <w:rFonts w:ascii="Aptos" w:hAnsi="Aptos"/>
                <w:b w:val="0"/>
                <w:color w:val="000000"/>
                <w:sz w:val="18"/>
              </w:rPr>
              <w:t>SRS-DOPAMIN-ACCINV</w:t>
            </w:r>
          </w:p>
        </w:tc>
      </w:tr>
      <w:tr>
        <w:trPr>
          <w:cantSplit/>
        </w:trPr>
        <w:tc>
          <w:tcPr>
            <w:tcW w:type="dxa" w:w="5040"/>
            <w:shd w:fill="D9EAF7"/>
            <w:vAlign w:val="center"/>
            <w:tcMar>
              <w:top w:w="70" w:type="dxa"/>
              <w:start w:w="70" w:type="dxa"/>
              <w:bottom w:w="70" w:type="dxa"/>
              <w:end w:w="70" w:type="dxa"/>
            </w:tcMar>
          </w:tcPr>
          <w:p>
            <w:r/>
            <w:r>
              <w:rPr>
                <w:rFonts w:ascii="Aptos" w:hAnsi="Aptos"/>
                <w:b/>
                <w:color w:val="000000"/>
                <w:sz w:val="18"/>
              </w:rPr>
              <w:t>Version</w:t>
            </w:r>
          </w:p>
        </w:tc>
        <w:tc>
          <w:tcPr>
            <w:tcW w:type="dxa" w:w="5040"/>
            <w:vAlign w:val="center"/>
            <w:tcMar>
              <w:top w:w="70" w:type="dxa"/>
              <w:start w:w="70" w:type="dxa"/>
              <w:bottom w:w="70" w:type="dxa"/>
              <w:end w:w="70" w:type="dxa"/>
            </w:tcMar>
          </w:tcPr>
          <w:p>
            <w:r/>
            <w:r>
              <w:rPr>
                <w:rFonts w:ascii="Aptos" w:hAnsi="Aptos"/>
                <w:b w:val="0"/>
                <w:color w:val="000000"/>
                <w:sz w:val="18"/>
              </w:rPr>
              <w:t>0.1 — Draft Baseline</w:t>
            </w:r>
          </w:p>
        </w:tc>
      </w:tr>
      <w:tr>
        <w:trPr>
          <w:cantSplit/>
        </w:trPr>
        <w:tc>
          <w:tcPr>
            <w:tcW w:type="dxa" w:w="5040"/>
            <w:shd w:fill="D9EAF7"/>
            <w:vAlign w:val="center"/>
            <w:tcMar>
              <w:top w:w="70" w:type="dxa"/>
              <w:start w:w="70" w:type="dxa"/>
              <w:bottom w:w="70" w:type="dxa"/>
              <w:end w:w="70" w:type="dxa"/>
            </w:tcMar>
          </w:tcPr>
          <w:p>
            <w:r/>
            <w:r>
              <w:rPr>
                <w:rFonts w:ascii="Aptos" w:hAnsi="Aptos"/>
                <w:b/>
                <w:color w:val="000000"/>
                <w:sz w:val="18"/>
              </w:rPr>
              <w:t>Status</w:t>
            </w:r>
          </w:p>
        </w:tc>
        <w:tc>
          <w:tcPr>
            <w:tcW w:type="dxa" w:w="5040"/>
            <w:vAlign w:val="center"/>
            <w:tcMar>
              <w:top w:w="70" w:type="dxa"/>
              <w:start w:w="70" w:type="dxa"/>
              <w:bottom w:w="70" w:type="dxa"/>
              <w:end w:w="70" w:type="dxa"/>
            </w:tcMar>
          </w:tcPr>
          <w:p>
            <w:r/>
            <w:r>
              <w:rPr>
                <w:rFonts w:ascii="Aptos" w:hAnsi="Aptos"/>
                <w:b w:val="0"/>
                <w:color w:val="000000"/>
                <w:sz w:val="18"/>
              </w:rPr>
              <w:t>Requirements Baseline for MVP</w:t>
            </w:r>
          </w:p>
        </w:tc>
      </w:tr>
      <w:tr>
        <w:trPr>
          <w:cantSplit/>
        </w:trPr>
        <w:tc>
          <w:tcPr>
            <w:tcW w:type="dxa" w:w="5040"/>
            <w:shd w:fill="D9EAF7"/>
            <w:vAlign w:val="center"/>
            <w:tcMar>
              <w:top w:w="70" w:type="dxa"/>
              <w:start w:w="70" w:type="dxa"/>
              <w:bottom w:w="70" w:type="dxa"/>
              <w:end w:w="70" w:type="dxa"/>
            </w:tcMar>
          </w:tcPr>
          <w:p>
            <w:r/>
            <w:r>
              <w:rPr>
                <w:rFonts w:ascii="Aptos" w:hAnsi="Aptos"/>
                <w:b/>
                <w:color w:val="000000"/>
                <w:sz w:val="18"/>
              </w:rPr>
              <w:t>Business Timezone</w:t>
            </w:r>
          </w:p>
        </w:tc>
        <w:tc>
          <w:tcPr>
            <w:tcW w:type="dxa" w:w="5040"/>
            <w:vAlign w:val="center"/>
            <w:tcMar>
              <w:top w:w="70" w:type="dxa"/>
              <w:start w:w="70" w:type="dxa"/>
              <w:bottom w:w="70" w:type="dxa"/>
              <w:end w:w="70" w:type="dxa"/>
            </w:tcMar>
          </w:tcPr>
          <w:p>
            <w:r/>
            <w:r>
              <w:rPr>
                <w:rFonts w:ascii="Aptos" w:hAnsi="Aptos"/>
                <w:b w:val="0"/>
                <w:color w:val="000000"/>
                <w:sz w:val="18"/>
              </w:rPr>
              <w:t>Asia/Jakarta</w:t>
            </w:r>
          </w:p>
        </w:tc>
      </w:tr>
      <w:tr>
        <w:trPr>
          <w:cantSplit/>
        </w:trPr>
        <w:tc>
          <w:tcPr>
            <w:tcW w:type="dxa" w:w="5040"/>
            <w:shd w:fill="D9EAF7"/>
            <w:vAlign w:val="center"/>
            <w:tcMar>
              <w:top w:w="70" w:type="dxa"/>
              <w:start w:w="70" w:type="dxa"/>
              <w:bottom w:w="70" w:type="dxa"/>
              <w:end w:w="70" w:type="dxa"/>
            </w:tcMar>
          </w:tcPr>
          <w:p>
            <w:r/>
            <w:r>
              <w:rPr>
                <w:rFonts w:ascii="Aptos" w:hAnsi="Aptos"/>
                <w:b/>
                <w:color w:val="000000"/>
                <w:sz w:val="18"/>
              </w:rPr>
              <w:t>Operating Hours</w:t>
            </w:r>
          </w:p>
        </w:tc>
        <w:tc>
          <w:tcPr>
            <w:tcW w:type="dxa" w:w="5040"/>
            <w:vAlign w:val="center"/>
            <w:tcMar>
              <w:top w:w="70" w:type="dxa"/>
              <w:start w:w="70" w:type="dxa"/>
              <w:bottom w:w="70" w:type="dxa"/>
              <w:end w:w="70" w:type="dxa"/>
            </w:tcMar>
          </w:tcPr>
          <w:p>
            <w:r/>
            <w:r>
              <w:rPr>
                <w:rFonts w:ascii="Aptos" w:hAnsi="Aptos"/>
                <w:b w:val="0"/>
                <w:color w:val="000000"/>
                <w:sz w:val="18"/>
              </w:rPr>
              <w:t>10:00 – 21:30</w:t>
            </w:r>
          </w:p>
        </w:tc>
      </w:tr>
      <w:tr>
        <w:trPr>
          <w:cantSplit/>
        </w:trPr>
        <w:tc>
          <w:tcPr>
            <w:tcW w:type="dxa" w:w="5040"/>
            <w:shd w:fill="D9EAF7"/>
            <w:vAlign w:val="center"/>
            <w:tcMar>
              <w:top w:w="70" w:type="dxa"/>
              <w:start w:w="70" w:type="dxa"/>
              <w:bottom w:w="70" w:type="dxa"/>
              <w:end w:w="70" w:type="dxa"/>
            </w:tcMar>
          </w:tcPr>
          <w:p>
            <w:r/>
            <w:r>
              <w:rPr>
                <w:rFonts w:ascii="Aptos" w:hAnsi="Aptos"/>
                <w:b/>
                <w:color w:val="000000"/>
                <w:sz w:val="18"/>
              </w:rPr>
              <w:t>Prepared From</w:t>
            </w:r>
          </w:p>
        </w:tc>
        <w:tc>
          <w:tcPr>
            <w:tcW w:type="dxa" w:w="5040"/>
            <w:vAlign w:val="center"/>
            <w:tcMar>
              <w:top w:w="70" w:type="dxa"/>
              <w:start w:w="70" w:type="dxa"/>
              <w:bottom w:w="70" w:type="dxa"/>
              <w:end w:w="70" w:type="dxa"/>
            </w:tcMar>
          </w:tcPr>
          <w:p>
            <w:r/>
            <w:r>
              <w:rPr>
                <w:rFonts w:ascii="Aptos" w:hAnsi="Aptos"/>
                <w:b w:val="0"/>
                <w:color w:val="000000"/>
                <w:sz w:val="18"/>
              </w:rPr>
              <w:t>Stakeholder discussion, 4 spreadsheets, 3 process-flow diagrams</w:t>
            </w:r>
          </w:p>
        </w:tc>
      </w:tr>
    </w:tbl>
    <w:p/>
    <w:p>
      <w:pPr>
        <w:jc w:val="center"/>
      </w:pPr>
      <w:r>
        <w:rPr>
          <w:i/>
        </w:rPr>
        <w:t>This document defines the functional and non-functional baseline before ERD, API design, UI design, and implementation.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shd w:fill="17365D"/>
            <w:tcMar>
              <w:top w:w="70" w:type="dxa"/>
              <w:start w:w="70" w:type="dxa"/>
              <w:bottom w:w="70" w:type="dxa"/>
              <w:end w:w="70" w:type="dxa"/>
            </w:tcMar>
          </w:tcPr>
          <w:p>
            <w:pPr>
              <w:jc w:val="center"/>
            </w:pPr>
            <w:r/>
            <w:r>
              <w:rPr>
                <w:rFonts w:ascii="Aptos" w:hAnsi="Aptos"/>
                <w:b/>
                <w:color w:val="FFFFFF"/>
                <w:sz w:val="16"/>
              </w:rPr>
              <w:t>Version</w:t>
            </w:r>
          </w:p>
        </w:tc>
        <w:tc>
          <w:tcPr>
            <w:tcW w:type="dxa" w:w="1728"/>
            <w:vAlign w:val="center"/>
            <w:shd w:fill="17365D"/>
            <w:tcMar>
              <w:top w:w="70" w:type="dxa"/>
              <w:start w:w="70" w:type="dxa"/>
              <w:bottom w:w="70" w:type="dxa"/>
              <w:end w:w="70" w:type="dxa"/>
            </w:tcMar>
          </w:tcPr>
          <w:p>
            <w:pPr>
              <w:jc w:val="center"/>
            </w:pPr>
            <w:r/>
            <w:r>
              <w:rPr>
                <w:rFonts w:ascii="Aptos" w:hAnsi="Aptos"/>
                <w:b/>
                <w:color w:val="FFFFFF"/>
                <w:sz w:val="16"/>
              </w:rPr>
              <w:t>Status</w:t>
            </w:r>
          </w:p>
        </w:tc>
        <w:tc>
          <w:tcPr>
            <w:tcW w:type="dxa" w:w="6912"/>
            <w:vAlign w:val="center"/>
            <w:shd w:fill="17365D"/>
            <w:tcMar>
              <w:top w:w="70" w:type="dxa"/>
              <w:start w:w="70" w:type="dxa"/>
              <w:bottom w:w="70" w:type="dxa"/>
              <w:end w:w="70" w:type="dxa"/>
            </w:tcMar>
          </w:tcPr>
          <w:p>
            <w:pPr>
              <w:jc w:val="center"/>
            </w:pPr>
            <w:r/>
            <w:r>
              <w:rPr>
                <w:rFonts w:ascii="Aptos" w:hAnsi="Aptos"/>
                <w:b/>
                <w:color w:val="FFFFFF"/>
                <w:sz w:val="16"/>
              </w:rPr>
              <w:t>Description</w:t>
            </w:r>
          </w:p>
        </w:tc>
      </w:tr>
      <w:tr>
        <w:trPr>
          <w:cantSplit/>
        </w:trPr>
        <w:tc>
          <w:tcPr>
            <w:tcW w:type="dxa" w:w="1152"/>
            <w:vAlign w:val="center"/>
            <w:tcMar>
              <w:top w:w="70" w:type="dxa"/>
              <w:start w:w="70" w:type="dxa"/>
              <w:bottom w:w="70" w:type="dxa"/>
              <w:end w:w="70" w:type="dxa"/>
            </w:tcMar>
          </w:tcPr>
          <w:p>
            <w:r/>
            <w:r>
              <w:rPr>
                <w:rFonts w:ascii="Aptos" w:hAnsi="Aptos"/>
                <w:b w:val="0"/>
                <w:color w:val="000000"/>
                <w:sz w:val="16"/>
              </w:rPr>
              <w:t>0.1</w:t>
            </w:r>
          </w:p>
        </w:tc>
        <w:tc>
          <w:tcPr>
            <w:tcW w:type="dxa" w:w="1728"/>
            <w:vAlign w:val="center"/>
            <w:tcMar>
              <w:top w:w="70" w:type="dxa"/>
              <w:start w:w="70" w:type="dxa"/>
              <w:bottom w:w="70" w:type="dxa"/>
              <w:end w:w="70" w:type="dxa"/>
            </w:tcMar>
          </w:tcPr>
          <w:p>
            <w:r/>
            <w:r>
              <w:rPr>
                <w:rFonts w:ascii="Aptos" w:hAnsi="Aptos"/>
                <w:b w:val="0"/>
                <w:color w:val="000000"/>
                <w:sz w:val="16"/>
              </w:rPr>
              <w:t>Draft Baseline</w:t>
            </w:r>
          </w:p>
        </w:tc>
        <w:tc>
          <w:tcPr>
            <w:tcW w:type="dxa" w:w="6912"/>
            <w:vAlign w:val="center"/>
            <w:tcMar>
              <w:top w:w="70" w:type="dxa"/>
              <w:start w:w="70" w:type="dxa"/>
              <w:bottom w:w="70" w:type="dxa"/>
              <w:end w:w="70" w:type="dxa"/>
            </w:tcMar>
          </w:tcPr>
          <w:p>
            <w:r/>
            <w:r>
              <w:rPr>
                <w:rFonts w:ascii="Aptos" w:hAnsi="Aptos"/>
                <w:b w:val="0"/>
                <w:color w:val="000000"/>
                <w:sz w:val="16"/>
              </w:rPr>
              <w:t>Initial SRS based on agreed business rules and analysis of current forms/spreadsheets.</w:t>
            </w:r>
          </w:p>
        </w:tc>
      </w:tr>
    </w:tbl>
    <w:p>
      <w:pPr>
        <w:spacing w:after="20"/>
      </w:pPr>
    </w:p>
    <w:p>
      <w:pPr>
        <w:pStyle w:val="Heading2"/>
      </w:pPr>
      <w:r>
        <w:t>Approval / Validation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vAlign w:val="center"/>
            <w:shd w:fill="17365D"/>
            <w:tcMar>
              <w:top w:w="70" w:type="dxa"/>
              <w:start w:w="70" w:type="dxa"/>
              <w:bottom w:w="70" w:type="dxa"/>
              <w:end w:w="70" w:type="dxa"/>
            </w:tcMar>
          </w:tcPr>
          <w:p>
            <w:pPr>
              <w:jc w:val="center"/>
            </w:pPr>
            <w:r/>
            <w:r>
              <w:rPr>
                <w:rFonts w:ascii="Aptos" w:hAnsi="Aptos"/>
                <w:b/>
                <w:color w:val="FFFFFF"/>
                <w:sz w:val="16"/>
              </w:rPr>
              <w:t>Role</w:t>
            </w:r>
          </w:p>
        </w:tc>
        <w:tc>
          <w:tcPr>
            <w:tcW w:type="dxa" w:w="5472"/>
            <w:vAlign w:val="center"/>
            <w:shd w:fill="17365D"/>
            <w:tcMar>
              <w:top w:w="70" w:type="dxa"/>
              <w:start w:w="70" w:type="dxa"/>
              <w:bottom w:w="70" w:type="dxa"/>
              <w:end w:w="70" w:type="dxa"/>
            </w:tcMar>
          </w:tcPr>
          <w:p>
            <w:pPr>
              <w:jc w:val="center"/>
            </w:pPr>
            <w:r/>
            <w:r>
              <w:rPr>
                <w:rFonts w:ascii="Aptos" w:hAnsi="Aptos"/>
                <w:b/>
                <w:color w:val="FFFFFF"/>
                <w:sz w:val="16"/>
              </w:rPr>
              <w:t>Responsibility</w:t>
            </w:r>
          </w:p>
        </w:tc>
        <w:tc>
          <w:tcPr>
            <w:tcW w:type="dxa" w:w="2448"/>
            <w:vAlign w:val="center"/>
            <w:shd w:fill="17365D"/>
            <w:tcMar>
              <w:top w:w="70" w:type="dxa"/>
              <w:start w:w="70" w:type="dxa"/>
              <w:bottom w:w="70" w:type="dxa"/>
              <w:end w:w="70" w:type="dxa"/>
            </w:tcMar>
          </w:tcPr>
          <w:p>
            <w:pPr>
              <w:jc w:val="center"/>
            </w:pPr>
            <w:r/>
            <w:r>
              <w:rPr>
                <w:rFonts w:ascii="Aptos" w:hAnsi="Aptos"/>
                <w:b/>
                <w:color w:val="FFFFFF"/>
                <w:sz w:val="16"/>
              </w:rPr>
              <w:t>Validation Status</w:t>
            </w:r>
          </w:p>
        </w:tc>
      </w:tr>
      <w:tr>
        <w:trPr>
          <w:cantSplit/>
        </w:trPr>
        <w:tc>
          <w:tcPr>
            <w:tcW w:type="dxa" w:w="1872"/>
            <w:vAlign w:val="center"/>
            <w:tcMar>
              <w:top w:w="70" w:type="dxa"/>
              <w:start w:w="70" w:type="dxa"/>
              <w:bottom w:w="70" w:type="dxa"/>
              <w:end w:w="70" w:type="dxa"/>
            </w:tcMar>
          </w:tcPr>
          <w:p>
            <w:r/>
            <w:r>
              <w:rPr>
                <w:rFonts w:ascii="Aptos" w:hAnsi="Aptos"/>
                <w:b w:val="0"/>
                <w:color w:val="000000"/>
                <w:sz w:val="16"/>
              </w:rPr>
              <w:t>Owner / Director</w:t>
            </w:r>
          </w:p>
        </w:tc>
        <w:tc>
          <w:tcPr>
            <w:tcW w:type="dxa" w:w="5472"/>
            <w:vAlign w:val="center"/>
            <w:tcMar>
              <w:top w:w="70" w:type="dxa"/>
              <w:start w:w="70" w:type="dxa"/>
              <w:bottom w:w="70" w:type="dxa"/>
              <w:end w:w="70" w:type="dxa"/>
            </w:tcMar>
          </w:tcPr>
          <w:p>
            <w:r/>
            <w:r>
              <w:rPr>
                <w:rFonts w:ascii="Aptos" w:hAnsi="Aptos"/>
                <w:b w:val="0"/>
                <w:color w:val="000000"/>
                <w:sz w:val="16"/>
              </w:rPr>
              <w:t>Business owner and final operational acceptance</w:t>
            </w:r>
          </w:p>
        </w:tc>
        <w:tc>
          <w:tcPr>
            <w:tcW w:type="dxa" w:w="2448"/>
            <w:vAlign w:val="center"/>
            <w:tcMar>
              <w:top w:w="70" w:type="dxa"/>
              <w:start w:w="70" w:type="dxa"/>
              <w:bottom w:w="70" w:type="dxa"/>
              <w:end w:w="70" w:type="dxa"/>
            </w:tcMar>
          </w:tcPr>
          <w:p>
            <w:r/>
            <w:r>
              <w:rPr>
                <w:rFonts w:ascii="Aptos" w:hAnsi="Aptos"/>
                <w:b w:val="0"/>
                <w:color w:val="000000"/>
                <w:sz w:val="16"/>
              </w:rPr>
              <w:t>Pending formal sign-off</w:t>
            </w:r>
          </w:p>
        </w:tc>
      </w:tr>
      <w:tr>
        <w:trPr>
          <w:cantSplit/>
        </w:trPr>
        <w:tc>
          <w:tcPr>
            <w:tcW w:type="dxa" w:w="1872"/>
            <w:vAlign w:val="center"/>
            <w:shd w:fill="F8FAFC"/>
            <w:tcMar>
              <w:top w:w="70" w:type="dxa"/>
              <w:start w:w="70" w:type="dxa"/>
              <w:bottom w:w="70" w:type="dxa"/>
              <w:end w:w="70" w:type="dxa"/>
            </w:tcMar>
          </w:tcPr>
          <w:p>
            <w:r/>
            <w:r>
              <w:rPr>
                <w:rFonts w:ascii="Aptos" w:hAnsi="Aptos"/>
                <w:b w:val="0"/>
                <w:color w:val="000000"/>
                <w:sz w:val="16"/>
              </w:rPr>
              <w:t>Manager</w:t>
            </w:r>
          </w:p>
        </w:tc>
        <w:tc>
          <w:tcPr>
            <w:tcW w:type="dxa" w:w="5472"/>
            <w:vAlign w:val="center"/>
            <w:shd w:fill="F8FAFC"/>
            <w:tcMar>
              <w:top w:w="70" w:type="dxa"/>
              <w:start w:w="70" w:type="dxa"/>
              <w:bottom w:w="70" w:type="dxa"/>
              <w:end w:w="70" w:type="dxa"/>
            </w:tcMar>
          </w:tcPr>
          <w:p>
            <w:r/>
            <w:r>
              <w:rPr>
                <w:rFonts w:ascii="Aptos" w:hAnsi="Aptos"/>
                <w:b w:val="0"/>
                <w:color w:val="000000"/>
                <w:sz w:val="16"/>
              </w:rPr>
              <w:t>Operational process validation</w:t>
            </w:r>
          </w:p>
        </w:tc>
        <w:tc>
          <w:tcPr>
            <w:tcW w:type="dxa" w:w="2448"/>
            <w:vAlign w:val="center"/>
            <w:shd w:fill="F8FAFC"/>
            <w:tcMar>
              <w:top w:w="70" w:type="dxa"/>
              <w:start w:w="70" w:type="dxa"/>
              <w:bottom w:w="70" w:type="dxa"/>
              <w:end w:w="70" w:type="dxa"/>
            </w:tcMar>
          </w:tcPr>
          <w:p>
            <w:r/>
            <w:r>
              <w:rPr>
                <w:rFonts w:ascii="Aptos" w:hAnsi="Aptos"/>
                <w:b w:val="0"/>
                <w:color w:val="000000"/>
                <w:sz w:val="16"/>
              </w:rPr>
              <w:t>Pending UAT</w:t>
            </w:r>
          </w:p>
        </w:tc>
      </w:tr>
      <w:tr>
        <w:trPr>
          <w:cantSplit/>
        </w:trPr>
        <w:tc>
          <w:tcPr>
            <w:tcW w:type="dxa" w:w="1872"/>
            <w:vAlign w:val="center"/>
            <w:tcMar>
              <w:top w:w="70" w:type="dxa"/>
              <w:start w:w="70" w:type="dxa"/>
              <w:bottom w:w="70" w:type="dxa"/>
              <w:end w:w="70" w:type="dxa"/>
            </w:tcMar>
          </w:tcPr>
          <w:p>
            <w:r/>
            <w:r>
              <w:rPr>
                <w:rFonts w:ascii="Aptos" w:hAnsi="Aptos"/>
                <w:b w:val="0"/>
                <w:color w:val="000000"/>
                <w:sz w:val="16"/>
              </w:rPr>
              <w:t>System Analyst / Developer</w:t>
            </w:r>
          </w:p>
        </w:tc>
        <w:tc>
          <w:tcPr>
            <w:tcW w:type="dxa" w:w="5472"/>
            <w:vAlign w:val="center"/>
            <w:tcMar>
              <w:top w:w="70" w:type="dxa"/>
              <w:start w:w="70" w:type="dxa"/>
              <w:bottom w:w="70" w:type="dxa"/>
              <w:end w:w="70" w:type="dxa"/>
            </w:tcMar>
          </w:tcPr>
          <w:p>
            <w:r/>
            <w:r>
              <w:rPr>
                <w:rFonts w:ascii="Aptos" w:hAnsi="Aptos"/>
                <w:b w:val="0"/>
                <w:color w:val="000000"/>
                <w:sz w:val="16"/>
              </w:rPr>
              <w:t>Translate SRS into ERD, APIs, UI and implementation</w:t>
            </w:r>
          </w:p>
        </w:tc>
        <w:tc>
          <w:tcPr>
            <w:tcW w:type="dxa" w:w="2448"/>
            <w:vAlign w:val="center"/>
            <w:tcMar>
              <w:top w:w="70" w:type="dxa"/>
              <w:start w:w="70" w:type="dxa"/>
              <w:bottom w:w="70" w:type="dxa"/>
              <w:end w:w="70" w:type="dxa"/>
            </w:tcMar>
          </w:tcPr>
          <w:p>
            <w:r/>
            <w:r>
              <w:rPr>
                <w:rFonts w:ascii="Aptos" w:hAnsi="Aptos"/>
                <w:b w:val="0"/>
                <w:color w:val="000000"/>
                <w:sz w:val="16"/>
              </w:rPr>
              <w:t>Ready for design</w:t>
            </w:r>
          </w:p>
        </w:tc>
      </w:tr>
    </w:tbl>
    <w:p>
      <w:pPr>
        <w:spacing w:after="20"/>
      </w:pPr>
    </w:p>
    <w:p>
      <w:pPr>
        <w:pStyle w:val="Heading2"/>
      </w:pPr>
      <w:r>
        <w:t>Table of Contents</w:t>
      </w:r>
    </w:p>
    <w:p>
      <w:pPr>
        <w:pStyle w:val="ListBullet"/>
        <w:spacing w:after="40"/>
      </w:pPr>
      <w:r>
        <w:t>1. Introduction</w:t>
      </w:r>
    </w:p>
    <w:p>
      <w:pPr>
        <w:pStyle w:val="ListBullet"/>
        <w:spacing w:after="40"/>
      </w:pPr>
      <w:r>
        <w:t>2. Existing Process and Source Data</w:t>
      </w:r>
    </w:p>
    <w:p>
      <w:pPr>
        <w:pStyle w:val="ListBullet"/>
        <w:spacing w:after="40"/>
      </w:pPr>
      <w:r>
        <w:t>3. Product Scope and Objectives</w:t>
      </w:r>
    </w:p>
    <w:p>
      <w:pPr>
        <w:pStyle w:val="ListBullet"/>
        <w:spacing w:after="40"/>
      </w:pPr>
      <w:r>
        <w:t>4. Stakeholders, Roles, and Permissions</w:t>
      </w:r>
    </w:p>
    <w:p>
      <w:pPr>
        <w:pStyle w:val="ListBullet"/>
        <w:spacing w:after="40"/>
      </w:pPr>
      <w:r>
        <w:t>5. System Context and Architecture</w:t>
      </w:r>
    </w:p>
    <w:p>
      <w:pPr>
        <w:pStyle w:val="ListBullet"/>
        <w:spacing w:after="40"/>
      </w:pPr>
      <w:r>
        <w:t>6. Core Business Rules</w:t>
      </w:r>
    </w:p>
    <w:p>
      <w:pPr>
        <w:pStyle w:val="ListBullet"/>
        <w:spacing w:after="40"/>
      </w:pPr>
      <w:r>
        <w:t>7. Functional Requirements</w:t>
      </w:r>
    </w:p>
    <w:p>
      <w:pPr>
        <w:pStyle w:val="ListBullet"/>
        <w:spacing w:after="40"/>
      </w:pPr>
      <w:r>
        <w:t>8. Data Requirements and Normalization</w:t>
      </w:r>
    </w:p>
    <w:p>
      <w:pPr>
        <w:pStyle w:val="ListBullet"/>
        <w:spacing w:after="40"/>
      </w:pPr>
      <w:r>
        <w:t>9. Reports, Dashboard, and KPI Definitions</w:t>
      </w:r>
    </w:p>
    <w:p>
      <w:pPr>
        <w:pStyle w:val="ListBullet"/>
        <w:spacing w:after="40"/>
      </w:pPr>
      <w:r>
        <w:t>10. Non-Functional Requirements</w:t>
      </w:r>
    </w:p>
    <w:p>
      <w:pPr>
        <w:pStyle w:val="ListBullet"/>
        <w:spacing w:after="40"/>
      </w:pPr>
      <w:r>
        <w:t>11. Deployment, Backup, and Operations</w:t>
      </w:r>
    </w:p>
    <w:p>
      <w:pPr>
        <w:pStyle w:val="ListBullet"/>
        <w:spacing w:after="40"/>
      </w:pPr>
      <w:r>
        <w:t>12. MVP Scope, Out-of-Scope, and Future Phase</w:t>
      </w:r>
    </w:p>
    <w:p>
      <w:pPr>
        <w:pStyle w:val="ListBullet"/>
        <w:spacing w:after="40"/>
      </w:pPr>
      <w:r>
        <w:t>13. Acceptance Criteria / UAT</w:t>
      </w:r>
    </w:p>
    <w:p>
      <w:pPr>
        <w:pStyle w:val="ListBullet"/>
        <w:spacing w:after="40"/>
      </w:pPr>
      <w:r>
        <w:t>14. Assumptions and Items to Validate</w:t>
      </w:r>
    </w:p>
    <w:p>
      <w:pPr>
        <w:pStyle w:val="ListBullet"/>
        <w:spacing w:after="40"/>
      </w:pPr>
      <w:r>
        <w:t>Appendix A. Current Process Flow References</w:t>
      </w:r>
    </w:p>
    <w:p>
      <w:pPr>
        <w:pStyle w:val="ListBullet"/>
        <w:spacing w:after="40"/>
      </w:pPr>
      <w:r>
        <w:t>Appendix B. Spreadsheet-to-System Mapping</w:t>
      </w:r>
    </w:p>
    <w:tbl>
      <w:tblPr>
        <w:tblStyle w:val="TableGrid"/>
        <w:tblW w:type="auto" w:w="0"/>
        <w:tblLook w:firstColumn="1" w:firstRow="1" w:lastColumn="0" w:lastRow="0" w:noHBand="0" w:noVBand="1" w:val="04A0"/>
      </w:tblPr>
      <w:tblGrid>
        <w:gridCol w:w="10080"/>
      </w:tblGrid>
      <w:tr>
        <w:trPr>
          <w:cantSplit/>
        </w:trPr>
        <w:tc>
          <w:tcPr>
            <w:tcW w:type="dxa" w:w="10080"/>
            <w:shd w:fill="E2F0D9"/>
            <w:vAlign w:val="center"/>
            <w:tcMar>
              <w:top w:w="100" w:type="dxa"/>
              <w:start w:w="120" w:type="dxa"/>
              <w:bottom w:w="100" w:type="dxa"/>
              <w:end w:w="120" w:type="dxa"/>
            </w:tcMar>
          </w:tcPr>
          <w:p>
            <w:r/>
            <w:r>
              <w:rPr>
                <w:rFonts w:ascii="Aptos" w:hAnsi="Aptos"/>
                <w:b w:val="0"/>
                <w:color w:val="000000"/>
                <w:sz w:val="17"/>
              </w:rPr>
              <w:t>Baseline principle: Google Forms/Sheets remain the operational input and raw-data source. PostgreSQL is the application database for normalized data, accounting logic, inventory, approvals, reporting, corrections, and audit history.</w:t>
            </w:r>
          </w:p>
        </w:tc>
      </w:tr>
    </w:tbl>
    <w:p>
      <w:pPr>
        <w:spacing w:after="20"/>
      </w:pPr>
    </w:p>
    <w:p>
      <w:pPr>
        <w:pStyle w:val="Heading1"/>
      </w:pPr>
      <w:r>
        <w:t>1. Introduction</w:t>
      </w:r>
    </w:p>
    <w:p>
      <w:pPr>
        <w:pStyle w:val="Heading2"/>
      </w:pPr>
      <w:r>
        <w:t>1.1 Purpose</w:t>
      </w:r>
    </w:p>
    <w:p>
      <w:r>
        <w:t>This SRS defines the requirements for a lightweight accounting, finance, sales, and inventory application for Dopamin Cafe. The application consolidates operational data currently captured through Google Forms and Google Sheets, converts it into normalized and auditable records, and presents detailed dashboards, reports, financial movements, stock opname results, and scheduled daily email summaries.</w:t>
      </w:r>
    </w:p>
    <w:p>
      <w:pPr>
        <w:pStyle w:val="Heading2"/>
      </w:pPr>
      <w:r>
        <w:t>1.2 Scope</w:t>
      </w:r>
    </w:p>
    <w:p>
      <w:pPr>
        <w:pStyle w:val="ListBullet"/>
        <w:spacing w:after="40"/>
      </w:pPr>
      <w:r>
        <w:t>Cashier reporting: income by payment method, cashier expenses, opening/closing cash, petty cash, and cash denominations.</w:t>
      </w:r>
    </w:p>
    <w:p>
      <w:pPr>
        <w:pStyle w:val="ListBullet"/>
        <w:spacing w:after="40"/>
      </w:pPr>
      <w:r>
        <w:t>Food sales reporting from Kitchen Google Form, using quantity × master-menu price for MVP.</w:t>
      </w:r>
    </w:p>
    <w:p>
      <w:pPr>
        <w:pStyle w:val="ListBullet"/>
        <w:spacing w:after="40"/>
      </w:pPr>
      <w:r>
        <w:t>Beverage sales reporting from Cashier/Barista Google Form, using quantity × master-menu price for MVP.</w:t>
      </w:r>
    </w:p>
    <w:p>
      <w:pPr>
        <w:pStyle w:val="ListBullet"/>
        <w:spacing w:after="40"/>
      </w:pPr>
      <w:r>
        <w:t>Operational-fund / Housebank tracking, including company funding, internal transfer to Cashier, and operational spending.</w:t>
      </w:r>
    </w:p>
    <w:p>
      <w:pPr>
        <w:pStyle w:val="ListBullet"/>
        <w:spacing w:after="40"/>
      </w:pPr>
      <w:r>
        <w:t>Purchase Request workflow based on the supplied operational flow.</w:t>
      </w:r>
    </w:p>
    <w:p>
      <w:pPr>
        <w:pStyle w:val="ListBullet"/>
        <w:spacing w:after="40"/>
      </w:pPr>
      <w:r>
        <w:t>Stock opname for Kitchen, Beverage/Bar, and Other inventory categories.</w:t>
      </w:r>
    </w:p>
    <w:p>
      <w:pPr>
        <w:pStyle w:val="ListBullet"/>
        <w:spacing w:after="40"/>
      </w:pPr>
      <w:r>
        <w:t>Configurable scheduled daily report email with incomplete-data status.</w:t>
      </w:r>
    </w:p>
    <w:p>
      <w:pPr>
        <w:pStyle w:val="ListBullet"/>
        <w:spacing w:after="40"/>
      </w:pPr>
      <w:r>
        <w:t>Detailed dashboard, historical drill-down, charts, filters, exports, corrections, and immutable audit trail.</w:t>
      </w:r>
    </w:p>
    <w:p>
      <w:pPr>
        <w:pStyle w:val="Heading2"/>
      </w:pPr>
      <w:r>
        <w:t>1.3 Definitions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vAlign w:val="center"/>
            <w:shd w:fill="17365D"/>
            <w:tcMar>
              <w:top w:w="70" w:type="dxa"/>
              <w:start w:w="70" w:type="dxa"/>
              <w:bottom w:w="70" w:type="dxa"/>
              <w:end w:w="70" w:type="dxa"/>
            </w:tcMar>
          </w:tcPr>
          <w:p>
            <w:pPr>
              <w:jc w:val="center"/>
            </w:pPr>
            <w:r/>
            <w:r>
              <w:rPr>
                <w:rFonts w:ascii="Aptos" w:hAnsi="Aptos"/>
                <w:b/>
                <w:color w:val="FFFFFF"/>
                <w:sz w:val="16"/>
              </w:rPr>
              <w:t>Term</w:t>
            </w:r>
          </w:p>
        </w:tc>
        <w:tc>
          <w:tcPr>
            <w:tcW w:type="dxa" w:w="7776"/>
            <w:vAlign w:val="center"/>
            <w:shd w:fill="17365D"/>
            <w:tcMar>
              <w:top w:w="70" w:type="dxa"/>
              <w:start w:w="70" w:type="dxa"/>
              <w:bottom w:w="70" w:type="dxa"/>
              <w:end w:w="70" w:type="dxa"/>
            </w:tcMar>
          </w:tcPr>
          <w:p>
            <w:pPr>
              <w:jc w:val="center"/>
            </w:pPr>
            <w:r/>
            <w:r>
              <w:rPr>
                <w:rFonts w:ascii="Aptos" w:hAnsi="Aptos"/>
                <w:b/>
                <w:color w:val="FFFFFF"/>
                <w:sz w:val="16"/>
              </w:rPr>
              <w:t>Definition</w:t>
            </w:r>
          </w:p>
        </w:tc>
      </w:tr>
      <w:tr>
        <w:trPr>
          <w:cantSplit/>
        </w:trPr>
        <w:tc>
          <w:tcPr>
            <w:tcW w:type="dxa" w:w="2016"/>
            <w:vAlign w:val="center"/>
            <w:tcMar>
              <w:top w:w="70" w:type="dxa"/>
              <w:start w:w="70" w:type="dxa"/>
              <w:bottom w:w="70" w:type="dxa"/>
              <w:end w:w="70" w:type="dxa"/>
            </w:tcMar>
          </w:tcPr>
          <w:p>
            <w:r/>
            <w:r>
              <w:rPr>
                <w:rFonts w:ascii="Aptos" w:hAnsi="Aptos"/>
                <w:b w:val="0"/>
                <w:color w:val="000000"/>
                <w:sz w:val="16"/>
              </w:rPr>
              <w:t>Business Date</w:t>
            </w:r>
          </w:p>
        </w:tc>
        <w:tc>
          <w:tcPr>
            <w:tcW w:type="dxa" w:w="7776"/>
            <w:vAlign w:val="center"/>
            <w:tcMar>
              <w:top w:w="70" w:type="dxa"/>
              <w:start w:w="70" w:type="dxa"/>
              <w:bottom w:w="70" w:type="dxa"/>
              <w:end w:w="70" w:type="dxa"/>
            </w:tcMar>
          </w:tcPr>
          <w:p>
            <w:r/>
            <w:r>
              <w:rPr>
                <w:rFonts w:ascii="Aptos" w:hAnsi="Aptos"/>
                <w:b w:val="0"/>
                <w:color w:val="000000"/>
                <w:sz w:val="16"/>
              </w:rPr>
              <w:t>Operational transaction/reporting date used for cafe reporting, independent from Google Form submission timestamp.</w:t>
            </w:r>
          </w:p>
        </w:tc>
      </w:tr>
      <w:tr>
        <w:trPr>
          <w:cantSplit/>
        </w:trPr>
        <w:tc>
          <w:tcPr>
            <w:tcW w:type="dxa" w:w="2016"/>
            <w:vAlign w:val="center"/>
            <w:shd w:fill="F8FAFC"/>
            <w:tcMar>
              <w:top w:w="70" w:type="dxa"/>
              <w:start w:w="70" w:type="dxa"/>
              <w:bottom w:w="70" w:type="dxa"/>
              <w:end w:w="70" w:type="dxa"/>
            </w:tcMar>
          </w:tcPr>
          <w:p>
            <w:r/>
            <w:r>
              <w:rPr>
                <w:rFonts w:ascii="Aptos" w:hAnsi="Aptos"/>
                <w:b w:val="0"/>
                <w:color w:val="000000"/>
                <w:sz w:val="16"/>
              </w:rPr>
              <w:t>Raw Submission</w:t>
            </w:r>
          </w:p>
        </w:tc>
        <w:tc>
          <w:tcPr>
            <w:tcW w:type="dxa" w:w="7776"/>
            <w:vAlign w:val="center"/>
            <w:shd w:fill="F8FAFC"/>
            <w:tcMar>
              <w:top w:w="70" w:type="dxa"/>
              <w:start w:w="70" w:type="dxa"/>
              <w:bottom w:w="70" w:type="dxa"/>
              <w:end w:w="70" w:type="dxa"/>
            </w:tcMar>
          </w:tcPr>
          <w:p>
            <w:r/>
            <w:r>
              <w:rPr>
                <w:rFonts w:ascii="Aptos" w:hAnsi="Aptos"/>
                <w:b w:val="0"/>
                <w:color w:val="000000"/>
                <w:sz w:val="16"/>
              </w:rPr>
              <w:t>Original Google Form/Sheet payload preserved without destructive modification.</w:t>
            </w:r>
          </w:p>
        </w:tc>
      </w:tr>
      <w:tr>
        <w:trPr>
          <w:cantSplit/>
        </w:trPr>
        <w:tc>
          <w:tcPr>
            <w:tcW w:type="dxa" w:w="2016"/>
            <w:vAlign w:val="center"/>
            <w:tcMar>
              <w:top w:w="70" w:type="dxa"/>
              <w:start w:w="70" w:type="dxa"/>
              <w:bottom w:w="70" w:type="dxa"/>
              <w:end w:w="70" w:type="dxa"/>
            </w:tcMar>
          </w:tcPr>
          <w:p>
            <w:r/>
            <w:r>
              <w:rPr>
                <w:rFonts w:ascii="Aptos" w:hAnsi="Aptos"/>
                <w:b w:val="0"/>
                <w:color w:val="000000"/>
                <w:sz w:val="16"/>
              </w:rPr>
              <w:t>Effective Value</w:t>
            </w:r>
          </w:p>
        </w:tc>
        <w:tc>
          <w:tcPr>
            <w:tcW w:type="dxa" w:w="7776"/>
            <w:vAlign w:val="center"/>
            <w:tcMar>
              <w:top w:w="70" w:type="dxa"/>
              <w:start w:w="70" w:type="dxa"/>
              <w:bottom w:w="70" w:type="dxa"/>
              <w:end w:w="70" w:type="dxa"/>
            </w:tcMar>
          </w:tcPr>
          <w:p>
            <w:r/>
            <w:r>
              <w:rPr>
                <w:rFonts w:ascii="Aptos" w:hAnsi="Aptos"/>
                <w:b w:val="0"/>
                <w:color w:val="000000"/>
                <w:sz w:val="16"/>
              </w:rPr>
              <w:t>Value used by the application after applying approved correction(s) to an original source value.</w:t>
            </w:r>
          </w:p>
        </w:tc>
      </w:tr>
      <w:tr>
        <w:trPr>
          <w:cantSplit/>
        </w:trPr>
        <w:tc>
          <w:tcPr>
            <w:tcW w:type="dxa" w:w="2016"/>
            <w:vAlign w:val="center"/>
            <w:shd w:fill="F8FAFC"/>
            <w:tcMar>
              <w:top w:w="70" w:type="dxa"/>
              <w:start w:w="70" w:type="dxa"/>
              <w:bottom w:w="70" w:type="dxa"/>
              <w:end w:w="70" w:type="dxa"/>
            </w:tcMar>
          </w:tcPr>
          <w:p>
            <w:r/>
            <w:r>
              <w:rPr>
                <w:rFonts w:ascii="Aptos" w:hAnsi="Aptos"/>
                <w:b w:val="0"/>
                <w:color w:val="000000"/>
                <w:sz w:val="16"/>
              </w:rPr>
              <w:t>Housebank</w:t>
            </w:r>
          </w:p>
        </w:tc>
        <w:tc>
          <w:tcPr>
            <w:tcW w:type="dxa" w:w="7776"/>
            <w:vAlign w:val="center"/>
            <w:shd w:fill="F8FAFC"/>
            <w:tcMar>
              <w:top w:w="70" w:type="dxa"/>
              <w:start w:w="70" w:type="dxa"/>
              <w:bottom w:w="70" w:type="dxa"/>
              <w:end w:w="70" w:type="dxa"/>
            </w:tcMar>
          </w:tcPr>
          <w:p>
            <w:r/>
            <w:r>
              <w:rPr>
                <w:rFonts w:ascii="Aptos" w:hAnsi="Aptos"/>
                <w:b w:val="0"/>
                <w:color w:val="000000"/>
                <w:sz w:val="16"/>
              </w:rPr>
              <w:t>Operational cash/fund account funded by the company before money may be moved to Cashier.</w:t>
            </w:r>
          </w:p>
        </w:tc>
      </w:tr>
      <w:tr>
        <w:trPr>
          <w:cantSplit/>
        </w:trPr>
        <w:tc>
          <w:tcPr>
            <w:tcW w:type="dxa" w:w="2016"/>
            <w:vAlign w:val="center"/>
            <w:tcMar>
              <w:top w:w="70" w:type="dxa"/>
              <w:start w:w="70" w:type="dxa"/>
              <w:bottom w:w="70" w:type="dxa"/>
              <w:end w:w="70" w:type="dxa"/>
            </w:tcMar>
          </w:tcPr>
          <w:p>
            <w:r/>
            <w:r>
              <w:rPr>
                <w:rFonts w:ascii="Aptos" w:hAnsi="Aptos"/>
                <w:b w:val="0"/>
                <w:color w:val="000000"/>
                <w:sz w:val="16"/>
              </w:rPr>
              <w:t>Cashier Cash</w:t>
            </w:r>
          </w:p>
        </w:tc>
        <w:tc>
          <w:tcPr>
            <w:tcW w:type="dxa" w:w="7776"/>
            <w:vAlign w:val="center"/>
            <w:tcMar>
              <w:top w:w="70" w:type="dxa"/>
              <w:start w:w="70" w:type="dxa"/>
              <w:bottom w:w="70" w:type="dxa"/>
              <w:end w:w="70" w:type="dxa"/>
            </w:tcMar>
          </w:tcPr>
          <w:p>
            <w:r/>
            <w:r>
              <w:rPr>
                <w:rFonts w:ascii="Aptos" w:hAnsi="Aptos"/>
                <w:b w:val="0"/>
                <w:color w:val="000000"/>
                <w:sz w:val="16"/>
              </w:rPr>
              <w:t>Cash physically/operationally held at the cashier.</w:t>
            </w:r>
          </w:p>
        </w:tc>
      </w:tr>
      <w:tr>
        <w:trPr>
          <w:cantSplit/>
        </w:trPr>
        <w:tc>
          <w:tcPr>
            <w:tcW w:type="dxa" w:w="2016"/>
            <w:vAlign w:val="center"/>
            <w:shd w:fill="F8FAFC"/>
            <w:tcMar>
              <w:top w:w="70" w:type="dxa"/>
              <w:start w:w="70" w:type="dxa"/>
              <w:bottom w:w="70" w:type="dxa"/>
              <w:end w:w="70" w:type="dxa"/>
            </w:tcMar>
          </w:tcPr>
          <w:p>
            <w:r/>
            <w:r>
              <w:rPr>
                <w:rFonts w:ascii="Aptos" w:hAnsi="Aptos"/>
                <w:b w:val="0"/>
                <w:color w:val="000000"/>
                <w:sz w:val="16"/>
              </w:rPr>
              <w:t>Internal Transfer</w:t>
            </w:r>
          </w:p>
        </w:tc>
        <w:tc>
          <w:tcPr>
            <w:tcW w:type="dxa" w:w="7776"/>
            <w:vAlign w:val="center"/>
            <w:shd w:fill="F8FAFC"/>
            <w:tcMar>
              <w:top w:w="70" w:type="dxa"/>
              <w:start w:w="70" w:type="dxa"/>
              <w:bottom w:w="70" w:type="dxa"/>
              <w:end w:w="70" w:type="dxa"/>
            </w:tcMar>
          </w:tcPr>
          <w:p>
            <w:r/>
            <w:r>
              <w:rPr>
                <w:rFonts w:ascii="Aptos" w:hAnsi="Aptos"/>
                <w:b w:val="0"/>
                <w:color w:val="000000"/>
                <w:sz w:val="16"/>
              </w:rPr>
              <w:t>Movement between cafe-owned fund accounts; not revenue and not expense.</w:t>
            </w:r>
          </w:p>
        </w:tc>
      </w:tr>
      <w:tr>
        <w:trPr>
          <w:cantSplit/>
        </w:trPr>
        <w:tc>
          <w:tcPr>
            <w:tcW w:type="dxa" w:w="2016"/>
            <w:vAlign w:val="center"/>
            <w:tcMar>
              <w:top w:w="70" w:type="dxa"/>
              <w:start w:w="70" w:type="dxa"/>
              <w:bottom w:w="70" w:type="dxa"/>
              <w:end w:w="70" w:type="dxa"/>
            </w:tcMar>
          </w:tcPr>
          <w:p>
            <w:r/>
            <w:r>
              <w:rPr>
                <w:rFonts w:ascii="Aptos" w:hAnsi="Aptos"/>
                <w:b w:val="0"/>
                <w:color w:val="000000"/>
                <w:sz w:val="16"/>
              </w:rPr>
              <w:t>Closing</w:t>
            </w:r>
          </w:p>
        </w:tc>
        <w:tc>
          <w:tcPr>
            <w:tcW w:type="dxa" w:w="7776"/>
            <w:vAlign w:val="center"/>
            <w:tcMar>
              <w:top w:w="70" w:type="dxa"/>
              <w:start w:w="70" w:type="dxa"/>
              <w:bottom w:w="70" w:type="dxa"/>
              <w:end w:w="70" w:type="dxa"/>
            </w:tcMar>
          </w:tcPr>
          <w:p>
            <w:r/>
            <w:r>
              <w:rPr>
                <w:rFonts w:ascii="Aptos" w:hAnsi="Aptos"/>
                <w:b w:val="0"/>
                <w:color w:val="000000"/>
                <w:sz w:val="16"/>
              </w:rPr>
              <w:t>Operational state where required data for a business date/shift is considered submitted and reconcilable.</w:t>
            </w:r>
          </w:p>
        </w:tc>
      </w:tr>
      <w:tr>
        <w:trPr>
          <w:cantSplit/>
        </w:trPr>
        <w:tc>
          <w:tcPr>
            <w:tcW w:type="dxa" w:w="2016"/>
            <w:vAlign w:val="center"/>
            <w:shd w:fill="F8FAFC"/>
            <w:tcMar>
              <w:top w:w="70" w:type="dxa"/>
              <w:start w:w="70" w:type="dxa"/>
              <w:bottom w:w="70" w:type="dxa"/>
              <w:end w:w="70" w:type="dxa"/>
            </w:tcMar>
          </w:tcPr>
          <w:p>
            <w:r/>
            <w:r>
              <w:rPr>
                <w:rFonts w:ascii="Aptos" w:hAnsi="Aptos"/>
                <w:b w:val="0"/>
                <w:color w:val="000000"/>
                <w:sz w:val="16"/>
              </w:rPr>
              <w:t>Audit Trail</w:t>
            </w:r>
          </w:p>
        </w:tc>
        <w:tc>
          <w:tcPr>
            <w:tcW w:type="dxa" w:w="7776"/>
            <w:vAlign w:val="center"/>
            <w:shd w:fill="F8FAFC"/>
            <w:tcMar>
              <w:top w:w="70" w:type="dxa"/>
              <w:start w:w="70" w:type="dxa"/>
              <w:bottom w:w="70" w:type="dxa"/>
              <w:end w:w="70" w:type="dxa"/>
            </w:tcMar>
          </w:tcPr>
          <w:p>
            <w:r/>
            <w:r>
              <w:rPr>
                <w:rFonts w:ascii="Aptos" w:hAnsi="Aptos"/>
                <w:b w:val="0"/>
                <w:color w:val="000000"/>
                <w:sz w:val="16"/>
              </w:rPr>
              <w:t>Append-only history of material system/user changes and financial actions.</w:t>
            </w:r>
          </w:p>
        </w:tc>
      </w:tr>
      <w:tr>
        <w:trPr>
          <w:cantSplit/>
        </w:trPr>
        <w:tc>
          <w:tcPr>
            <w:tcW w:type="dxa" w:w="2016"/>
            <w:vAlign w:val="center"/>
            <w:tcMar>
              <w:top w:w="70" w:type="dxa"/>
              <w:start w:w="70" w:type="dxa"/>
              <w:bottom w:w="70" w:type="dxa"/>
              <w:end w:w="70" w:type="dxa"/>
            </w:tcMar>
          </w:tcPr>
          <w:p>
            <w:r/>
            <w:r>
              <w:rPr>
                <w:rFonts w:ascii="Aptos" w:hAnsi="Aptos"/>
                <w:b w:val="0"/>
                <w:color w:val="000000"/>
                <w:sz w:val="16"/>
              </w:rPr>
              <w:t>MVP</w:t>
            </w:r>
          </w:p>
        </w:tc>
        <w:tc>
          <w:tcPr>
            <w:tcW w:type="dxa" w:w="7776"/>
            <w:vAlign w:val="center"/>
            <w:tcMar>
              <w:top w:w="70" w:type="dxa"/>
              <w:start w:w="70" w:type="dxa"/>
              <w:bottom w:w="70" w:type="dxa"/>
              <w:end w:w="70" w:type="dxa"/>
            </w:tcMar>
          </w:tcPr>
          <w:p>
            <w:r/>
            <w:r>
              <w:rPr>
                <w:rFonts w:ascii="Aptos" w:hAnsi="Aptos"/>
                <w:b w:val="0"/>
                <w:color w:val="000000"/>
                <w:sz w:val="16"/>
              </w:rPr>
              <w:t>First production-capable scope described in this SRS; excludes Moka integration and recipe/BOM automation.</w:t>
            </w:r>
          </w:p>
        </w:tc>
      </w:tr>
    </w:tbl>
    <w:p>
      <w:pPr>
        <w:spacing w:after="20"/>
      </w:pPr>
    </w:p>
    <w:p>
      <w:r>
        <w:br w:type="page"/>
      </w:r>
    </w:p>
    <w:p>
      <w:pPr>
        <w:pStyle w:val="Heading1"/>
      </w:pPr>
      <w:r>
        <w:t>2. Existing Process and Source Data</w:t>
      </w:r>
    </w:p>
    <w:p>
      <w:pPr>
        <w:pStyle w:val="Heading2"/>
      </w:pPr>
      <w:r>
        <w:t>2.1 Existing Operational Flows</w:t>
      </w:r>
    </w:p>
    <w:p>
      <w:r>
        <w:t>The supplied process diagrams establish three primary operational flows:</w:t>
      </w:r>
    </w:p>
    <w:p>
      <w:pPr>
        <w:pStyle w:val="ListNumber"/>
        <w:spacing w:after="40"/>
      </w:pPr>
      <w:r>
        <w:t>Guest order/payment: Guest orders menu → Cashier records transaction in Moka POS → Cashier receives payment → payment can be QRIS / Cash / Transfer → Cash Register → Recapitulation.</w:t>
      </w:r>
    </w:p>
    <w:p>
      <w:pPr>
        <w:pStyle w:val="ListNumber"/>
        <w:spacing w:after="40"/>
      </w:pPr>
      <w:r>
        <w:t>Operational spending: Manager → Purchase Request → approval/revision/rejection → choose Housebank or Cashier fund → spend operational funds → record usage → recap receipts → weekly report to leadership.</w:t>
      </w:r>
    </w:p>
    <w:p>
      <w:pPr>
        <w:pStyle w:val="ListNumber"/>
        <w:spacing w:after="40"/>
      </w:pPr>
      <w:r>
        <w:t>Stock opname: Kitchen, Bar, and Other stock are checked by the responsible operational function → recap → Manager compiles Dopamin stock report → report to leadership.</w:t>
      </w:r>
    </w:p>
    <w:p>
      <w:pPr>
        <w:pStyle w:val="Heading2"/>
      </w:pPr>
      <w:r>
        <w:t>2.2 Source Files Analyzed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vAlign w:val="center"/>
            <w:shd w:fill="17365D"/>
            <w:tcMar>
              <w:top w:w="70" w:type="dxa"/>
              <w:start w:w="70" w:type="dxa"/>
              <w:bottom w:w="70" w:type="dxa"/>
              <w:end w:w="70" w:type="dxa"/>
            </w:tcMar>
          </w:tcPr>
          <w:p>
            <w:pPr>
              <w:jc w:val="center"/>
            </w:pPr>
            <w:r/>
            <w:r>
              <w:rPr>
                <w:rFonts w:ascii="Aptos" w:hAnsi="Aptos"/>
                <w:b/>
                <w:color w:val="FFFFFF"/>
                <w:sz w:val="16"/>
              </w:rPr>
              <w:t>Source</w:t>
            </w:r>
          </w:p>
        </w:tc>
        <w:tc>
          <w:tcPr>
            <w:tcW w:type="dxa" w:w="3888"/>
            <w:vAlign w:val="center"/>
            <w:shd w:fill="17365D"/>
            <w:tcMar>
              <w:top w:w="70" w:type="dxa"/>
              <w:start w:w="70" w:type="dxa"/>
              <w:bottom w:w="70" w:type="dxa"/>
              <w:end w:w="70" w:type="dxa"/>
            </w:tcMar>
          </w:tcPr>
          <w:p>
            <w:pPr>
              <w:jc w:val="center"/>
            </w:pPr>
            <w:r/>
            <w:r>
              <w:rPr>
                <w:rFonts w:ascii="Aptos" w:hAnsi="Aptos"/>
                <w:b/>
                <w:color w:val="FFFFFF"/>
                <w:sz w:val="16"/>
              </w:rPr>
              <w:t>Observed Structure</w:t>
            </w:r>
          </w:p>
        </w:tc>
        <w:tc>
          <w:tcPr>
            <w:tcW w:type="dxa" w:w="4032"/>
            <w:vAlign w:val="center"/>
            <w:shd w:fill="17365D"/>
            <w:tcMar>
              <w:top w:w="70" w:type="dxa"/>
              <w:start w:w="70" w:type="dxa"/>
              <w:bottom w:w="70" w:type="dxa"/>
              <w:end w:w="70" w:type="dxa"/>
            </w:tcMar>
          </w:tcPr>
          <w:p>
            <w:pPr>
              <w:jc w:val="center"/>
            </w:pPr>
            <w:r/>
            <w:r>
              <w:rPr>
                <w:rFonts w:ascii="Aptos" w:hAnsi="Aptos"/>
                <w:b/>
                <w:color w:val="FFFFFF"/>
                <w:sz w:val="16"/>
              </w:rPr>
              <w:t>System Interpretation</w:t>
            </w:r>
          </w:p>
        </w:tc>
      </w:tr>
      <w:tr>
        <w:trPr>
          <w:cantSplit/>
        </w:trPr>
        <w:tc>
          <w:tcPr>
            <w:tcW w:type="dxa" w:w="2304"/>
            <w:vAlign w:val="center"/>
            <w:tcMar>
              <w:top w:w="70" w:type="dxa"/>
              <w:start w:w="70" w:type="dxa"/>
              <w:bottom w:w="70" w:type="dxa"/>
              <w:end w:w="70" w:type="dxa"/>
            </w:tcMar>
          </w:tcPr>
          <w:p>
            <w:r/>
            <w:r>
              <w:rPr>
                <w:rFonts w:ascii="Aptos" w:hAnsi="Aptos"/>
                <w:b w:val="0"/>
                <w:color w:val="000000"/>
                <w:sz w:val="16"/>
              </w:rPr>
              <w:t>Cashier Report (Responses)</w:t>
            </w:r>
          </w:p>
        </w:tc>
        <w:tc>
          <w:tcPr>
            <w:tcW w:type="dxa" w:w="3888"/>
            <w:vAlign w:val="center"/>
            <w:tcMar>
              <w:top w:w="70" w:type="dxa"/>
              <w:start w:w="70" w:type="dxa"/>
              <w:bottom w:w="70" w:type="dxa"/>
              <w:end w:w="70" w:type="dxa"/>
            </w:tcMar>
          </w:tcPr>
          <w:p>
            <w:r/>
            <w:r>
              <w:rPr>
                <w:rFonts w:ascii="Aptos" w:hAnsi="Aptos"/>
                <w:b w:val="0"/>
                <w:color w:val="000000"/>
                <w:sz w:val="16"/>
              </w:rPr>
              <w:t>57 raw columns; includes reporting date, cashier, shift, expenses, multiple payment-method fields, petty cash, denominations, and opening/closing branches.</w:t>
            </w:r>
          </w:p>
        </w:tc>
        <w:tc>
          <w:tcPr>
            <w:tcW w:type="dxa" w:w="4032"/>
            <w:vAlign w:val="center"/>
            <w:tcMar>
              <w:top w:w="70" w:type="dxa"/>
              <w:start w:w="70" w:type="dxa"/>
              <w:bottom w:w="70" w:type="dxa"/>
              <w:end w:w="70" w:type="dxa"/>
            </w:tcMar>
          </w:tcPr>
          <w:p>
            <w:r/>
            <w:r>
              <w:rPr>
                <w:rFonts w:ascii="Aptos" w:hAnsi="Aptos"/>
                <w:b w:val="0"/>
                <w:color w:val="000000"/>
                <w:sz w:val="16"/>
              </w:rPr>
              <w:t>Primary source for cashier income/outflow, payment reconciliation, and cash closing.</w:t>
            </w:r>
          </w:p>
        </w:tc>
      </w:tr>
      <w:tr>
        <w:trPr>
          <w:cantSplit/>
        </w:trPr>
        <w:tc>
          <w:tcPr>
            <w:tcW w:type="dxa" w:w="2304"/>
            <w:vAlign w:val="center"/>
            <w:shd w:fill="F8FAFC"/>
            <w:tcMar>
              <w:top w:w="70" w:type="dxa"/>
              <w:start w:w="70" w:type="dxa"/>
              <w:bottom w:w="70" w:type="dxa"/>
              <w:end w:w="70" w:type="dxa"/>
            </w:tcMar>
          </w:tcPr>
          <w:p>
            <w:r/>
            <w:r>
              <w:rPr>
                <w:rFonts w:ascii="Aptos" w:hAnsi="Aptos"/>
                <w:b w:val="0"/>
                <w:color w:val="000000"/>
                <w:sz w:val="16"/>
              </w:rPr>
              <w:t>Daily Sales Kitchen</w:t>
            </w:r>
          </w:p>
        </w:tc>
        <w:tc>
          <w:tcPr>
            <w:tcW w:type="dxa" w:w="3888"/>
            <w:vAlign w:val="center"/>
            <w:shd w:fill="F8FAFC"/>
            <w:tcMar>
              <w:top w:w="70" w:type="dxa"/>
              <w:start w:w="70" w:type="dxa"/>
              <w:bottom w:w="70" w:type="dxa"/>
              <w:end w:w="70" w:type="dxa"/>
            </w:tcMar>
          </w:tcPr>
          <w:p>
            <w:r/>
            <w:r>
              <w:rPr>
                <w:rFonts w:ascii="Aptos" w:hAnsi="Aptos"/>
                <w:b w:val="0"/>
                <w:color w:val="000000"/>
                <w:sz w:val="16"/>
              </w:rPr>
              <w:t>35 columns; explicit inputter, sales date, and menu-item quantities.</w:t>
            </w:r>
          </w:p>
        </w:tc>
        <w:tc>
          <w:tcPr>
            <w:tcW w:type="dxa" w:w="4032"/>
            <w:vAlign w:val="center"/>
            <w:shd w:fill="F8FAFC"/>
            <w:tcMar>
              <w:top w:w="70" w:type="dxa"/>
              <w:start w:w="70" w:type="dxa"/>
              <w:bottom w:w="70" w:type="dxa"/>
              <w:end w:w="70" w:type="dxa"/>
            </w:tcMar>
          </w:tcPr>
          <w:p>
            <w:r/>
            <w:r>
              <w:rPr>
                <w:rFonts w:ascii="Aptos" w:hAnsi="Aptos"/>
                <w:b w:val="0"/>
                <w:color w:val="000000"/>
                <w:sz w:val="16"/>
              </w:rPr>
              <w:t>Primary source for food unit sales in MVP.</w:t>
            </w:r>
          </w:p>
        </w:tc>
      </w:tr>
      <w:tr>
        <w:trPr>
          <w:cantSplit/>
        </w:trPr>
        <w:tc>
          <w:tcPr>
            <w:tcW w:type="dxa" w:w="2304"/>
            <w:vAlign w:val="center"/>
            <w:tcMar>
              <w:top w:w="70" w:type="dxa"/>
              <w:start w:w="70" w:type="dxa"/>
              <w:bottom w:w="70" w:type="dxa"/>
              <w:end w:w="70" w:type="dxa"/>
            </w:tcMar>
          </w:tcPr>
          <w:p>
            <w:r/>
            <w:r>
              <w:rPr>
                <w:rFonts w:ascii="Aptos" w:hAnsi="Aptos"/>
                <w:b w:val="0"/>
                <w:color w:val="000000"/>
                <w:sz w:val="16"/>
              </w:rPr>
              <w:t>Daily Sales Beverage</w:t>
            </w:r>
          </w:p>
        </w:tc>
        <w:tc>
          <w:tcPr>
            <w:tcW w:type="dxa" w:w="3888"/>
            <w:vAlign w:val="center"/>
            <w:tcMar>
              <w:top w:w="70" w:type="dxa"/>
              <w:start w:w="70" w:type="dxa"/>
              <w:bottom w:w="70" w:type="dxa"/>
              <w:end w:w="70" w:type="dxa"/>
            </w:tcMar>
          </w:tcPr>
          <w:p>
            <w:r/>
            <w:r>
              <w:rPr>
                <w:rFonts w:ascii="Aptos" w:hAnsi="Aptos"/>
                <w:b w:val="0"/>
                <w:color w:val="000000"/>
                <w:sz w:val="16"/>
              </w:rPr>
              <w:t>42 columns; timestamp, beverage quantities, barista; no explicit business-date field in current file.</w:t>
            </w:r>
          </w:p>
        </w:tc>
        <w:tc>
          <w:tcPr>
            <w:tcW w:type="dxa" w:w="4032"/>
            <w:vAlign w:val="center"/>
            <w:tcMar>
              <w:top w:w="70" w:type="dxa"/>
              <w:start w:w="70" w:type="dxa"/>
              <w:bottom w:w="70" w:type="dxa"/>
              <w:end w:w="70" w:type="dxa"/>
            </w:tcMar>
          </w:tcPr>
          <w:p>
            <w:r/>
            <w:r>
              <w:rPr>
                <w:rFonts w:ascii="Aptos" w:hAnsi="Aptos"/>
                <w:b w:val="0"/>
                <w:color w:val="000000"/>
                <w:sz w:val="16"/>
              </w:rPr>
              <w:t>Primary source for beverage unit sales in MVP; form must add explicit sales/business date.</w:t>
            </w:r>
          </w:p>
        </w:tc>
      </w:tr>
      <w:tr>
        <w:trPr>
          <w:cantSplit/>
        </w:trPr>
        <w:tc>
          <w:tcPr>
            <w:tcW w:type="dxa" w:w="2304"/>
            <w:vAlign w:val="center"/>
            <w:shd w:fill="F8FAFC"/>
            <w:tcMar>
              <w:top w:w="70" w:type="dxa"/>
              <w:start w:w="70" w:type="dxa"/>
              <w:bottom w:w="70" w:type="dxa"/>
              <w:end w:w="70" w:type="dxa"/>
            </w:tcMar>
          </w:tcPr>
          <w:p>
            <w:r/>
            <w:r>
              <w:rPr>
                <w:rFonts w:ascii="Aptos" w:hAnsi="Aptos"/>
                <w:b w:val="0"/>
                <w:color w:val="000000"/>
                <w:sz w:val="16"/>
              </w:rPr>
              <w:t>OPEX Report</w:t>
            </w:r>
          </w:p>
        </w:tc>
        <w:tc>
          <w:tcPr>
            <w:tcW w:type="dxa" w:w="3888"/>
            <w:vAlign w:val="center"/>
            <w:shd w:fill="F8FAFC"/>
            <w:tcMar>
              <w:top w:w="70" w:type="dxa"/>
              <w:start w:w="70" w:type="dxa"/>
              <w:bottom w:w="70" w:type="dxa"/>
              <w:end w:w="70" w:type="dxa"/>
            </w:tcMar>
          </w:tcPr>
          <w:p>
            <w:r/>
            <w:r>
              <w:rPr>
                <w:rFonts w:ascii="Aptos" w:hAnsi="Aptos"/>
                <w:b w:val="0"/>
                <w:color w:val="000000"/>
                <w:sz w:val="16"/>
              </w:rPr>
              <w:t>Debit / Credit / Balance ledger-like data, including company funding and operational expenses.</w:t>
            </w:r>
          </w:p>
        </w:tc>
        <w:tc>
          <w:tcPr>
            <w:tcW w:type="dxa" w:w="4032"/>
            <w:vAlign w:val="center"/>
            <w:shd w:fill="F8FAFC"/>
            <w:tcMar>
              <w:top w:w="70" w:type="dxa"/>
              <w:start w:w="70" w:type="dxa"/>
              <w:bottom w:w="70" w:type="dxa"/>
              <w:end w:w="70" w:type="dxa"/>
            </w:tcMar>
          </w:tcPr>
          <w:p>
            <w:r/>
            <w:r>
              <w:rPr>
                <w:rFonts w:ascii="Aptos" w:hAnsi="Aptos"/>
                <w:b w:val="0"/>
                <w:color w:val="000000"/>
                <w:sz w:val="16"/>
              </w:rPr>
              <w:t>Seed/reference for Housebank and operational-fund model.</w:t>
            </w:r>
          </w:p>
        </w:tc>
      </w:tr>
    </w:tbl>
    <w:p>
      <w:pPr>
        <w:spacing w:after="20"/>
      </w:pPr>
    </w:p>
    <w:p>
      <w:pPr>
        <w:pStyle w:val="Heading2"/>
      </w:pPr>
      <w:r>
        <w:t>2.3 Important Data-Quality Findings</w:t>
      </w:r>
    </w:p>
    <w:p>
      <w:pPr>
        <w:pStyle w:val="ListBullet"/>
        <w:spacing w:after="40"/>
      </w:pPr>
      <w:r>
        <w:t>Cashier data contains duplicated payment columns caused by Google Form branching (e.g., Cash / Cash 2). The application must consolidate non-null values into normalized payment lines.</w:t>
      </w:r>
    </w:p>
    <w:p>
      <w:pPr>
        <w:pStyle w:val="ListBullet"/>
        <w:spacing w:after="40"/>
      </w:pPr>
      <w:r>
        <w:t>Cashier data contains examples of implausible values (e.g., a very large cash amount) and navigation text such as “Submit Form” / “Kembali ke menu utama” in fields. Validation and correction workflows are required.</w:t>
      </w:r>
    </w:p>
    <w:p>
      <w:pPr>
        <w:pStyle w:val="ListBullet"/>
        <w:spacing w:after="40"/>
      </w:pPr>
      <w:r>
        <w:t>Cashier has an explicit “Tanggal Pelaporan”; it must take precedence over Google Form submission timestamp for business reporting.</w:t>
      </w:r>
    </w:p>
    <w:p>
      <w:pPr>
        <w:pStyle w:val="ListBullet"/>
        <w:spacing w:after="40"/>
      </w:pPr>
      <w:r>
        <w:t>Kitchen already has explicit “Tanggal penjualan”.</w:t>
      </w:r>
    </w:p>
    <w:p>
      <w:pPr>
        <w:pStyle w:val="ListBullet"/>
        <w:spacing w:after="40"/>
      </w:pPr>
      <w:r>
        <w:t>Beverage currently lacks “Tanggal penjualan”; this must be added to the Google Form to avoid ambiguous reporting if a submission is late.</w:t>
      </w:r>
    </w:p>
    <w:p>
      <w:pPr>
        <w:pStyle w:val="ListBullet"/>
        <w:spacing w:after="40"/>
      </w:pPr>
      <w:r>
        <w:t>Food/Beverage forms contain quantities, not selling prices. MVP revenue by category therefore requires a menu-price master with price history.</w:t>
      </w:r>
    </w:p>
    <w:tbl>
      <w:tblPr>
        <w:tblStyle w:val="TableGrid"/>
        <w:tblW w:type="auto" w:w="0"/>
        <w:tblLook w:firstColumn="1" w:firstRow="1" w:lastColumn="0" w:lastRow="0" w:noHBand="0" w:noVBand="1" w:val="04A0"/>
      </w:tblPr>
      <w:tblGrid>
        <w:gridCol w:w="10080"/>
      </w:tblGrid>
      <w:tr>
        <w:trPr>
          <w:cantSplit/>
        </w:trPr>
        <w:tc>
          <w:tcPr>
            <w:tcW w:type="dxa" w:w="10080"/>
            <w:shd w:fill="FFF2CC"/>
            <w:vAlign w:val="center"/>
            <w:tcMar>
              <w:top w:w="100" w:type="dxa"/>
              <w:start w:w="120" w:type="dxa"/>
              <w:bottom w:w="100" w:type="dxa"/>
              <w:end w:w="120" w:type="dxa"/>
            </w:tcMar>
          </w:tcPr>
          <w:p>
            <w:r/>
            <w:r>
              <w:rPr>
                <w:rFonts w:ascii="Aptos" w:hAnsi="Aptos"/>
                <w:b w:val="0"/>
                <w:color w:val="000000"/>
                <w:sz w:val="17"/>
              </w:rPr>
              <w:t>SRS requirement: current Google Form layouts may be adjusted for data quality, but Google Forms remain the staff-facing input mechanism in MVP.</w:t>
            </w:r>
          </w:p>
        </w:tc>
      </w:tr>
    </w:tbl>
    <w:p>
      <w:pPr>
        <w:spacing w:after="20"/>
      </w:pPr>
    </w:p>
    <w:p>
      <w:pPr>
        <w:pStyle w:val="Heading1"/>
      </w:pPr>
      <w:r>
        <w:t>3. Product Scope and Objectives</w:t>
      </w:r>
    </w:p>
    <w:p>
      <w:pPr>
        <w:pStyle w:val="Heading2"/>
      </w:pPr>
      <w:r>
        <w:t>3.1 Product Objectives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vAlign w:val="center"/>
            <w:shd w:fill="17365D"/>
            <w:tcMar>
              <w:top w:w="70" w:type="dxa"/>
              <w:start w:w="70" w:type="dxa"/>
              <w:bottom w:w="70" w:type="dxa"/>
              <w:end w:w="70" w:type="dxa"/>
            </w:tcMar>
          </w:tcPr>
          <w:p>
            <w:pPr>
              <w:jc w:val="center"/>
            </w:pPr>
            <w:r/>
            <w:r>
              <w:rPr>
                <w:rFonts w:ascii="Aptos" w:hAnsi="Aptos"/>
                <w:b/>
                <w:color w:val="FFFFFF"/>
                <w:sz w:val="16"/>
              </w:rPr>
              <w:t>Objective</w:t>
            </w:r>
          </w:p>
        </w:tc>
        <w:tc>
          <w:tcPr>
            <w:tcW w:type="dxa" w:w="7344"/>
            <w:vAlign w:val="center"/>
            <w:shd w:fill="17365D"/>
            <w:tcMar>
              <w:top w:w="70" w:type="dxa"/>
              <w:start w:w="70" w:type="dxa"/>
              <w:bottom w:w="70" w:type="dxa"/>
              <w:end w:w="70" w:type="dxa"/>
            </w:tcMar>
          </w:tcPr>
          <w:p>
            <w:pPr>
              <w:jc w:val="center"/>
            </w:pPr>
            <w:r/>
            <w:r>
              <w:rPr>
                <w:rFonts w:ascii="Aptos" w:hAnsi="Aptos"/>
                <w:b/>
                <w:color w:val="FFFFFF"/>
                <w:sz w:val="16"/>
              </w:rPr>
              <w:t>Expected Outcome</w:t>
            </w:r>
          </w:p>
        </w:tc>
      </w:tr>
      <w:tr>
        <w:trPr>
          <w:cantSplit/>
        </w:trPr>
        <w:tc>
          <w:tcPr>
            <w:tcW w:type="dxa" w:w="2448"/>
            <w:vAlign w:val="center"/>
            <w:tcMar>
              <w:top w:w="70" w:type="dxa"/>
              <w:start w:w="70" w:type="dxa"/>
              <w:bottom w:w="70" w:type="dxa"/>
              <w:end w:w="70" w:type="dxa"/>
            </w:tcMar>
          </w:tcPr>
          <w:p>
            <w:r/>
            <w:r>
              <w:rPr>
                <w:rFonts w:ascii="Aptos" w:hAnsi="Aptos"/>
                <w:b w:val="0"/>
                <w:color w:val="000000"/>
                <w:sz w:val="16"/>
              </w:rPr>
              <w:t>Single operational view</w:t>
            </w:r>
          </w:p>
        </w:tc>
        <w:tc>
          <w:tcPr>
            <w:tcW w:type="dxa" w:w="7344"/>
            <w:vAlign w:val="center"/>
            <w:tcMar>
              <w:top w:w="70" w:type="dxa"/>
              <w:start w:w="70" w:type="dxa"/>
              <w:bottom w:w="70" w:type="dxa"/>
              <w:end w:w="70" w:type="dxa"/>
            </w:tcMar>
          </w:tcPr>
          <w:p>
            <w:r/>
            <w:r>
              <w:rPr>
                <w:rFonts w:ascii="Aptos" w:hAnsi="Aptos"/>
                <w:b w:val="0"/>
                <w:color w:val="000000"/>
                <w:sz w:val="16"/>
              </w:rPr>
              <w:t>Leadership can see finance, sales, cash, Housebank, expenses, and stock from one application.</w:t>
            </w:r>
          </w:p>
        </w:tc>
      </w:tr>
      <w:tr>
        <w:trPr>
          <w:cantSplit/>
        </w:trPr>
        <w:tc>
          <w:tcPr>
            <w:tcW w:type="dxa" w:w="2448"/>
            <w:vAlign w:val="center"/>
            <w:shd w:fill="F8FAFC"/>
            <w:tcMar>
              <w:top w:w="70" w:type="dxa"/>
              <w:start w:w="70" w:type="dxa"/>
              <w:bottom w:w="70" w:type="dxa"/>
              <w:end w:w="70" w:type="dxa"/>
            </w:tcMar>
          </w:tcPr>
          <w:p>
            <w:r/>
            <w:r>
              <w:rPr>
                <w:rFonts w:ascii="Aptos" w:hAnsi="Aptos"/>
                <w:b w:val="0"/>
                <w:color w:val="000000"/>
                <w:sz w:val="16"/>
              </w:rPr>
              <w:t>Reliable numbers</w:t>
            </w:r>
          </w:p>
        </w:tc>
        <w:tc>
          <w:tcPr>
            <w:tcW w:type="dxa" w:w="7344"/>
            <w:vAlign w:val="center"/>
            <w:shd w:fill="F8FAFC"/>
            <w:tcMar>
              <w:top w:w="70" w:type="dxa"/>
              <w:start w:w="70" w:type="dxa"/>
              <w:bottom w:w="70" w:type="dxa"/>
              <w:end w:w="70" w:type="dxa"/>
            </w:tcMar>
          </w:tcPr>
          <w:p>
            <w:r/>
            <w:r>
              <w:rPr>
                <w:rFonts w:ascii="Aptos" w:hAnsi="Aptos"/>
                <w:b w:val="0"/>
                <w:color w:val="000000"/>
                <w:sz w:val="16"/>
              </w:rPr>
              <w:t>All totals and balances are derived from source transactions; derived financial values are not manually editable.</w:t>
            </w:r>
          </w:p>
        </w:tc>
      </w:tr>
      <w:tr>
        <w:trPr>
          <w:cantSplit/>
        </w:trPr>
        <w:tc>
          <w:tcPr>
            <w:tcW w:type="dxa" w:w="2448"/>
            <w:vAlign w:val="center"/>
            <w:tcMar>
              <w:top w:w="70" w:type="dxa"/>
              <w:start w:w="70" w:type="dxa"/>
              <w:bottom w:w="70" w:type="dxa"/>
              <w:end w:w="70" w:type="dxa"/>
            </w:tcMar>
          </w:tcPr>
          <w:p>
            <w:r/>
            <w:r>
              <w:rPr>
                <w:rFonts w:ascii="Aptos" w:hAnsi="Aptos"/>
                <w:b w:val="0"/>
                <w:color w:val="000000"/>
                <w:sz w:val="16"/>
              </w:rPr>
              <w:t>Low operational friction</w:t>
            </w:r>
          </w:p>
        </w:tc>
        <w:tc>
          <w:tcPr>
            <w:tcW w:type="dxa" w:w="7344"/>
            <w:vAlign w:val="center"/>
            <w:tcMar>
              <w:top w:w="70" w:type="dxa"/>
              <w:start w:w="70" w:type="dxa"/>
              <w:bottom w:w="70" w:type="dxa"/>
              <w:end w:w="70" w:type="dxa"/>
            </w:tcMar>
          </w:tcPr>
          <w:p>
            <w:r/>
            <w:r>
              <w:rPr>
                <w:rFonts w:ascii="Aptos" w:hAnsi="Aptos"/>
                <w:b w:val="0"/>
                <w:color w:val="000000"/>
                <w:sz w:val="16"/>
              </w:rPr>
              <w:t>Cashier/Kitchen continue to input data using Google Forms rather than a new complex back-office UI.</w:t>
            </w:r>
          </w:p>
        </w:tc>
      </w:tr>
      <w:tr>
        <w:trPr>
          <w:cantSplit/>
        </w:trPr>
        <w:tc>
          <w:tcPr>
            <w:tcW w:type="dxa" w:w="2448"/>
            <w:vAlign w:val="center"/>
            <w:shd w:fill="F8FAFC"/>
            <w:tcMar>
              <w:top w:w="70" w:type="dxa"/>
              <w:start w:w="70" w:type="dxa"/>
              <w:bottom w:w="70" w:type="dxa"/>
              <w:end w:w="70" w:type="dxa"/>
            </w:tcMar>
          </w:tcPr>
          <w:p>
            <w:r/>
            <w:r>
              <w:rPr>
                <w:rFonts w:ascii="Aptos" w:hAnsi="Aptos"/>
                <w:b w:val="0"/>
                <w:color w:val="000000"/>
                <w:sz w:val="16"/>
              </w:rPr>
              <w:t>Auditability</w:t>
            </w:r>
          </w:p>
        </w:tc>
        <w:tc>
          <w:tcPr>
            <w:tcW w:type="dxa" w:w="7344"/>
            <w:vAlign w:val="center"/>
            <w:shd w:fill="F8FAFC"/>
            <w:tcMar>
              <w:top w:w="70" w:type="dxa"/>
              <w:start w:w="70" w:type="dxa"/>
              <w:bottom w:w="70" w:type="dxa"/>
              <w:end w:w="70" w:type="dxa"/>
            </w:tcMar>
          </w:tcPr>
          <w:p>
            <w:r/>
            <w:r>
              <w:rPr>
                <w:rFonts w:ascii="Aptos" w:hAnsi="Aptos"/>
                <w:b w:val="0"/>
                <w:color w:val="000000"/>
                <w:sz w:val="16"/>
              </w:rPr>
              <w:t>Original data, corrections, approvals, voids, settings changes, and report runs remain traceable.</w:t>
            </w:r>
          </w:p>
        </w:tc>
      </w:tr>
      <w:tr>
        <w:trPr>
          <w:cantSplit/>
        </w:trPr>
        <w:tc>
          <w:tcPr>
            <w:tcW w:type="dxa" w:w="2448"/>
            <w:vAlign w:val="center"/>
            <w:tcMar>
              <w:top w:w="70" w:type="dxa"/>
              <w:start w:w="70" w:type="dxa"/>
              <w:bottom w:w="70" w:type="dxa"/>
              <w:end w:w="70" w:type="dxa"/>
            </w:tcMar>
          </w:tcPr>
          <w:p>
            <w:r/>
            <w:r>
              <w:rPr>
                <w:rFonts w:ascii="Aptos" w:hAnsi="Aptos"/>
                <w:b w:val="0"/>
                <w:color w:val="000000"/>
                <w:sz w:val="16"/>
              </w:rPr>
              <w:t>Lightweight infrastructure</w:t>
            </w:r>
          </w:p>
        </w:tc>
        <w:tc>
          <w:tcPr>
            <w:tcW w:type="dxa" w:w="7344"/>
            <w:vAlign w:val="center"/>
            <w:tcMar>
              <w:top w:w="70" w:type="dxa"/>
              <w:start w:w="70" w:type="dxa"/>
              <w:bottom w:w="70" w:type="dxa"/>
              <w:end w:w="70" w:type="dxa"/>
            </w:tcMar>
          </w:tcPr>
          <w:p>
            <w:r/>
            <w:r>
              <w:rPr>
                <w:rFonts w:ascii="Aptos" w:hAnsi="Aptos"/>
                <w:b w:val="0"/>
                <w:color w:val="000000"/>
                <w:sz w:val="16"/>
              </w:rPr>
              <w:t>One full-stack application plus PostgreSQL; avoid unnecessary microservices and infrastructure.</w:t>
            </w:r>
          </w:p>
        </w:tc>
      </w:tr>
      <w:tr>
        <w:trPr>
          <w:cantSplit/>
        </w:trPr>
        <w:tc>
          <w:tcPr>
            <w:tcW w:type="dxa" w:w="2448"/>
            <w:vAlign w:val="center"/>
            <w:shd w:fill="F8FAFC"/>
            <w:tcMar>
              <w:top w:w="70" w:type="dxa"/>
              <w:start w:w="70" w:type="dxa"/>
              <w:bottom w:w="70" w:type="dxa"/>
              <w:end w:w="70" w:type="dxa"/>
            </w:tcMar>
          </w:tcPr>
          <w:p>
            <w:r/>
            <w:r>
              <w:rPr>
                <w:rFonts w:ascii="Aptos" w:hAnsi="Aptos"/>
                <w:b w:val="0"/>
                <w:color w:val="000000"/>
                <w:sz w:val="16"/>
              </w:rPr>
              <w:t>Provider portability</w:t>
            </w:r>
          </w:p>
        </w:tc>
        <w:tc>
          <w:tcPr>
            <w:tcW w:type="dxa" w:w="7344"/>
            <w:vAlign w:val="center"/>
            <w:shd w:fill="F8FAFC"/>
            <w:tcMar>
              <w:top w:w="70" w:type="dxa"/>
              <w:start w:w="70" w:type="dxa"/>
              <w:bottom w:w="70" w:type="dxa"/>
              <w:end w:w="70" w:type="dxa"/>
            </w:tcMar>
          </w:tcPr>
          <w:p>
            <w:r/>
            <w:r>
              <w:rPr>
                <w:rFonts w:ascii="Aptos" w:hAnsi="Aptos"/>
                <w:b w:val="0"/>
                <w:color w:val="000000"/>
                <w:sz w:val="16"/>
              </w:rPr>
              <w:t>Core data uses standard PostgreSQL/SQL so the application can be migrated away from a specific DB provider.</w:t>
            </w:r>
          </w:p>
        </w:tc>
      </w:tr>
    </w:tbl>
    <w:p>
      <w:pPr>
        <w:spacing w:after="20"/>
      </w:pPr>
    </w:p>
    <w:p>
      <w:pPr>
        <w:pStyle w:val="Heading2"/>
      </w:pPr>
      <w:r>
        <w:t>3.2 Success Indicators</w:t>
      </w:r>
    </w:p>
    <w:p>
      <w:pPr>
        <w:pStyle w:val="ListBullet"/>
        <w:spacing w:after="40"/>
      </w:pPr>
      <w:r>
        <w:t>Daily management report can be generated automatically at a configurable time.</w:t>
      </w:r>
    </w:p>
    <w:p>
      <w:pPr>
        <w:pStyle w:val="ListBullet"/>
        <w:spacing w:after="40"/>
      </w:pPr>
      <w:r>
        <w:t>Owner/Director can drill from a dashboard number down to the supporting transactions.</w:t>
      </w:r>
    </w:p>
    <w:p>
      <w:pPr>
        <w:pStyle w:val="ListBullet"/>
        <w:spacing w:after="40"/>
      </w:pPr>
      <w:r>
        <w:t>Cashier, food, beverage, expense, and Housebank figures are reconcilable and explainable.</w:t>
      </w:r>
    </w:p>
    <w:p>
      <w:pPr>
        <w:pStyle w:val="ListBullet"/>
        <w:spacing w:after="40"/>
      </w:pPr>
      <w:r>
        <w:t>Incorrect source entries can be corrected without deleting the original evidence.</w:t>
      </w:r>
    </w:p>
    <w:p>
      <w:pPr>
        <w:pStyle w:val="ListBullet"/>
        <w:spacing w:after="40"/>
      </w:pPr>
      <w:r>
        <w:t>A database-provider failure does not permanently destroy the only copy of cafe operational data.</w:t>
      </w:r>
    </w:p>
    <w:p>
      <w:r>
        <w:br w:type="page"/>
      </w:r>
    </w:p>
    <w:p>
      <w:pPr>
        <w:pStyle w:val="Heading1"/>
      </w:pPr>
      <w:r>
        <w:t>4. Stakeholders, Roles, and Permissions</w:t>
      </w:r>
    </w:p>
    <w:p>
      <w:pPr>
        <w:pStyle w:val="Heading2"/>
      </w:pPr>
      <w:r>
        <w:t>4.1 User Roles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shd w:fill="17365D"/>
            <w:tcMar>
              <w:top w:w="70" w:type="dxa"/>
              <w:start w:w="70" w:type="dxa"/>
              <w:bottom w:w="70" w:type="dxa"/>
              <w:end w:w="70" w:type="dxa"/>
            </w:tcMar>
          </w:tcPr>
          <w:p>
            <w:pPr>
              <w:jc w:val="center"/>
            </w:pPr>
            <w:r/>
            <w:r>
              <w:rPr>
                <w:rFonts w:ascii="Aptos" w:hAnsi="Aptos"/>
                <w:b/>
                <w:color w:val="FFFFFF"/>
                <w:sz w:val="16"/>
              </w:rPr>
              <w:t>Role</w:t>
            </w:r>
          </w:p>
        </w:tc>
        <w:tc>
          <w:tcPr>
            <w:tcW w:type="dxa" w:w="4464"/>
            <w:vAlign w:val="center"/>
            <w:shd w:fill="17365D"/>
            <w:tcMar>
              <w:top w:w="70" w:type="dxa"/>
              <w:start w:w="70" w:type="dxa"/>
              <w:bottom w:w="70" w:type="dxa"/>
              <w:end w:w="70" w:type="dxa"/>
            </w:tcMar>
          </w:tcPr>
          <w:p>
            <w:pPr>
              <w:jc w:val="center"/>
            </w:pPr>
            <w:r/>
            <w:r>
              <w:rPr>
                <w:rFonts w:ascii="Aptos" w:hAnsi="Aptos"/>
                <w:b/>
                <w:color w:val="FFFFFF"/>
                <w:sz w:val="16"/>
              </w:rPr>
              <w:t>Primary Responsibilities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Access Baseline</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Owner</w:t>
            </w:r>
          </w:p>
        </w:tc>
        <w:tc>
          <w:tcPr>
            <w:tcW w:type="dxa" w:w="4464"/>
            <w:vAlign w:val="center"/>
            <w:tcMar>
              <w:top w:w="70" w:type="dxa"/>
              <w:start w:w="70" w:type="dxa"/>
              <w:bottom w:w="70" w:type="dxa"/>
              <w:end w:w="70" w:type="dxa"/>
            </w:tcMar>
          </w:tcPr>
          <w:p>
            <w:r/>
            <w:r>
              <w:rPr>
                <w:rFonts w:ascii="Aptos" w:hAnsi="Aptos"/>
                <w:b w:val="0"/>
                <w:color w:val="000000"/>
                <w:sz w:val="16"/>
              </w:rPr>
              <w:t>Leadership, governance, full reporting, configuration, override.</w:t>
            </w:r>
          </w:p>
        </w:tc>
        <w:tc>
          <w:tcPr>
            <w:tcW w:type="dxa" w:w="4320"/>
            <w:vAlign w:val="center"/>
            <w:tcMar>
              <w:top w:w="70" w:type="dxa"/>
              <w:start w:w="70" w:type="dxa"/>
              <w:bottom w:w="70" w:type="dxa"/>
              <w:end w:w="70" w:type="dxa"/>
            </w:tcMar>
          </w:tcPr>
          <w:p>
            <w:r/>
            <w:r>
              <w:rPr>
                <w:rFonts w:ascii="Aptos" w:hAnsi="Aptos"/>
                <w:b w:val="0"/>
                <w:color w:val="000000"/>
                <w:sz w:val="16"/>
              </w:rPr>
              <w:t>Full access to all modules and audit history.</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Director</w:t>
            </w:r>
          </w:p>
        </w:tc>
        <w:tc>
          <w:tcPr>
            <w:tcW w:type="dxa" w:w="4464"/>
            <w:vAlign w:val="center"/>
            <w:shd w:fill="F8FAFC"/>
            <w:tcMar>
              <w:top w:w="70" w:type="dxa"/>
              <w:start w:w="70" w:type="dxa"/>
              <w:bottom w:w="70" w:type="dxa"/>
              <w:end w:w="70" w:type="dxa"/>
            </w:tcMar>
          </w:tcPr>
          <w:p>
            <w:r/>
            <w:r>
              <w:rPr>
                <w:rFonts w:ascii="Aptos" w:hAnsi="Aptos"/>
                <w:b w:val="0"/>
                <w:color w:val="000000"/>
                <w:sz w:val="16"/>
              </w:rPr>
              <w:t>Leadership, operational funding, reporting, approvals.</w:t>
            </w:r>
          </w:p>
        </w:tc>
        <w:tc>
          <w:tcPr>
            <w:tcW w:type="dxa" w:w="4320"/>
            <w:vAlign w:val="center"/>
            <w:shd w:fill="F8FAFC"/>
            <w:tcMar>
              <w:top w:w="70" w:type="dxa"/>
              <w:start w:w="70" w:type="dxa"/>
              <w:bottom w:w="70" w:type="dxa"/>
              <w:end w:w="70" w:type="dxa"/>
            </w:tcMar>
          </w:tcPr>
          <w:p>
            <w:r/>
            <w:r>
              <w:rPr>
                <w:rFonts w:ascii="Aptos" w:hAnsi="Aptos"/>
                <w:b w:val="0"/>
                <w:color w:val="000000"/>
                <w:sz w:val="16"/>
              </w:rPr>
              <w:t>Full access; primary operator for Company → Housebank funding.</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Manager</w:t>
            </w:r>
          </w:p>
        </w:tc>
        <w:tc>
          <w:tcPr>
            <w:tcW w:type="dxa" w:w="4464"/>
            <w:vAlign w:val="center"/>
            <w:tcMar>
              <w:top w:w="70" w:type="dxa"/>
              <w:start w:w="70" w:type="dxa"/>
              <w:bottom w:w="70" w:type="dxa"/>
              <w:end w:w="70" w:type="dxa"/>
            </w:tcMar>
          </w:tcPr>
          <w:p>
            <w:r/>
            <w:r>
              <w:rPr>
                <w:rFonts w:ascii="Aptos" w:hAnsi="Aptos"/>
                <w:b w:val="0"/>
                <w:color w:val="000000"/>
                <w:sz w:val="16"/>
              </w:rPr>
              <w:t>Day-to-day operational control, purchase requests, stock, monitoring.</w:t>
            </w:r>
          </w:p>
        </w:tc>
        <w:tc>
          <w:tcPr>
            <w:tcW w:type="dxa" w:w="4320"/>
            <w:vAlign w:val="center"/>
            <w:tcMar>
              <w:top w:w="70" w:type="dxa"/>
              <w:start w:w="70" w:type="dxa"/>
              <w:bottom w:w="70" w:type="dxa"/>
              <w:end w:w="70" w:type="dxa"/>
            </w:tcMar>
          </w:tcPr>
          <w:p>
            <w:r/>
            <w:r>
              <w:rPr>
                <w:rFonts w:ascii="Aptos" w:hAnsi="Aptos"/>
                <w:b w:val="0"/>
                <w:color w:val="000000"/>
                <w:sz w:val="16"/>
              </w:rPr>
              <w:t>Operational modules, inventory, purchase requests, reports; no company-funding entry by default.</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Cashier</w:t>
            </w:r>
          </w:p>
        </w:tc>
        <w:tc>
          <w:tcPr>
            <w:tcW w:type="dxa" w:w="4464"/>
            <w:vAlign w:val="center"/>
            <w:shd w:fill="F8FAFC"/>
            <w:tcMar>
              <w:top w:w="70" w:type="dxa"/>
              <w:start w:w="70" w:type="dxa"/>
              <w:bottom w:w="70" w:type="dxa"/>
              <w:end w:w="70" w:type="dxa"/>
            </w:tcMar>
          </w:tcPr>
          <w:p>
            <w:r/>
            <w:r>
              <w:rPr>
                <w:rFonts w:ascii="Aptos" w:hAnsi="Aptos"/>
                <w:b w:val="0"/>
                <w:color w:val="000000"/>
                <w:sz w:val="16"/>
              </w:rPr>
              <w:t>Cashier reporting, beverage/barista sales input, income/outflow recording.</w:t>
            </w:r>
          </w:p>
        </w:tc>
        <w:tc>
          <w:tcPr>
            <w:tcW w:type="dxa" w:w="4320"/>
            <w:vAlign w:val="center"/>
            <w:shd w:fill="F8FAFC"/>
            <w:tcMar>
              <w:top w:w="70" w:type="dxa"/>
              <w:start w:w="70" w:type="dxa"/>
              <w:bottom w:w="70" w:type="dxa"/>
              <w:end w:w="70" w:type="dxa"/>
            </w:tcMar>
          </w:tcPr>
          <w:p>
            <w:r/>
            <w:r>
              <w:rPr>
                <w:rFonts w:ascii="Aptos" w:hAnsi="Aptos"/>
                <w:b w:val="0"/>
                <w:color w:val="000000"/>
                <w:sz w:val="16"/>
              </w:rPr>
              <w:t>Cashier and Beverage scope; limited own/history views as configured.</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Kitchen</w:t>
            </w:r>
          </w:p>
        </w:tc>
        <w:tc>
          <w:tcPr>
            <w:tcW w:type="dxa" w:w="4464"/>
            <w:vAlign w:val="center"/>
            <w:tcMar>
              <w:top w:w="70" w:type="dxa"/>
              <w:start w:w="70" w:type="dxa"/>
              <w:bottom w:w="70" w:type="dxa"/>
              <w:end w:w="70" w:type="dxa"/>
            </w:tcMar>
          </w:tcPr>
          <w:p>
            <w:r/>
            <w:r>
              <w:rPr>
                <w:rFonts w:ascii="Aptos" w:hAnsi="Aptos"/>
                <w:b w:val="0"/>
                <w:color w:val="000000"/>
                <w:sz w:val="16"/>
              </w:rPr>
              <w:t>Food production/sales quantities and Kitchen stock input.</w:t>
            </w:r>
          </w:p>
        </w:tc>
        <w:tc>
          <w:tcPr>
            <w:tcW w:type="dxa" w:w="4320"/>
            <w:vAlign w:val="center"/>
            <w:tcMar>
              <w:top w:w="70" w:type="dxa"/>
              <w:start w:w="70" w:type="dxa"/>
              <w:bottom w:w="70" w:type="dxa"/>
              <w:end w:w="70" w:type="dxa"/>
            </w:tcMar>
          </w:tcPr>
          <w:p>
            <w:r/>
            <w:r>
              <w:rPr>
                <w:rFonts w:ascii="Aptos" w:hAnsi="Aptos"/>
                <w:b w:val="0"/>
                <w:color w:val="000000"/>
                <w:sz w:val="16"/>
              </w:rPr>
              <w:t>Kitchen sales and Kitchen stock scope only.</w:t>
            </w:r>
          </w:p>
        </w:tc>
      </w:tr>
    </w:tbl>
    <w:p>
      <w:pPr>
        <w:spacing w:after="20"/>
      </w:pPr>
    </w:p>
    <w:p>
      <w:pPr>
        <w:pStyle w:val="Heading2"/>
      </w:pPr>
      <w:r>
        <w:t>4.2 Permission Rules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ROLE-01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Owner and Director shall have access to all dashboards, detail reports, settings, audit trails, correction history, and financial modules.</w:t>
            </w:r>
          </w:p>
        </w:tc>
        <w:tc>
          <w:tcPr>
            <w:tcW w:type="dxa" w:w="3024"/>
            <w:vAlign w:val="center"/>
            <w:tcMar>
              <w:top w:w="70" w:type="dxa"/>
              <w:start w:w="70" w:type="dxa"/>
              <w:bottom w:w="70" w:type="dxa"/>
              <w:end w:w="70" w:type="dxa"/>
            </w:tcMar>
          </w:tcPr>
          <w:p>
            <w:r/>
            <w:r>
              <w:rPr>
                <w:rFonts w:ascii="Aptos" w:hAnsi="Aptos"/>
                <w:b w:val="0"/>
                <w:color w:val="000000"/>
                <w:sz w:val="15"/>
              </w:rPr>
              <w:t>Both can open every MVP module.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ROLE-02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Director shall be the primary role that records Company → Housebank funding; Owner may act as superuser.</w:t>
            </w:r>
          </w:p>
        </w:tc>
        <w:tc>
          <w:tcPr>
            <w:tcW w:type="dxa" w:w="3024"/>
            <w:vAlign w:val="center"/>
            <w:shd w:fill="F8FAFC"/>
            <w:tcMar>
              <w:top w:w="70" w:type="dxa"/>
              <w:start w:w="70" w:type="dxa"/>
              <w:bottom w:w="70" w:type="dxa"/>
              <w:end w:w="70" w:type="dxa"/>
            </w:tcMar>
          </w:tcPr>
          <w:p>
            <w:r/>
            <w:r>
              <w:rPr>
                <w:rFonts w:ascii="Aptos" w:hAnsi="Aptos"/>
                <w:b w:val="0"/>
                <w:color w:val="000000"/>
                <w:sz w:val="15"/>
              </w:rPr>
              <w:t>Manager/Cashier/Kitchen cannot create this transaction.</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ROLE-03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Manager shall manage operational workflow, stock opname, purchase requests, and relevant reports.</w:t>
            </w:r>
          </w:p>
        </w:tc>
        <w:tc>
          <w:tcPr>
            <w:tcW w:type="dxa" w:w="3024"/>
            <w:vAlign w:val="center"/>
            <w:tcMar>
              <w:top w:w="70" w:type="dxa"/>
              <w:start w:w="70" w:type="dxa"/>
              <w:bottom w:w="70" w:type="dxa"/>
              <w:end w:w="70" w:type="dxa"/>
            </w:tcMar>
          </w:tcPr>
          <w:p>
            <w:r/>
            <w:r>
              <w:rPr>
                <w:rFonts w:ascii="Aptos" w:hAnsi="Aptos"/>
                <w:b w:val="0"/>
                <w:color w:val="000000"/>
                <w:sz w:val="15"/>
              </w:rPr>
              <w:t>Manager can operate assigned modules without access to system-owner settings.</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ROLE-04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Cashier shall include beverage/barista operational responsibility in MVP.</w:t>
            </w:r>
          </w:p>
        </w:tc>
        <w:tc>
          <w:tcPr>
            <w:tcW w:type="dxa" w:w="3024"/>
            <w:vAlign w:val="center"/>
            <w:shd w:fill="F8FAFC"/>
            <w:tcMar>
              <w:top w:w="70" w:type="dxa"/>
              <w:start w:w="70" w:type="dxa"/>
              <w:bottom w:w="70" w:type="dxa"/>
              <w:end w:w="70" w:type="dxa"/>
            </w:tcMar>
          </w:tcPr>
          <w:p>
            <w:r/>
            <w:r>
              <w:rPr>
                <w:rFonts w:ascii="Aptos" w:hAnsi="Aptos"/>
                <w:b w:val="0"/>
                <w:color w:val="000000"/>
                <w:sz w:val="15"/>
              </w:rPr>
              <w:t>Cashier can view/operate cashier and beverage scope.</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ROLE-05</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Kitchen shall be restricted to food/kitchen data and kitchen inventory scope.</w:t>
            </w:r>
          </w:p>
        </w:tc>
        <w:tc>
          <w:tcPr>
            <w:tcW w:type="dxa" w:w="3024"/>
            <w:vAlign w:val="center"/>
            <w:tcMar>
              <w:top w:w="70" w:type="dxa"/>
              <w:start w:w="70" w:type="dxa"/>
              <w:bottom w:w="70" w:type="dxa"/>
              <w:end w:w="70" w:type="dxa"/>
            </w:tcMar>
          </w:tcPr>
          <w:p>
            <w:r/>
            <w:r>
              <w:rPr>
                <w:rFonts w:ascii="Aptos" w:hAnsi="Aptos"/>
                <w:b w:val="0"/>
                <w:color w:val="000000"/>
                <w:sz w:val="15"/>
              </w:rPr>
              <w:t>Kitchen cannot view financial or Housebank detail.</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ROLE-06</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Authorization shall be enforced server-side, not only by hiding UI.</w:t>
            </w:r>
          </w:p>
        </w:tc>
        <w:tc>
          <w:tcPr>
            <w:tcW w:type="dxa" w:w="3024"/>
            <w:vAlign w:val="center"/>
            <w:shd w:fill="F8FAFC"/>
            <w:tcMar>
              <w:top w:w="70" w:type="dxa"/>
              <w:start w:w="70" w:type="dxa"/>
              <w:bottom w:w="70" w:type="dxa"/>
              <w:end w:w="70" w:type="dxa"/>
            </w:tcMar>
          </w:tcPr>
          <w:p>
            <w:r/>
            <w:r>
              <w:rPr>
                <w:rFonts w:ascii="Aptos" w:hAnsi="Aptos"/>
                <w:b w:val="0"/>
                <w:color w:val="000000"/>
                <w:sz w:val="15"/>
              </w:rPr>
              <w:t>Unauthorized API requests return denial.</w:t>
            </w:r>
          </w:p>
        </w:tc>
      </w:tr>
    </w:tbl>
    <w:p>
      <w:pPr>
        <w:spacing w:after="20"/>
      </w:pPr>
    </w:p>
    <w:p>
      <w:pPr>
        <w:pStyle w:val="Heading1"/>
      </w:pPr>
      <w:r>
        <w:t>5. System Context and Architecture</w:t>
      </w:r>
    </w:p>
    <w:p>
      <w:pPr>
        <w:pStyle w:val="Heading2"/>
      </w:pPr>
      <w:r>
        <w:t>5.1 Logical Architecture</w:t>
      </w:r>
    </w:p>
    <w:p>
      <w:pPr>
        <w:jc w:val="center"/>
      </w:pPr>
      <w:r>
        <w:rPr>
          <w:b/>
          <w:color w:val="17365D"/>
          <w:sz w:val="20"/>
        </w:rPr>
        <w:t>Google Forms → Google Sheets (raw operational source) → Ingestion / Validation API → PostgreSQL Application DB → Dashboard / Reports / Email</w:t>
      </w:r>
    </w:p>
    <w:p>
      <w:r>
        <w:t>The application is planned as a single full-stack Next.js application. Google Sheets is not the primary reporting database; it is treated as a raw operational source and recovery reference. PostgreSQL stores normalized entities, corrections, approval workflow, financial ledger, stock opname data, report snapshots, settings, and audit records.</w:t>
      </w:r>
    </w:p>
    <w:p>
      <w:pPr>
        <w:pStyle w:val="Heading2"/>
      </w:pPr>
      <w:r>
        <w:t>5.2 Integration Principles</w:t>
      </w:r>
    </w:p>
    <w:p>
      <w:pPr>
        <w:pStyle w:val="ListBullet"/>
        <w:spacing w:after="40"/>
      </w:pPr>
      <w:r>
        <w:t>Google Form submission should trigger ingestion as soon as practical; periodic reconciliation is also required to detect missed updates.</w:t>
      </w:r>
    </w:p>
    <w:p>
      <w:pPr>
        <w:pStyle w:val="ListBullet"/>
        <w:spacing w:after="40"/>
      </w:pPr>
      <w:r>
        <w:t>Ingestion must be idempotent: the same source row/submission must not create duplicate financial/sales records.</w:t>
      </w:r>
    </w:p>
    <w:p>
      <w:pPr>
        <w:pStyle w:val="ListBullet"/>
        <w:spacing w:after="40"/>
      </w:pPr>
      <w:r>
        <w:t>Raw payload must be preserved alongside normalized records.</w:t>
      </w:r>
    </w:p>
    <w:p>
      <w:pPr>
        <w:pStyle w:val="ListBullet"/>
        <w:spacing w:after="40"/>
      </w:pPr>
      <w:r>
        <w:t>The application must support re-sync/reprocess of a source submission after mapping or validation changes.</w:t>
      </w:r>
    </w:p>
    <w:p>
      <w:pPr>
        <w:pStyle w:val="ListBullet"/>
        <w:spacing w:after="40"/>
      </w:pPr>
      <w:r>
        <w:t>Core implementation must not depend on proprietary database features for essential business data.</w:t>
      </w:r>
    </w:p>
    <w:p>
      <w:r>
        <w:br w:type="page"/>
      </w:r>
    </w:p>
    <w:p>
      <w:pPr>
        <w:pStyle w:val="Heading1"/>
      </w:pPr>
      <w:r>
        <w:t>6. Core Business Rules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296"/>
            <w:vAlign w:val="center"/>
            <w:shd w:fill="17365D"/>
            <w:tcMar>
              <w:top w:w="70" w:type="dxa"/>
              <w:start w:w="70" w:type="dxa"/>
              <w:bottom w:w="70" w:type="dxa"/>
              <w:end w:w="70" w:type="dxa"/>
            </w:tcMar>
          </w:tcPr>
          <w:p>
            <w:pPr>
              <w:jc w:val="center"/>
            </w:pPr>
            <w:r/>
            <w:r>
              <w:rPr>
                <w:rFonts w:ascii="Aptos" w:hAnsi="Aptos"/>
                <w:b/>
                <w:color w:val="FFFFFF"/>
                <w:sz w:val="16"/>
              </w:rPr>
              <w:t>Rule ID</w:t>
            </w:r>
          </w:p>
        </w:tc>
        <w:tc>
          <w:tcPr>
            <w:tcW w:type="dxa" w:w="8496"/>
            <w:vAlign w:val="center"/>
            <w:shd w:fill="17365D"/>
            <w:tcMar>
              <w:top w:w="70" w:type="dxa"/>
              <w:start w:w="70" w:type="dxa"/>
              <w:bottom w:w="70" w:type="dxa"/>
              <w:end w:w="70" w:type="dxa"/>
            </w:tcMar>
          </w:tcPr>
          <w:p>
            <w:pPr>
              <w:jc w:val="center"/>
            </w:pPr>
            <w:r/>
            <w:r>
              <w:rPr>
                <w:rFonts w:ascii="Aptos" w:hAnsi="Aptos"/>
                <w:b/>
                <w:color w:val="FFFFFF"/>
                <w:sz w:val="16"/>
              </w:rPr>
              <w:t>Business Rule</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BR-001</w:t>
            </w:r>
          </w:p>
        </w:tc>
        <w:tc>
          <w:tcPr>
            <w:tcW w:type="dxa" w:w="8496"/>
            <w:vAlign w:val="center"/>
            <w:tcMar>
              <w:top w:w="70" w:type="dxa"/>
              <w:start w:w="70" w:type="dxa"/>
              <w:bottom w:w="70" w:type="dxa"/>
              <w:end w:w="70" w:type="dxa"/>
            </w:tcMar>
          </w:tcPr>
          <w:p>
            <w:r/>
            <w:r>
              <w:rPr>
                <w:rFonts w:ascii="Aptos" w:hAnsi="Aptos"/>
                <w:b w:val="0"/>
                <w:color w:val="000000"/>
                <w:sz w:val="16"/>
              </w:rPr>
              <w:t>Operating hours are 10:00–21:30 Asia/Jakarta.</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BR-002</w:t>
            </w:r>
          </w:p>
        </w:tc>
        <w:tc>
          <w:tcPr>
            <w:tcW w:type="dxa" w:w="8496"/>
            <w:vAlign w:val="center"/>
            <w:shd w:fill="F8FAFC"/>
            <w:tcMar>
              <w:top w:w="70" w:type="dxa"/>
              <w:start w:w="70" w:type="dxa"/>
              <w:bottom w:w="70" w:type="dxa"/>
              <w:end w:w="70" w:type="dxa"/>
            </w:tcMar>
          </w:tcPr>
          <w:p>
            <w:r/>
            <w:r>
              <w:rPr>
                <w:rFonts w:ascii="Aptos" w:hAnsi="Aptos"/>
                <w:b w:val="0"/>
                <w:color w:val="000000"/>
                <w:sz w:val="16"/>
              </w:rPr>
              <w:t>Business reporting is based on Business Date, not Google Form submission timestamp.</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BR-003</w:t>
            </w:r>
          </w:p>
        </w:tc>
        <w:tc>
          <w:tcPr>
            <w:tcW w:type="dxa" w:w="8496"/>
            <w:vAlign w:val="center"/>
            <w:tcMar>
              <w:top w:w="70" w:type="dxa"/>
              <w:start w:w="70" w:type="dxa"/>
              <w:bottom w:w="70" w:type="dxa"/>
              <w:end w:w="70" w:type="dxa"/>
            </w:tcMar>
          </w:tcPr>
          <w:p>
            <w:r/>
            <w:r>
              <w:rPr>
                <w:rFonts w:ascii="Aptos" w:hAnsi="Aptos"/>
                <w:b w:val="0"/>
                <w:color w:val="000000"/>
                <w:sz w:val="16"/>
              </w:rPr>
              <w:t>For Cashier and Kitchen, explicit report/sales date from the form is authoritative.</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BR-004</w:t>
            </w:r>
          </w:p>
        </w:tc>
        <w:tc>
          <w:tcPr>
            <w:tcW w:type="dxa" w:w="8496"/>
            <w:vAlign w:val="center"/>
            <w:shd w:fill="F8FAFC"/>
            <w:tcMar>
              <w:top w:w="70" w:type="dxa"/>
              <w:start w:w="70" w:type="dxa"/>
              <w:bottom w:w="70" w:type="dxa"/>
              <w:end w:w="70" w:type="dxa"/>
            </w:tcMar>
          </w:tcPr>
          <w:p>
            <w:r/>
            <w:r>
              <w:rPr>
                <w:rFonts w:ascii="Aptos" w:hAnsi="Aptos"/>
                <w:b w:val="0"/>
                <w:color w:val="000000"/>
                <w:sz w:val="16"/>
              </w:rPr>
              <w:t>Beverage Form shall contain an explicit Business/Sales Date field in MVP.</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BR-005</w:t>
            </w:r>
          </w:p>
        </w:tc>
        <w:tc>
          <w:tcPr>
            <w:tcW w:type="dxa" w:w="8496"/>
            <w:vAlign w:val="center"/>
            <w:tcMar>
              <w:top w:w="70" w:type="dxa"/>
              <w:start w:w="70" w:type="dxa"/>
              <w:bottom w:w="70" w:type="dxa"/>
              <w:end w:w="70" w:type="dxa"/>
            </w:tcMar>
          </w:tcPr>
          <w:p>
            <w:r/>
            <w:r>
              <w:rPr>
                <w:rFonts w:ascii="Aptos" w:hAnsi="Aptos"/>
                <w:b w:val="0"/>
                <w:color w:val="000000"/>
                <w:sz w:val="16"/>
              </w:rPr>
              <w:t>Food revenue in MVP = valid food quantity × price effective on the Business Date.</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BR-006</w:t>
            </w:r>
          </w:p>
        </w:tc>
        <w:tc>
          <w:tcPr>
            <w:tcW w:type="dxa" w:w="8496"/>
            <w:vAlign w:val="center"/>
            <w:shd w:fill="F8FAFC"/>
            <w:tcMar>
              <w:top w:w="70" w:type="dxa"/>
              <w:start w:w="70" w:type="dxa"/>
              <w:bottom w:w="70" w:type="dxa"/>
              <w:end w:w="70" w:type="dxa"/>
            </w:tcMar>
          </w:tcPr>
          <w:p>
            <w:r/>
            <w:r>
              <w:rPr>
                <w:rFonts w:ascii="Aptos" w:hAnsi="Aptos"/>
                <w:b w:val="0"/>
                <w:color w:val="000000"/>
                <w:sz w:val="16"/>
              </w:rPr>
              <w:t>Beverage revenue in MVP = valid beverage quantity × price effective on the Business Date.</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BR-007</w:t>
            </w:r>
          </w:p>
        </w:tc>
        <w:tc>
          <w:tcPr>
            <w:tcW w:type="dxa" w:w="8496"/>
            <w:vAlign w:val="center"/>
            <w:tcMar>
              <w:top w:w="70" w:type="dxa"/>
              <w:start w:w="70" w:type="dxa"/>
              <w:bottom w:w="70" w:type="dxa"/>
              <w:end w:w="70" w:type="dxa"/>
            </w:tcMar>
          </w:tcPr>
          <w:p>
            <w:r/>
            <w:r>
              <w:rPr>
                <w:rFonts w:ascii="Aptos" w:hAnsi="Aptos"/>
                <w:b w:val="0"/>
                <w:color w:val="000000"/>
                <w:sz w:val="16"/>
              </w:rPr>
              <w:t>Menu price is initially the same for all order/payment channels.</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BR-008</w:t>
            </w:r>
          </w:p>
        </w:tc>
        <w:tc>
          <w:tcPr>
            <w:tcW w:type="dxa" w:w="8496"/>
            <w:vAlign w:val="center"/>
            <w:shd w:fill="F8FAFC"/>
            <w:tcMar>
              <w:top w:w="70" w:type="dxa"/>
              <w:start w:w="70" w:type="dxa"/>
              <w:bottom w:w="70" w:type="dxa"/>
              <w:end w:w="70" w:type="dxa"/>
            </w:tcMar>
          </w:tcPr>
          <w:p>
            <w:r/>
            <w:r>
              <w:rPr>
                <w:rFonts w:ascii="Aptos" w:hAnsi="Aptos"/>
                <w:b w:val="0"/>
                <w:color w:val="000000"/>
                <w:sz w:val="16"/>
              </w:rPr>
              <w:t>Food/Beverage category revenue and payment-method totals are different dimensions and must not be summed together as separate revenues.</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BR-009</w:t>
            </w:r>
          </w:p>
        </w:tc>
        <w:tc>
          <w:tcPr>
            <w:tcW w:type="dxa" w:w="8496"/>
            <w:vAlign w:val="center"/>
            <w:tcMar>
              <w:top w:w="70" w:type="dxa"/>
              <w:start w:w="70" w:type="dxa"/>
              <w:bottom w:w="70" w:type="dxa"/>
              <w:end w:w="70" w:type="dxa"/>
            </w:tcMar>
          </w:tcPr>
          <w:p>
            <w:r/>
            <w:r>
              <w:rPr>
                <w:rFonts w:ascii="Aptos" w:hAnsi="Aptos"/>
                <w:b w:val="0"/>
                <w:color w:val="000000"/>
                <w:sz w:val="16"/>
              </w:rPr>
              <w:t>Company → Housebank funding is a funding transaction, not cafe revenue.</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BR-010</w:t>
            </w:r>
          </w:p>
        </w:tc>
        <w:tc>
          <w:tcPr>
            <w:tcW w:type="dxa" w:w="8496"/>
            <w:vAlign w:val="center"/>
            <w:shd w:fill="F8FAFC"/>
            <w:tcMar>
              <w:top w:w="70" w:type="dxa"/>
              <w:start w:w="70" w:type="dxa"/>
              <w:bottom w:w="70" w:type="dxa"/>
              <w:end w:w="70" w:type="dxa"/>
            </w:tcMar>
          </w:tcPr>
          <w:p>
            <w:r/>
            <w:r>
              <w:rPr>
                <w:rFonts w:ascii="Aptos" w:hAnsi="Aptos"/>
                <w:b w:val="0"/>
                <w:color w:val="000000"/>
                <w:sz w:val="16"/>
              </w:rPr>
              <w:t>Housebank → Cashier is an internal transfer, not revenue or expense.</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BR-011</w:t>
            </w:r>
          </w:p>
        </w:tc>
        <w:tc>
          <w:tcPr>
            <w:tcW w:type="dxa" w:w="8496"/>
            <w:vAlign w:val="center"/>
            <w:tcMar>
              <w:top w:w="70" w:type="dxa"/>
              <w:start w:w="70" w:type="dxa"/>
              <w:bottom w:w="70" w:type="dxa"/>
              <w:end w:w="70" w:type="dxa"/>
            </w:tcMar>
          </w:tcPr>
          <w:p>
            <w:r/>
            <w:r>
              <w:rPr>
                <w:rFonts w:ascii="Aptos" w:hAnsi="Aptos"/>
                <w:b w:val="0"/>
                <w:color w:val="000000"/>
                <w:sz w:val="16"/>
              </w:rPr>
              <w:t>Cashier expense and Housebank expense reduce their respective fund accounts and must be linked to a source/reason.</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BR-012</w:t>
            </w:r>
          </w:p>
        </w:tc>
        <w:tc>
          <w:tcPr>
            <w:tcW w:type="dxa" w:w="8496"/>
            <w:vAlign w:val="center"/>
            <w:shd w:fill="F8FAFC"/>
            <w:tcMar>
              <w:top w:w="70" w:type="dxa"/>
              <w:start w:w="70" w:type="dxa"/>
              <w:bottom w:w="70" w:type="dxa"/>
              <w:end w:w="70" w:type="dxa"/>
            </w:tcMar>
          </w:tcPr>
          <w:p>
            <w:r/>
            <w:r>
              <w:rPr>
                <w:rFonts w:ascii="Aptos" w:hAnsi="Aptos"/>
                <w:b w:val="0"/>
                <w:color w:val="000000"/>
                <w:sz w:val="16"/>
              </w:rPr>
              <w:t>Derived fields such as total, balance, net cash, revenue summary, and variance cannot be manually edited.</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BR-013</w:t>
            </w:r>
          </w:p>
        </w:tc>
        <w:tc>
          <w:tcPr>
            <w:tcW w:type="dxa" w:w="8496"/>
            <w:vAlign w:val="center"/>
            <w:tcMar>
              <w:top w:w="70" w:type="dxa"/>
              <w:start w:w="70" w:type="dxa"/>
              <w:bottom w:w="70" w:type="dxa"/>
              <w:end w:w="70" w:type="dxa"/>
            </w:tcMar>
          </w:tcPr>
          <w:p>
            <w:r/>
            <w:r>
              <w:rPr>
                <w:rFonts w:ascii="Aptos" w:hAnsi="Aptos"/>
                <w:b w:val="0"/>
                <w:color w:val="000000"/>
                <w:sz w:val="16"/>
              </w:rPr>
              <w:t>Corrections modify the effective value while preserving original values and correction history.</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BR-014</w:t>
            </w:r>
          </w:p>
        </w:tc>
        <w:tc>
          <w:tcPr>
            <w:tcW w:type="dxa" w:w="8496"/>
            <w:vAlign w:val="center"/>
            <w:shd w:fill="F8FAFC"/>
            <w:tcMar>
              <w:top w:w="70" w:type="dxa"/>
              <w:start w:w="70" w:type="dxa"/>
              <w:bottom w:w="70" w:type="dxa"/>
              <w:end w:w="70" w:type="dxa"/>
            </w:tcMar>
          </w:tcPr>
          <w:p>
            <w:r/>
            <w:r>
              <w:rPr>
                <w:rFonts w:ascii="Aptos" w:hAnsi="Aptos"/>
                <w:b w:val="0"/>
                <w:color w:val="000000"/>
                <w:sz w:val="16"/>
              </w:rPr>
              <w:t>Financial records are never physically deleted through the application; cancellation uses VOID/REVERSAL semantics.</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BR-015</w:t>
            </w:r>
          </w:p>
        </w:tc>
        <w:tc>
          <w:tcPr>
            <w:tcW w:type="dxa" w:w="8496"/>
            <w:vAlign w:val="center"/>
            <w:tcMar>
              <w:top w:w="70" w:type="dxa"/>
              <w:start w:w="70" w:type="dxa"/>
              <w:bottom w:w="70" w:type="dxa"/>
              <w:end w:w="70" w:type="dxa"/>
            </w:tcMar>
          </w:tcPr>
          <w:p>
            <w:r/>
            <w:r>
              <w:rPr>
                <w:rFonts w:ascii="Aptos" w:hAnsi="Aptos"/>
                <w:b w:val="0"/>
                <w:color w:val="000000"/>
                <w:sz w:val="16"/>
              </w:rPr>
              <w:t>Audit records are append-only and are not editable from the application.</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BR-016</w:t>
            </w:r>
          </w:p>
        </w:tc>
        <w:tc>
          <w:tcPr>
            <w:tcW w:type="dxa" w:w="8496"/>
            <w:vAlign w:val="center"/>
            <w:shd w:fill="F8FAFC"/>
            <w:tcMar>
              <w:top w:w="70" w:type="dxa"/>
              <w:start w:w="70" w:type="dxa"/>
              <w:bottom w:w="70" w:type="dxa"/>
              <w:end w:w="70" w:type="dxa"/>
            </w:tcMar>
          </w:tcPr>
          <w:p>
            <w:r/>
            <w:r>
              <w:rPr>
                <w:rFonts w:ascii="Aptos" w:hAnsi="Aptos"/>
                <w:b w:val="0"/>
                <w:color w:val="000000"/>
                <w:sz w:val="16"/>
              </w:rPr>
              <w:t>Scheduled daily report time and recipient emails are configurable.</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BR-017</w:t>
            </w:r>
          </w:p>
        </w:tc>
        <w:tc>
          <w:tcPr>
            <w:tcW w:type="dxa" w:w="8496"/>
            <w:vAlign w:val="center"/>
            <w:tcMar>
              <w:top w:w="70" w:type="dxa"/>
              <w:start w:w="70" w:type="dxa"/>
              <w:bottom w:w="70" w:type="dxa"/>
              <w:end w:w="70" w:type="dxa"/>
            </w:tcMar>
          </w:tcPr>
          <w:p>
            <w:r/>
            <w:r>
              <w:rPr>
                <w:rFonts w:ascii="Aptos" w:hAnsi="Aptos"/>
                <w:b w:val="0"/>
                <w:color w:val="000000"/>
                <w:sz w:val="16"/>
              </w:rPr>
              <w:t>If required data is incomplete at send time, the daily report must still be sent with status BELUM LENGKAP and missing-source indicators.</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BR-018</w:t>
            </w:r>
          </w:p>
        </w:tc>
        <w:tc>
          <w:tcPr>
            <w:tcW w:type="dxa" w:w="8496"/>
            <w:vAlign w:val="center"/>
            <w:shd w:fill="F8FAFC"/>
            <w:tcMar>
              <w:top w:w="70" w:type="dxa"/>
              <w:start w:w="70" w:type="dxa"/>
              <w:bottom w:w="70" w:type="dxa"/>
              <w:end w:w="70" w:type="dxa"/>
            </w:tcMar>
          </w:tcPr>
          <w:p>
            <w:r/>
            <w:r>
              <w:rPr>
                <w:rFonts w:ascii="Aptos" w:hAnsi="Aptos"/>
                <w:b w:val="0"/>
                <w:color w:val="000000"/>
                <w:sz w:val="16"/>
              </w:rPr>
              <w:t>Each generated daily report is a snapshot. Later corrections create a revision/new report run rather than silently rewriting the sent historical snapshot.</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BR-019</w:t>
            </w:r>
          </w:p>
        </w:tc>
        <w:tc>
          <w:tcPr>
            <w:tcW w:type="dxa" w:w="8496"/>
            <w:vAlign w:val="center"/>
            <w:tcMar>
              <w:top w:w="70" w:type="dxa"/>
              <w:start w:w="70" w:type="dxa"/>
              <w:bottom w:w="70" w:type="dxa"/>
              <w:end w:w="70" w:type="dxa"/>
            </w:tcMar>
          </w:tcPr>
          <w:p>
            <w:r/>
            <w:r>
              <w:rPr>
                <w:rFonts w:ascii="Aptos" w:hAnsi="Aptos"/>
                <w:b w:val="0"/>
                <w:color w:val="000000"/>
                <w:sz w:val="16"/>
              </w:rPr>
              <w:t>Stock MVP uses stock opname / actual stock and adjustments; recipe/BOM consumption is out of MVP.</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BR-020</w:t>
            </w:r>
          </w:p>
        </w:tc>
        <w:tc>
          <w:tcPr>
            <w:tcW w:type="dxa" w:w="8496"/>
            <w:vAlign w:val="center"/>
            <w:shd w:fill="F8FAFC"/>
            <w:tcMar>
              <w:top w:w="70" w:type="dxa"/>
              <w:start w:w="70" w:type="dxa"/>
              <w:bottom w:w="70" w:type="dxa"/>
              <w:end w:w="70" w:type="dxa"/>
            </w:tcMar>
          </w:tcPr>
          <w:p>
            <w:r/>
            <w:r>
              <w:rPr>
                <w:rFonts w:ascii="Aptos" w:hAnsi="Aptos"/>
                <w:b w:val="0"/>
                <w:color w:val="000000"/>
                <w:sz w:val="16"/>
              </w:rPr>
              <w:t>Purchase Request follows the supplied flow: request → approve/revise/reject → choose source fund → spend → receipt recap → weekly report.</w:t>
            </w:r>
          </w:p>
        </w:tc>
      </w:tr>
    </w:tbl>
    <w:p>
      <w:pPr>
        <w:spacing w:after="20"/>
      </w:pPr>
    </w:p>
    <w:p>
      <w:pPr>
        <w:pStyle w:val="Heading1"/>
      </w:pPr>
      <w:r>
        <w:t>7. Functional Requirements</w:t>
      </w:r>
    </w:p>
    <w:p>
      <w:pPr>
        <w:pStyle w:val="Heading2"/>
      </w:pPr>
      <w:r>
        <w:t>7.1 Authentication and User Management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FR-AUTH-01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authenticate application users before access to protected pages and APIs.</w:t>
            </w:r>
          </w:p>
        </w:tc>
        <w:tc>
          <w:tcPr>
            <w:tcW w:type="dxa" w:w="3024"/>
            <w:vAlign w:val="center"/>
            <w:tcMar>
              <w:top w:w="70" w:type="dxa"/>
              <w:start w:w="70" w:type="dxa"/>
              <w:bottom w:w="70" w:type="dxa"/>
              <w:end w:w="70" w:type="dxa"/>
            </w:tcMar>
          </w:tcPr>
          <w:p>
            <w:r/>
            <w:r>
              <w:rPr>
                <w:rFonts w:ascii="Aptos" w:hAnsi="Aptos"/>
                <w:b w:val="0"/>
                <w:color w:val="000000"/>
                <w:sz w:val="15"/>
              </w:rPr>
              <w:t>Unauthenticated access is redirected/denied.</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FR-AUTH-02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Each user shall have one active application role in MVP.</w:t>
            </w:r>
          </w:p>
        </w:tc>
        <w:tc>
          <w:tcPr>
            <w:tcW w:type="dxa" w:w="3024"/>
            <w:vAlign w:val="center"/>
            <w:shd w:fill="F8FAFC"/>
            <w:tcMar>
              <w:top w:w="70" w:type="dxa"/>
              <w:start w:w="70" w:type="dxa"/>
              <w:bottom w:w="70" w:type="dxa"/>
              <w:end w:w="70" w:type="dxa"/>
            </w:tcMar>
          </w:tcPr>
          <w:p>
            <w:r/>
            <w:r>
              <w:rPr>
                <w:rFonts w:ascii="Aptos" w:hAnsi="Aptos"/>
                <w:b w:val="0"/>
                <w:color w:val="000000"/>
                <w:sz w:val="15"/>
              </w:rPr>
              <w:t>Role is visible in profile/admin user list.</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FR-AUTH-03</w:t>
            </w:r>
          </w:p>
        </w:tc>
        <w:tc>
          <w:tcPr>
            <w:tcW w:type="dxa" w:w="1008"/>
            <w:vAlign w:val="center"/>
            <w:tcMar>
              <w:top w:w="70" w:type="dxa"/>
              <w:start w:w="70" w:type="dxa"/>
              <w:bottom w:w="70" w:type="dxa"/>
              <w:end w:w="70" w:type="dxa"/>
            </w:tcMar>
          </w:tcPr>
          <w:p>
            <w:r/>
            <w:r>
              <w:rPr>
                <w:rFonts w:ascii="Aptos" w:hAnsi="Aptos"/>
                <w:b w:val="0"/>
                <w:color w:val="000000"/>
                <w:sz w:val="15"/>
              </w:rPr>
              <w:t>Should</w:t>
            </w:r>
          </w:p>
        </w:tc>
        <w:tc>
          <w:tcPr>
            <w:tcW w:type="dxa" w:w="4320"/>
            <w:vAlign w:val="center"/>
            <w:tcMar>
              <w:top w:w="70" w:type="dxa"/>
              <w:start w:w="70" w:type="dxa"/>
              <w:bottom w:w="70" w:type="dxa"/>
              <w:end w:w="70" w:type="dxa"/>
            </w:tcMar>
          </w:tcPr>
          <w:p>
            <w:r/>
            <w:r>
              <w:rPr>
                <w:rFonts w:ascii="Aptos" w:hAnsi="Aptos"/>
                <w:b w:val="0"/>
                <w:color w:val="000000"/>
                <w:sz w:val="15"/>
              </w:rPr>
              <w:t>Owner/Director shall be able to activate/deactivate users.</w:t>
            </w:r>
          </w:p>
        </w:tc>
        <w:tc>
          <w:tcPr>
            <w:tcW w:type="dxa" w:w="3024"/>
            <w:vAlign w:val="center"/>
            <w:tcMar>
              <w:top w:w="70" w:type="dxa"/>
              <w:start w:w="70" w:type="dxa"/>
              <w:bottom w:w="70" w:type="dxa"/>
              <w:end w:w="70" w:type="dxa"/>
            </w:tcMar>
          </w:tcPr>
          <w:p>
            <w:r/>
            <w:r>
              <w:rPr>
                <w:rFonts w:ascii="Aptos" w:hAnsi="Aptos"/>
                <w:b w:val="0"/>
                <w:color w:val="000000"/>
                <w:sz w:val="15"/>
              </w:rPr>
              <w:t>Deactivated user cannot access protected functions.</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FR-AUTH-04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User identity shall be stored on all material create/update/approval/correction/audit events.</w:t>
            </w:r>
          </w:p>
        </w:tc>
        <w:tc>
          <w:tcPr>
            <w:tcW w:type="dxa" w:w="3024"/>
            <w:vAlign w:val="center"/>
            <w:shd w:fill="F8FAFC"/>
            <w:tcMar>
              <w:top w:w="70" w:type="dxa"/>
              <w:start w:w="70" w:type="dxa"/>
              <w:bottom w:w="70" w:type="dxa"/>
              <w:end w:w="70" w:type="dxa"/>
            </w:tcMar>
          </w:tcPr>
          <w:p>
            <w:r/>
            <w:r>
              <w:rPr>
                <w:rFonts w:ascii="Aptos" w:hAnsi="Aptos"/>
                <w:b w:val="0"/>
                <w:color w:val="000000"/>
                <w:sz w:val="15"/>
              </w:rPr>
              <w:t>Audit record shows actor.</w:t>
            </w:r>
          </w:p>
        </w:tc>
      </w:tr>
    </w:tbl>
    <w:p>
      <w:pPr>
        <w:spacing w:after="20"/>
      </w:pPr>
    </w:p>
    <w:p>
      <w:pPr>
        <w:pStyle w:val="Heading2"/>
      </w:pPr>
      <w:r>
        <w:t>7.2 Google Forms / Sheets Ingestion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FR-INT-01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ingest Cashier, Kitchen, Beverage, and operational-fund source data from Google Sheets.</w:t>
            </w:r>
          </w:p>
        </w:tc>
        <w:tc>
          <w:tcPr>
            <w:tcW w:type="dxa" w:w="3024"/>
            <w:vAlign w:val="center"/>
            <w:tcMar>
              <w:top w:w="70" w:type="dxa"/>
              <w:start w:w="70" w:type="dxa"/>
              <w:bottom w:w="70" w:type="dxa"/>
              <w:end w:w="70" w:type="dxa"/>
            </w:tcMar>
          </w:tcPr>
          <w:p>
            <w:r/>
            <w:r>
              <w:rPr>
                <w:rFonts w:ascii="Aptos" w:hAnsi="Aptos"/>
                <w:b w:val="0"/>
                <w:color w:val="000000"/>
                <w:sz w:val="15"/>
              </w:rPr>
              <w:t>New valid submissions appear in application data.</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FR-INT-02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store source spreadsheet, sheet, source row/submission key, timestamps, raw payload, processing status, and error information.</w:t>
            </w:r>
          </w:p>
        </w:tc>
        <w:tc>
          <w:tcPr>
            <w:tcW w:type="dxa" w:w="3024"/>
            <w:vAlign w:val="center"/>
            <w:shd w:fill="F8FAFC"/>
            <w:tcMar>
              <w:top w:w="70" w:type="dxa"/>
              <w:start w:w="70" w:type="dxa"/>
              <w:bottom w:w="70" w:type="dxa"/>
              <w:end w:w="70" w:type="dxa"/>
            </w:tcMar>
          </w:tcPr>
          <w:p>
            <w:r/>
            <w:r>
              <w:rPr>
                <w:rFonts w:ascii="Aptos" w:hAnsi="Aptos"/>
                <w:b w:val="0"/>
                <w:color w:val="000000"/>
                <w:sz w:val="15"/>
              </w:rPr>
              <w:t>Raw record can be inspected for every imported item.</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FR-INT-03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Ingestion shall be idempotent.</w:t>
            </w:r>
          </w:p>
        </w:tc>
        <w:tc>
          <w:tcPr>
            <w:tcW w:type="dxa" w:w="3024"/>
            <w:vAlign w:val="center"/>
            <w:tcMar>
              <w:top w:w="70" w:type="dxa"/>
              <w:start w:w="70" w:type="dxa"/>
              <w:bottom w:w="70" w:type="dxa"/>
              <w:end w:w="70" w:type="dxa"/>
            </w:tcMar>
          </w:tcPr>
          <w:p>
            <w:r/>
            <w:r>
              <w:rPr>
                <w:rFonts w:ascii="Aptos" w:hAnsi="Aptos"/>
                <w:b w:val="0"/>
                <w:color w:val="000000"/>
                <w:sz w:val="15"/>
              </w:rPr>
              <w:t>Re-sending the same source does not duplicate transactions.</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FR-INT-04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validate required fields, numeric ranges, dates, and supported mappings before creating normalized financial data.</w:t>
            </w:r>
          </w:p>
        </w:tc>
        <w:tc>
          <w:tcPr>
            <w:tcW w:type="dxa" w:w="3024"/>
            <w:vAlign w:val="center"/>
            <w:shd w:fill="F8FAFC"/>
            <w:tcMar>
              <w:top w:w="70" w:type="dxa"/>
              <w:start w:w="70" w:type="dxa"/>
              <w:bottom w:w="70" w:type="dxa"/>
              <w:end w:w="70" w:type="dxa"/>
            </w:tcMar>
          </w:tcPr>
          <w:p>
            <w:r/>
            <w:r>
              <w:rPr>
                <w:rFonts w:ascii="Aptos" w:hAnsi="Aptos"/>
                <w:b w:val="0"/>
                <w:color w:val="000000"/>
                <w:sz w:val="15"/>
              </w:rPr>
              <w:t>Invalid data is quarantined/flagged, not silently accepted.</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FR-INT-05</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support reprocessing a raw submission after mapping/correction.</w:t>
            </w:r>
          </w:p>
        </w:tc>
        <w:tc>
          <w:tcPr>
            <w:tcW w:type="dxa" w:w="3024"/>
            <w:vAlign w:val="center"/>
            <w:tcMar>
              <w:top w:w="70" w:type="dxa"/>
              <w:start w:w="70" w:type="dxa"/>
              <w:bottom w:w="70" w:type="dxa"/>
              <w:end w:w="70" w:type="dxa"/>
            </w:tcMar>
          </w:tcPr>
          <w:p>
            <w:r/>
            <w:r>
              <w:rPr>
                <w:rFonts w:ascii="Aptos" w:hAnsi="Aptos"/>
                <w:b w:val="0"/>
                <w:color w:val="000000"/>
                <w:sz w:val="15"/>
              </w:rPr>
              <w:t>Normalized result is updated consistently.</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FR-INT-06</w:t>
            </w:r>
          </w:p>
        </w:tc>
        <w:tc>
          <w:tcPr>
            <w:tcW w:type="dxa" w:w="1008"/>
            <w:vAlign w:val="center"/>
            <w:shd w:fill="F8FAFC"/>
            <w:tcMar>
              <w:top w:w="70" w:type="dxa"/>
              <w:start w:w="70" w:type="dxa"/>
              <w:bottom w:w="70" w:type="dxa"/>
              <w:end w:w="70" w:type="dxa"/>
            </w:tcMar>
          </w:tcPr>
          <w:p>
            <w:r/>
            <w:r>
              <w:rPr>
                <w:rFonts w:ascii="Aptos" w:hAnsi="Aptos"/>
                <w:b w:val="0"/>
                <w:color w:val="000000"/>
                <w:sz w:val="15"/>
              </w:rPr>
              <w:t>Should</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perform scheduled reconciliation against Google Sheets to detect missed trigger deliveries.</w:t>
            </w:r>
          </w:p>
        </w:tc>
        <w:tc>
          <w:tcPr>
            <w:tcW w:type="dxa" w:w="3024"/>
            <w:vAlign w:val="center"/>
            <w:shd w:fill="F8FAFC"/>
            <w:tcMar>
              <w:top w:w="70" w:type="dxa"/>
              <w:start w:w="70" w:type="dxa"/>
              <w:bottom w:w="70" w:type="dxa"/>
              <w:end w:w="70" w:type="dxa"/>
            </w:tcMar>
          </w:tcPr>
          <w:p>
            <w:r/>
            <w:r>
              <w:rPr>
                <w:rFonts w:ascii="Aptos" w:hAnsi="Aptos"/>
                <w:b w:val="0"/>
                <w:color w:val="000000"/>
                <w:sz w:val="15"/>
              </w:rPr>
              <w:t>Missed rows can be imported automatically or flagged.</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FR-INT-07</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Beverage data shall include explicit Business/Sales Date before being treated as final for reporting.</w:t>
            </w:r>
          </w:p>
        </w:tc>
        <w:tc>
          <w:tcPr>
            <w:tcW w:type="dxa" w:w="3024"/>
            <w:vAlign w:val="center"/>
            <w:tcMar>
              <w:top w:w="70" w:type="dxa"/>
              <w:start w:w="70" w:type="dxa"/>
              <w:bottom w:w="70" w:type="dxa"/>
              <w:end w:w="70" w:type="dxa"/>
            </w:tcMar>
          </w:tcPr>
          <w:p>
            <w:r/>
            <w:r>
              <w:rPr>
                <w:rFonts w:ascii="Aptos" w:hAnsi="Aptos"/>
                <w:b w:val="0"/>
                <w:color w:val="000000"/>
                <w:sz w:val="15"/>
              </w:rPr>
              <w:t>Beverage report is not silently assigned by ambiguous timestamp when required date is absent.</w:t>
            </w:r>
          </w:p>
        </w:tc>
      </w:tr>
    </w:tbl>
    <w:p>
      <w:pPr>
        <w:spacing w:after="20"/>
      </w:pPr>
    </w:p>
    <w:p>
      <w:pPr>
        <w:pStyle w:val="Heading2"/>
      </w:pPr>
      <w:r>
        <w:t>7.3 Cashier Module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FR-CAS-01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display cashier reports by Business Date, cashier name, and shift.</w:t>
            </w:r>
          </w:p>
        </w:tc>
        <w:tc>
          <w:tcPr>
            <w:tcW w:type="dxa" w:w="3024"/>
            <w:vAlign w:val="center"/>
            <w:tcMar>
              <w:top w:w="70" w:type="dxa"/>
              <w:start w:w="70" w:type="dxa"/>
              <w:bottom w:w="70" w:type="dxa"/>
              <w:end w:w="70" w:type="dxa"/>
            </w:tcMar>
          </w:tcPr>
          <w:p>
            <w:r/>
            <w:r>
              <w:rPr>
                <w:rFonts w:ascii="Aptos" w:hAnsi="Aptos"/>
                <w:b w:val="0"/>
                <w:color w:val="000000"/>
                <w:sz w:val="15"/>
              </w:rPr>
              <w:t>User can filter and drill into a report.</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FR-CAS-02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normalize duplicate/branched payment columns into payment lines by method.</w:t>
            </w:r>
          </w:p>
        </w:tc>
        <w:tc>
          <w:tcPr>
            <w:tcW w:type="dxa" w:w="3024"/>
            <w:vAlign w:val="center"/>
            <w:shd w:fill="F8FAFC"/>
            <w:tcMar>
              <w:top w:w="70" w:type="dxa"/>
              <w:start w:w="70" w:type="dxa"/>
              <w:bottom w:w="70" w:type="dxa"/>
              <w:end w:w="70" w:type="dxa"/>
            </w:tcMar>
          </w:tcPr>
          <w:p>
            <w:r/>
            <w:r>
              <w:rPr>
                <w:rFonts w:ascii="Aptos" w:hAnsi="Aptos"/>
                <w:b w:val="0"/>
                <w:color w:val="000000"/>
                <w:sz w:val="15"/>
              </w:rPr>
              <w:t>Cash/QRIS/Transfer/etc. are shown once per normalized line.</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FR-CAS-03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support payment methods observed in source data: Cash, QRIS, Transfer, Debit Card, Credit Card (Visa/Mastercard), Receivable/City Ledger, DP, and Promotion/Cooperation.</w:t>
            </w:r>
          </w:p>
        </w:tc>
        <w:tc>
          <w:tcPr>
            <w:tcW w:type="dxa" w:w="3024"/>
            <w:vAlign w:val="center"/>
            <w:tcMar>
              <w:top w:w="70" w:type="dxa"/>
              <w:start w:w="70" w:type="dxa"/>
              <w:bottom w:w="70" w:type="dxa"/>
              <w:end w:w="70" w:type="dxa"/>
            </w:tcMar>
          </w:tcPr>
          <w:p>
            <w:r/>
            <w:r>
              <w:rPr>
                <w:rFonts w:ascii="Aptos" w:hAnsi="Aptos"/>
                <w:b w:val="0"/>
                <w:color w:val="000000"/>
                <w:sz w:val="15"/>
              </w:rPr>
              <w:t>All valid source methods map to controlled payment types.</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FR-CAS-04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normalize cashier expenses into expense lines including category, amount, staff/user, and note/source.</w:t>
            </w:r>
          </w:p>
        </w:tc>
        <w:tc>
          <w:tcPr>
            <w:tcW w:type="dxa" w:w="3024"/>
            <w:vAlign w:val="center"/>
            <w:shd w:fill="F8FAFC"/>
            <w:tcMar>
              <w:top w:w="70" w:type="dxa"/>
              <w:start w:w="70" w:type="dxa"/>
              <w:bottom w:w="70" w:type="dxa"/>
              <w:end w:w="70" w:type="dxa"/>
            </w:tcMar>
          </w:tcPr>
          <w:p>
            <w:r/>
            <w:r>
              <w:rPr>
                <w:rFonts w:ascii="Aptos" w:hAnsi="Aptos"/>
                <w:b w:val="0"/>
                <w:color w:val="000000"/>
                <w:sz w:val="15"/>
              </w:rPr>
              <w:t>Expense details can be audited.</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FR-CAS-05</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calculate actual cash from denomination counts and cash-outside-petty-cash fields where available.</w:t>
            </w:r>
          </w:p>
        </w:tc>
        <w:tc>
          <w:tcPr>
            <w:tcW w:type="dxa" w:w="3024"/>
            <w:vAlign w:val="center"/>
            <w:tcMar>
              <w:top w:w="70" w:type="dxa"/>
              <w:start w:w="70" w:type="dxa"/>
              <w:bottom w:w="70" w:type="dxa"/>
              <w:end w:w="70" w:type="dxa"/>
            </w:tcMar>
          </w:tcPr>
          <w:p>
            <w:r/>
            <w:r>
              <w:rPr>
                <w:rFonts w:ascii="Aptos" w:hAnsi="Aptos"/>
                <w:b w:val="0"/>
                <w:color w:val="000000"/>
                <w:sz w:val="15"/>
              </w:rPr>
              <w:t>Calculated actual cash is visible.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FR-CAS-06</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calculate expected cash from cashier transactions and compare against actual cash.</w:t>
            </w:r>
          </w:p>
        </w:tc>
        <w:tc>
          <w:tcPr>
            <w:tcW w:type="dxa" w:w="3024"/>
            <w:vAlign w:val="center"/>
            <w:shd w:fill="F8FAFC"/>
            <w:tcMar>
              <w:top w:w="70" w:type="dxa"/>
              <w:start w:w="70" w:type="dxa"/>
              <w:bottom w:w="70" w:type="dxa"/>
              <w:end w:w="70" w:type="dxa"/>
            </w:tcMar>
          </w:tcPr>
          <w:p>
            <w:r/>
            <w:r>
              <w:rPr>
                <w:rFonts w:ascii="Aptos" w:hAnsi="Aptos"/>
                <w:b w:val="0"/>
                <w:color w:val="000000"/>
                <w:sz w:val="15"/>
              </w:rPr>
              <w:t>Variance is shown and cannot be manually overwritten.</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FR-CAS-07</w:t>
            </w:r>
          </w:p>
        </w:tc>
        <w:tc>
          <w:tcPr>
            <w:tcW w:type="dxa" w:w="1008"/>
            <w:vAlign w:val="center"/>
            <w:tcMar>
              <w:top w:w="70" w:type="dxa"/>
              <w:start w:w="70" w:type="dxa"/>
              <w:bottom w:w="70" w:type="dxa"/>
              <w:end w:w="70" w:type="dxa"/>
            </w:tcMar>
          </w:tcPr>
          <w:p>
            <w:r/>
            <w:r>
              <w:rPr>
                <w:rFonts w:ascii="Aptos" w:hAnsi="Aptos"/>
                <w:b w:val="0"/>
                <w:color w:val="000000"/>
                <w:sz w:val="15"/>
              </w:rPr>
              <w:t>Should</w:t>
            </w:r>
          </w:p>
        </w:tc>
        <w:tc>
          <w:tcPr>
            <w:tcW w:type="dxa" w:w="4320"/>
            <w:vAlign w:val="center"/>
            <w:tcMar>
              <w:top w:w="70" w:type="dxa"/>
              <w:start w:w="70" w:type="dxa"/>
              <w:bottom w:w="70" w:type="dxa"/>
              <w:end w:w="70" w:type="dxa"/>
            </w:tcMar>
          </w:tcPr>
          <w:p>
            <w:r/>
            <w:r>
              <w:rPr>
                <w:rFonts w:ascii="Aptos" w:hAnsi="Aptos"/>
                <w:b w:val="0"/>
                <w:color w:val="000000"/>
                <w:sz w:val="15"/>
              </w:rPr>
              <w:t>System shall flag suspicious values and malformed text for review.</w:t>
            </w:r>
          </w:p>
        </w:tc>
        <w:tc>
          <w:tcPr>
            <w:tcW w:type="dxa" w:w="3024"/>
            <w:vAlign w:val="center"/>
            <w:tcMar>
              <w:top w:w="70" w:type="dxa"/>
              <w:start w:w="70" w:type="dxa"/>
              <w:bottom w:w="70" w:type="dxa"/>
              <w:end w:w="70" w:type="dxa"/>
            </w:tcMar>
          </w:tcPr>
          <w:p>
            <w:r/>
            <w:r>
              <w:rPr>
                <w:rFonts w:ascii="Aptos" w:hAnsi="Aptos"/>
                <w:b w:val="0"/>
                <w:color w:val="000000"/>
                <w:sz w:val="15"/>
              </w:rPr>
              <w:t>Implausible amount or navigation text can be marked for correction.</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FR-CAS-08</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preserve opening/closing status and petty-cash information from source data.</w:t>
            </w:r>
          </w:p>
        </w:tc>
        <w:tc>
          <w:tcPr>
            <w:tcW w:type="dxa" w:w="3024"/>
            <w:vAlign w:val="center"/>
            <w:shd w:fill="F8FAFC"/>
            <w:tcMar>
              <w:top w:w="70" w:type="dxa"/>
              <w:start w:w="70" w:type="dxa"/>
              <w:bottom w:w="70" w:type="dxa"/>
              <w:end w:w="70" w:type="dxa"/>
            </w:tcMar>
          </w:tcPr>
          <w:p>
            <w:r/>
            <w:r>
              <w:rPr>
                <w:rFonts w:ascii="Aptos" w:hAnsi="Aptos"/>
                <w:b w:val="0"/>
                <w:color w:val="000000"/>
                <w:sz w:val="15"/>
              </w:rPr>
              <w:t>Closing detail remains traceable.</w:t>
            </w:r>
          </w:p>
        </w:tc>
      </w:tr>
    </w:tbl>
    <w:p>
      <w:pPr>
        <w:spacing w:after="20"/>
      </w:pPr>
    </w:p>
    <w:p>
      <w:pPr>
        <w:pStyle w:val="Heading2"/>
      </w:pPr>
      <w:r>
        <w:t>7.4 Food / Kitchen Sales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FR-KIT-01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import Kitchen sales quantities per menu item and Business Date.</w:t>
            </w:r>
          </w:p>
        </w:tc>
        <w:tc>
          <w:tcPr>
            <w:tcW w:type="dxa" w:w="3024"/>
            <w:vAlign w:val="center"/>
            <w:tcMar>
              <w:top w:w="70" w:type="dxa"/>
              <w:start w:w="70" w:type="dxa"/>
              <w:bottom w:w="70" w:type="dxa"/>
              <w:end w:w="70" w:type="dxa"/>
            </w:tcMar>
          </w:tcPr>
          <w:p>
            <w:r/>
            <w:r>
              <w:rPr>
                <w:rFonts w:ascii="Aptos" w:hAnsi="Aptos"/>
                <w:b w:val="0"/>
                <w:color w:val="000000"/>
                <w:sz w:val="15"/>
              </w:rPr>
              <w:t>Daily item quantities match source.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FR-KIT-02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calculate food revenue using quantity × price effective on the Business Date.</w:t>
            </w:r>
          </w:p>
        </w:tc>
        <w:tc>
          <w:tcPr>
            <w:tcW w:type="dxa" w:w="3024"/>
            <w:vAlign w:val="center"/>
            <w:shd w:fill="F8FAFC"/>
            <w:tcMar>
              <w:top w:w="70" w:type="dxa"/>
              <w:start w:w="70" w:type="dxa"/>
              <w:bottom w:w="70" w:type="dxa"/>
              <w:end w:w="70" w:type="dxa"/>
            </w:tcMar>
          </w:tcPr>
          <w:p>
            <w:r/>
            <w:r>
              <w:rPr>
                <w:rFonts w:ascii="Aptos" w:hAnsi="Aptos"/>
                <w:b w:val="0"/>
                <w:color w:val="000000"/>
                <w:sz w:val="15"/>
              </w:rPr>
              <w:t>Historical revenue does not change when a future price changes.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FR-KIT-03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display food detail by date, product, quantity, inputter, and calculated revenue.</w:t>
            </w:r>
          </w:p>
        </w:tc>
        <w:tc>
          <w:tcPr>
            <w:tcW w:type="dxa" w:w="3024"/>
            <w:vAlign w:val="center"/>
            <w:tcMar>
              <w:top w:w="70" w:type="dxa"/>
              <w:start w:w="70" w:type="dxa"/>
              <w:bottom w:w="70" w:type="dxa"/>
              <w:end w:w="70" w:type="dxa"/>
            </w:tcMar>
          </w:tcPr>
          <w:p>
            <w:r/>
            <w:r>
              <w:rPr>
                <w:rFonts w:ascii="Aptos" w:hAnsi="Aptos"/>
                <w:b w:val="0"/>
                <w:color w:val="000000"/>
                <w:sz w:val="15"/>
              </w:rPr>
              <w:t>Drill-down available.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FR-KIT-04</w:t>
            </w:r>
          </w:p>
        </w:tc>
        <w:tc>
          <w:tcPr>
            <w:tcW w:type="dxa" w:w="1008"/>
            <w:vAlign w:val="center"/>
            <w:shd w:fill="F8FAFC"/>
            <w:tcMar>
              <w:top w:w="70" w:type="dxa"/>
              <w:start w:w="70" w:type="dxa"/>
              <w:bottom w:w="70" w:type="dxa"/>
              <w:end w:w="70" w:type="dxa"/>
            </w:tcMar>
          </w:tcPr>
          <w:p>
            <w:r/>
            <w:r>
              <w:rPr>
                <w:rFonts w:ascii="Aptos" w:hAnsi="Aptos"/>
                <w:b w:val="0"/>
                <w:color w:val="000000"/>
                <w:sz w:val="15"/>
              </w:rPr>
              <w:t>Should</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flag negative, non-numeric, or unusually high quantities.</w:t>
            </w:r>
          </w:p>
        </w:tc>
        <w:tc>
          <w:tcPr>
            <w:tcW w:type="dxa" w:w="3024"/>
            <w:vAlign w:val="center"/>
            <w:shd w:fill="F8FAFC"/>
            <w:tcMar>
              <w:top w:w="70" w:type="dxa"/>
              <w:start w:w="70" w:type="dxa"/>
              <w:bottom w:w="70" w:type="dxa"/>
              <w:end w:w="70" w:type="dxa"/>
            </w:tcMar>
          </w:tcPr>
          <w:p>
            <w:r/>
            <w:r>
              <w:rPr>
                <w:rFonts w:ascii="Aptos" w:hAnsi="Aptos"/>
                <w:b w:val="0"/>
                <w:color w:val="000000"/>
                <w:sz w:val="15"/>
              </w:rPr>
              <w:t>Invalid values require review.</w:t>
            </w:r>
          </w:p>
        </w:tc>
      </w:tr>
    </w:tbl>
    <w:p>
      <w:pPr>
        <w:spacing w:after="20"/>
      </w:pPr>
    </w:p>
    <w:p>
      <w:pPr>
        <w:pStyle w:val="Heading2"/>
      </w:pPr>
      <w:r>
        <w:t>7.5 Beverage / Barista Sales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FR-BEV-01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import beverage quantities by menu item, Business Date, and barista/cashier identity.</w:t>
            </w:r>
          </w:p>
        </w:tc>
        <w:tc>
          <w:tcPr>
            <w:tcW w:type="dxa" w:w="3024"/>
            <w:vAlign w:val="center"/>
            <w:tcMar>
              <w:top w:w="70" w:type="dxa"/>
              <w:start w:w="70" w:type="dxa"/>
              <w:bottom w:w="70" w:type="dxa"/>
              <w:end w:w="70" w:type="dxa"/>
            </w:tcMar>
          </w:tcPr>
          <w:p>
            <w:r/>
            <w:r>
              <w:rPr>
                <w:rFonts w:ascii="Aptos" w:hAnsi="Aptos"/>
                <w:b w:val="0"/>
                <w:color w:val="000000"/>
                <w:sz w:val="15"/>
              </w:rPr>
              <w:t>Daily beverage quantities match source.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FR-BEV-02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calculate beverage revenue using quantity × price effective on the Business Date.</w:t>
            </w:r>
          </w:p>
        </w:tc>
        <w:tc>
          <w:tcPr>
            <w:tcW w:type="dxa" w:w="3024"/>
            <w:vAlign w:val="center"/>
            <w:shd w:fill="F8FAFC"/>
            <w:tcMar>
              <w:top w:w="70" w:type="dxa"/>
              <w:start w:w="70" w:type="dxa"/>
              <w:bottom w:w="70" w:type="dxa"/>
              <w:end w:w="70" w:type="dxa"/>
            </w:tcMar>
          </w:tcPr>
          <w:p>
            <w:r/>
            <w:r>
              <w:rPr>
                <w:rFonts w:ascii="Aptos" w:hAnsi="Aptos"/>
                <w:b w:val="0"/>
                <w:color w:val="000000"/>
                <w:sz w:val="15"/>
              </w:rPr>
              <w:t>Historical revenue remains stable.</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FR-BEV-03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Beverage form shall be updated to capture explicit Tanggal Penjualan / Business Date.</w:t>
            </w:r>
          </w:p>
        </w:tc>
        <w:tc>
          <w:tcPr>
            <w:tcW w:type="dxa" w:w="3024"/>
            <w:vAlign w:val="center"/>
            <w:tcMar>
              <w:top w:w="70" w:type="dxa"/>
              <w:start w:w="70" w:type="dxa"/>
              <w:bottom w:w="70" w:type="dxa"/>
              <w:end w:w="70" w:type="dxa"/>
            </w:tcMar>
          </w:tcPr>
          <w:p>
            <w:r/>
            <w:r>
              <w:rPr>
                <w:rFonts w:ascii="Aptos" w:hAnsi="Aptos"/>
                <w:b w:val="0"/>
                <w:color w:val="000000"/>
                <w:sz w:val="15"/>
              </w:rPr>
              <w:t>Late submissions are assigned to the intended date.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FR-BEV-04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Cashier role shall be permitted to operate/view beverage data in MVP.</w:t>
            </w:r>
          </w:p>
        </w:tc>
        <w:tc>
          <w:tcPr>
            <w:tcW w:type="dxa" w:w="3024"/>
            <w:vAlign w:val="center"/>
            <w:shd w:fill="F8FAFC"/>
            <w:tcMar>
              <w:top w:w="70" w:type="dxa"/>
              <w:start w:w="70" w:type="dxa"/>
              <w:bottom w:w="70" w:type="dxa"/>
              <w:end w:w="70" w:type="dxa"/>
            </w:tcMar>
          </w:tcPr>
          <w:p>
            <w:r/>
            <w:r>
              <w:rPr>
                <w:rFonts w:ascii="Aptos" w:hAnsi="Aptos"/>
                <w:b w:val="0"/>
                <w:color w:val="000000"/>
                <w:sz w:val="15"/>
              </w:rPr>
              <w:t>Role matches current staffing model.</w:t>
            </w:r>
          </w:p>
        </w:tc>
      </w:tr>
    </w:tbl>
    <w:p>
      <w:pPr>
        <w:spacing w:after="20"/>
      </w:pPr>
    </w:p>
    <w:p>
      <w:pPr>
        <w:pStyle w:val="Heading2"/>
      </w:pPr>
      <w:r>
        <w:t>7.6 Master Menu and Price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FR-MENU-01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Owner/Director shall manage active Food and Beverage menu items.</w:t>
            </w:r>
          </w:p>
        </w:tc>
        <w:tc>
          <w:tcPr>
            <w:tcW w:type="dxa" w:w="3024"/>
            <w:vAlign w:val="center"/>
            <w:tcMar>
              <w:top w:w="70" w:type="dxa"/>
              <w:start w:w="70" w:type="dxa"/>
              <w:bottom w:w="70" w:type="dxa"/>
              <w:end w:w="70" w:type="dxa"/>
            </w:tcMar>
          </w:tcPr>
          <w:p>
            <w:r/>
            <w:r>
              <w:rPr>
                <w:rFonts w:ascii="Aptos" w:hAnsi="Aptos"/>
                <w:b w:val="0"/>
                <w:color w:val="000000"/>
                <w:sz w:val="15"/>
              </w:rPr>
              <w:t>Menu can be activated/deactivated without deleting history.</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FR-MENU-02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Each menu item shall have category Food or Beverage.</w:t>
            </w:r>
          </w:p>
        </w:tc>
        <w:tc>
          <w:tcPr>
            <w:tcW w:type="dxa" w:w="3024"/>
            <w:vAlign w:val="center"/>
            <w:shd w:fill="F8FAFC"/>
            <w:tcMar>
              <w:top w:w="70" w:type="dxa"/>
              <w:start w:w="70" w:type="dxa"/>
              <w:bottom w:w="70" w:type="dxa"/>
              <w:end w:w="70" w:type="dxa"/>
            </w:tcMar>
          </w:tcPr>
          <w:p>
            <w:r/>
            <w:r>
              <w:rPr>
                <w:rFonts w:ascii="Aptos" w:hAnsi="Aptos"/>
                <w:b w:val="0"/>
                <w:color w:val="000000"/>
                <w:sz w:val="15"/>
              </w:rPr>
              <w:t>Revenue can be grouped correctly.</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FR-MENU-03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Price changes shall be stored with effective-from date; historical price records shall be retained.</w:t>
            </w:r>
          </w:p>
        </w:tc>
        <w:tc>
          <w:tcPr>
            <w:tcW w:type="dxa" w:w="3024"/>
            <w:vAlign w:val="center"/>
            <w:tcMar>
              <w:top w:w="70" w:type="dxa"/>
              <w:start w:w="70" w:type="dxa"/>
              <w:bottom w:w="70" w:type="dxa"/>
              <w:end w:w="70" w:type="dxa"/>
            </w:tcMar>
          </w:tcPr>
          <w:p>
            <w:r/>
            <w:r>
              <w:rPr>
                <w:rFonts w:ascii="Aptos" w:hAnsi="Aptos"/>
                <w:b w:val="0"/>
                <w:color w:val="000000"/>
                <w:sz w:val="15"/>
              </w:rPr>
              <w:t>Past reports continue using past price.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FR-MENU-04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prevent overlapping/ambiguous effective price ranges for the same item.</w:t>
            </w:r>
          </w:p>
        </w:tc>
        <w:tc>
          <w:tcPr>
            <w:tcW w:type="dxa" w:w="3024"/>
            <w:vAlign w:val="center"/>
            <w:shd w:fill="F8FAFC"/>
            <w:tcMar>
              <w:top w:w="70" w:type="dxa"/>
              <w:start w:w="70" w:type="dxa"/>
              <w:bottom w:w="70" w:type="dxa"/>
              <w:end w:w="70" w:type="dxa"/>
            </w:tcMar>
          </w:tcPr>
          <w:p>
            <w:r/>
            <w:r>
              <w:rPr>
                <w:rFonts w:ascii="Aptos" w:hAnsi="Aptos"/>
                <w:b w:val="0"/>
                <w:color w:val="000000"/>
                <w:sz w:val="15"/>
              </w:rPr>
              <w:t>One valid price applies to a business date.</w:t>
            </w:r>
          </w:p>
        </w:tc>
      </w:tr>
    </w:tbl>
    <w:p>
      <w:pPr>
        <w:spacing w:after="20"/>
      </w:pPr>
    </w:p>
    <w:p>
      <w:r>
        <w:br w:type="page"/>
      </w:r>
    </w:p>
    <w:p>
      <w:pPr>
        <w:pStyle w:val="Heading2"/>
      </w:pPr>
      <w:r>
        <w:t>7.7 Housebank and Operational Funds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FR-FIN-01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maintain at least Housebank and Cashier Cash as separate fund accounts.</w:t>
            </w:r>
          </w:p>
        </w:tc>
        <w:tc>
          <w:tcPr>
            <w:tcW w:type="dxa" w:w="3024"/>
            <w:vAlign w:val="center"/>
            <w:tcMar>
              <w:top w:w="70" w:type="dxa"/>
              <w:start w:w="70" w:type="dxa"/>
              <w:bottom w:w="70" w:type="dxa"/>
              <w:end w:w="70" w:type="dxa"/>
            </w:tcMar>
          </w:tcPr>
          <w:p>
            <w:r/>
            <w:r>
              <w:rPr>
                <w:rFonts w:ascii="Aptos" w:hAnsi="Aptos"/>
                <w:b w:val="0"/>
                <w:color w:val="000000"/>
                <w:sz w:val="15"/>
              </w:rPr>
              <w:t>Balances are independently visible.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FR-FIN-02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Director (and Owner as superuser) shall record Company → Housebank funding.</w:t>
            </w:r>
          </w:p>
        </w:tc>
        <w:tc>
          <w:tcPr>
            <w:tcW w:type="dxa" w:w="3024"/>
            <w:vAlign w:val="center"/>
            <w:shd w:fill="F8FAFC"/>
            <w:tcMar>
              <w:top w:w="70" w:type="dxa"/>
              <w:start w:w="70" w:type="dxa"/>
              <w:bottom w:w="70" w:type="dxa"/>
              <w:end w:w="70" w:type="dxa"/>
            </w:tcMar>
          </w:tcPr>
          <w:p>
            <w:r/>
            <w:r>
              <w:rPr>
                <w:rFonts w:ascii="Aptos" w:hAnsi="Aptos"/>
                <w:b w:val="0"/>
                <w:color w:val="000000"/>
                <w:sz w:val="15"/>
              </w:rPr>
              <w:t>Transaction increases Housebank without increasing sales revenue.</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FR-FIN-03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Authorized users shall record Housebank → Cashier internal transfers.</w:t>
            </w:r>
          </w:p>
        </w:tc>
        <w:tc>
          <w:tcPr>
            <w:tcW w:type="dxa" w:w="3024"/>
            <w:vAlign w:val="center"/>
            <w:tcMar>
              <w:top w:w="70" w:type="dxa"/>
              <w:start w:w="70" w:type="dxa"/>
              <w:bottom w:w="70" w:type="dxa"/>
              <w:end w:w="70" w:type="dxa"/>
            </w:tcMar>
          </w:tcPr>
          <w:p>
            <w:r/>
            <w:r>
              <w:rPr>
                <w:rFonts w:ascii="Aptos" w:hAnsi="Aptos"/>
                <w:b w:val="0"/>
                <w:color w:val="000000"/>
                <w:sz w:val="15"/>
              </w:rPr>
              <w:t>Both fund balances change; revenue/expense remains zero.</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FR-FIN-04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record operational expenses paid from Housebank or Cashier with amount, date, source account, category, description, staff/vendor, and receipt reference where available.</w:t>
            </w:r>
          </w:p>
        </w:tc>
        <w:tc>
          <w:tcPr>
            <w:tcW w:type="dxa" w:w="3024"/>
            <w:vAlign w:val="center"/>
            <w:shd w:fill="F8FAFC"/>
            <w:tcMar>
              <w:top w:w="70" w:type="dxa"/>
              <w:start w:w="70" w:type="dxa"/>
              <w:bottom w:w="70" w:type="dxa"/>
              <w:end w:w="70" w:type="dxa"/>
            </w:tcMar>
          </w:tcPr>
          <w:p>
            <w:r/>
            <w:r>
              <w:rPr>
                <w:rFonts w:ascii="Aptos" w:hAnsi="Aptos"/>
                <w:b w:val="0"/>
                <w:color w:val="000000"/>
                <w:sz w:val="15"/>
              </w:rPr>
              <w:t>Expense can be traced to supporting detail.</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FR-FIN-05</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derive fund balances from transactions, not editable balance fields.</w:t>
            </w:r>
          </w:p>
        </w:tc>
        <w:tc>
          <w:tcPr>
            <w:tcW w:type="dxa" w:w="3024"/>
            <w:vAlign w:val="center"/>
            <w:tcMar>
              <w:top w:w="70" w:type="dxa"/>
              <w:start w:w="70" w:type="dxa"/>
              <w:bottom w:w="70" w:type="dxa"/>
              <w:end w:w="70" w:type="dxa"/>
            </w:tcMar>
          </w:tcPr>
          <w:p>
            <w:r/>
            <w:r>
              <w:rPr>
                <w:rFonts w:ascii="Aptos" w:hAnsi="Aptos"/>
                <w:b w:val="0"/>
                <w:color w:val="000000"/>
                <w:sz w:val="15"/>
              </w:rPr>
              <w:t>Balance equals transaction ledger.</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FR-FIN-06</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support debit/credit-style historical view compatible with the current OPEX report.</w:t>
            </w:r>
          </w:p>
        </w:tc>
        <w:tc>
          <w:tcPr>
            <w:tcW w:type="dxa" w:w="3024"/>
            <w:vAlign w:val="center"/>
            <w:shd w:fill="F8FAFC"/>
            <w:tcMar>
              <w:top w:w="70" w:type="dxa"/>
              <w:start w:w="70" w:type="dxa"/>
              <w:bottom w:w="70" w:type="dxa"/>
              <w:end w:w="70" w:type="dxa"/>
            </w:tcMar>
          </w:tcPr>
          <w:p>
            <w:r/>
            <w:r>
              <w:rPr>
                <w:rFonts w:ascii="Aptos" w:hAnsi="Aptos"/>
                <w:b w:val="0"/>
                <w:color w:val="000000"/>
                <w:sz w:val="15"/>
              </w:rPr>
              <w:t>User can reconcile imported historical OPEX.</w:t>
            </w:r>
          </w:p>
        </w:tc>
      </w:tr>
    </w:tbl>
    <w:p>
      <w:pPr>
        <w:spacing w:after="20"/>
      </w:pPr>
    </w:p>
    <w:p>
      <w:pPr>
        <w:pStyle w:val="Heading2"/>
      </w:pPr>
      <w:r>
        <w:t>7.8 Purchase Request Workflow</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FR-PR-01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Manager shall be able to create a Purchase Request containing purpose/items/estimated amount and notes.</w:t>
            </w:r>
          </w:p>
        </w:tc>
        <w:tc>
          <w:tcPr>
            <w:tcW w:type="dxa" w:w="3024"/>
            <w:vAlign w:val="center"/>
            <w:tcMar>
              <w:top w:w="70" w:type="dxa"/>
              <w:start w:w="70" w:type="dxa"/>
              <w:bottom w:w="70" w:type="dxa"/>
              <w:end w:w="70" w:type="dxa"/>
            </w:tcMar>
          </w:tcPr>
          <w:p>
            <w:r/>
            <w:r>
              <w:rPr>
                <w:rFonts w:ascii="Aptos" w:hAnsi="Aptos"/>
                <w:b w:val="0"/>
                <w:color w:val="000000"/>
                <w:sz w:val="15"/>
              </w:rPr>
              <w:t>Request receives unique ID and status.</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FR-PR-02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Authorized approver in MVP shall be Owner/Director and can Approve, Request Revision, or Reject.</w:t>
            </w:r>
          </w:p>
        </w:tc>
        <w:tc>
          <w:tcPr>
            <w:tcW w:type="dxa" w:w="3024"/>
            <w:vAlign w:val="center"/>
            <w:shd w:fill="F8FAFC"/>
            <w:tcMar>
              <w:top w:w="70" w:type="dxa"/>
              <w:start w:w="70" w:type="dxa"/>
              <w:bottom w:w="70" w:type="dxa"/>
              <w:end w:w="70" w:type="dxa"/>
            </w:tcMar>
          </w:tcPr>
          <w:p>
            <w:r/>
            <w:r>
              <w:rPr>
                <w:rFonts w:ascii="Aptos" w:hAnsi="Aptos"/>
                <w:b w:val="0"/>
                <w:color w:val="000000"/>
                <w:sz w:val="15"/>
              </w:rPr>
              <w:t>Decision, actor, timestamp, and reason are recorded.</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FR-PR-03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Revision/Reject action shall return the request to Manager with an explanation.</w:t>
            </w:r>
          </w:p>
        </w:tc>
        <w:tc>
          <w:tcPr>
            <w:tcW w:type="dxa" w:w="3024"/>
            <w:vAlign w:val="center"/>
            <w:tcMar>
              <w:top w:w="70" w:type="dxa"/>
              <w:start w:w="70" w:type="dxa"/>
              <w:bottom w:w="70" w:type="dxa"/>
              <w:end w:w="70" w:type="dxa"/>
            </w:tcMar>
          </w:tcPr>
          <w:p>
            <w:r/>
            <w:r>
              <w:rPr>
                <w:rFonts w:ascii="Aptos" w:hAnsi="Aptos"/>
                <w:b w:val="0"/>
                <w:color w:val="000000"/>
                <w:sz w:val="15"/>
              </w:rPr>
              <w:t>Manager can see requested changes/rejection reason.</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FR-PR-04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Approved request shall select funding source: Housebank or Cashier.</w:t>
            </w:r>
          </w:p>
        </w:tc>
        <w:tc>
          <w:tcPr>
            <w:tcW w:type="dxa" w:w="3024"/>
            <w:vAlign w:val="center"/>
            <w:shd w:fill="F8FAFC"/>
            <w:tcMar>
              <w:top w:w="70" w:type="dxa"/>
              <w:start w:w="70" w:type="dxa"/>
              <w:bottom w:w="70" w:type="dxa"/>
              <w:end w:w="70" w:type="dxa"/>
            </w:tcMar>
          </w:tcPr>
          <w:p>
            <w:r/>
            <w:r>
              <w:rPr>
                <w:rFonts w:ascii="Aptos" w:hAnsi="Aptos"/>
                <w:b w:val="0"/>
                <w:color w:val="000000"/>
                <w:sz w:val="15"/>
              </w:rPr>
              <w:t>Funding source is mandatory before expense finalization.</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FR-PR-05</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Actual spend and receipt/nota reference shall be recorded after purchase.</w:t>
            </w:r>
          </w:p>
        </w:tc>
        <w:tc>
          <w:tcPr>
            <w:tcW w:type="dxa" w:w="3024"/>
            <w:vAlign w:val="center"/>
            <w:tcMar>
              <w:top w:w="70" w:type="dxa"/>
              <w:start w:w="70" w:type="dxa"/>
              <w:bottom w:w="70" w:type="dxa"/>
              <w:end w:w="70" w:type="dxa"/>
            </w:tcMar>
          </w:tcPr>
          <w:p>
            <w:r/>
            <w:r>
              <w:rPr>
                <w:rFonts w:ascii="Aptos" w:hAnsi="Aptos"/>
                <w:b w:val="0"/>
                <w:color w:val="000000"/>
                <w:sz w:val="15"/>
              </w:rPr>
              <w:t>Request can be reconciled with actual expense.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FR-PR-06</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provide weekly purchase/receipt recap for leadership.</w:t>
            </w:r>
          </w:p>
        </w:tc>
        <w:tc>
          <w:tcPr>
            <w:tcW w:type="dxa" w:w="3024"/>
            <w:vAlign w:val="center"/>
            <w:shd w:fill="F8FAFC"/>
            <w:tcMar>
              <w:top w:w="70" w:type="dxa"/>
              <w:start w:w="70" w:type="dxa"/>
              <w:bottom w:w="70" w:type="dxa"/>
              <w:end w:w="70" w:type="dxa"/>
            </w:tcMar>
          </w:tcPr>
          <w:p>
            <w:r/>
            <w:r>
              <w:rPr>
                <w:rFonts w:ascii="Aptos" w:hAnsi="Aptos"/>
                <w:b w:val="0"/>
                <w:color w:val="000000"/>
                <w:sz w:val="15"/>
              </w:rPr>
              <w:t>Weekly report lists requests, funding source, actual spend, and receipt status.</w:t>
            </w:r>
          </w:p>
        </w:tc>
      </w:tr>
    </w:tbl>
    <w:p>
      <w:pPr>
        <w:spacing w:after="20"/>
      </w:pPr>
    </w:p>
    <w:p>
      <w:pPr>
        <w:pStyle w:val="Heading2"/>
      </w:pPr>
      <w:r>
        <w:t>7.9 Inventory / Stock Opname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FR-INV-01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support inventory categories Kitchen, Beverage/Bar, and Other.</w:t>
            </w:r>
          </w:p>
        </w:tc>
        <w:tc>
          <w:tcPr>
            <w:tcW w:type="dxa" w:w="3024"/>
            <w:vAlign w:val="center"/>
            <w:tcMar>
              <w:top w:w="70" w:type="dxa"/>
              <w:start w:w="70" w:type="dxa"/>
              <w:bottom w:w="70" w:type="dxa"/>
              <w:end w:w="70" w:type="dxa"/>
            </w:tcMar>
          </w:tcPr>
          <w:p>
            <w:r/>
            <w:r>
              <w:rPr>
                <w:rFonts w:ascii="Aptos" w:hAnsi="Aptos"/>
                <w:b w:val="0"/>
                <w:color w:val="000000"/>
                <w:sz w:val="15"/>
              </w:rPr>
              <w:t>Items can be grouped by responsibility.</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FR-INV-02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create stock-opname sessions by Business Date/date and category.</w:t>
            </w:r>
          </w:p>
        </w:tc>
        <w:tc>
          <w:tcPr>
            <w:tcW w:type="dxa" w:w="3024"/>
            <w:vAlign w:val="center"/>
            <w:shd w:fill="F8FAFC"/>
            <w:tcMar>
              <w:top w:w="70" w:type="dxa"/>
              <w:start w:w="70" w:type="dxa"/>
              <w:bottom w:w="70" w:type="dxa"/>
              <w:end w:w="70" w:type="dxa"/>
            </w:tcMar>
          </w:tcPr>
          <w:p>
            <w:r/>
            <w:r>
              <w:rPr>
                <w:rFonts w:ascii="Aptos" w:hAnsi="Aptos"/>
                <w:b w:val="0"/>
                <w:color w:val="000000"/>
                <w:sz w:val="15"/>
              </w:rPr>
              <w:t>Session contains responsible user and status.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FR-INV-03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Stock-opname lines shall store item, unit, expected/reference quantity if available, actual quantity, variance, and note.</w:t>
            </w:r>
          </w:p>
        </w:tc>
        <w:tc>
          <w:tcPr>
            <w:tcW w:type="dxa" w:w="3024"/>
            <w:vAlign w:val="center"/>
            <w:tcMar>
              <w:top w:w="70" w:type="dxa"/>
              <w:start w:w="70" w:type="dxa"/>
              <w:bottom w:w="70" w:type="dxa"/>
              <w:end w:w="70" w:type="dxa"/>
            </w:tcMar>
          </w:tcPr>
          <w:p>
            <w:r/>
            <w:r>
              <w:rPr>
                <w:rFonts w:ascii="Aptos" w:hAnsi="Aptos"/>
                <w:b w:val="0"/>
                <w:color w:val="000000"/>
                <w:sz w:val="15"/>
              </w:rPr>
              <w:t>Variance is calculated, not manually set.</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FR-INV-04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Kitchen can input/view Kitchen stock; Cashier can input/view Beverage/Bar stock; Manager handles Other and consolidated review.</w:t>
            </w:r>
          </w:p>
        </w:tc>
        <w:tc>
          <w:tcPr>
            <w:tcW w:type="dxa" w:w="3024"/>
            <w:vAlign w:val="center"/>
            <w:shd w:fill="F8FAFC"/>
            <w:tcMar>
              <w:top w:w="70" w:type="dxa"/>
              <w:start w:w="70" w:type="dxa"/>
              <w:bottom w:w="70" w:type="dxa"/>
              <w:end w:w="70" w:type="dxa"/>
            </w:tcMar>
          </w:tcPr>
          <w:p>
            <w:r/>
            <w:r>
              <w:rPr>
                <w:rFonts w:ascii="Aptos" w:hAnsi="Aptos"/>
                <w:b w:val="0"/>
                <w:color w:val="000000"/>
                <w:sz w:val="15"/>
              </w:rPr>
              <w:t>Permissions match operational roles.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FR-INV-05</w:t>
            </w:r>
          </w:p>
        </w:tc>
        <w:tc>
          <w:tcPr>
            <w:tcW w:type="dxa" w:w="1008"/>
            <w:vAlign w:val="center"/>
            <w:tcMar>
              <w:top w:w="70" w:type="dxa"/>
              <w:start w:w="70" w:type="dxa"/>
              <w:bottom w:w="70" w:type="dxa"/>
              <w:end w:w="70" w:type="dxa"/>
            </w:tcMar>
          </w:tcPr>
          <w:p>
            <w:r/>
            <w:r>
              <w:rPr>
                <w:rFonts w:ascii="Aptos" w:hAnsi="Aptos"/>
                <w:b w:val="0"/>
                <w:color w:val="000000"/>
                <w:sz w:val="15"/>
              </w:rPr>
              <w:t>Should</w:t>
            </w:r>
          </w:p>
        </w:tc>
        <w:tc>
          <w:tcPr>
            <w:tcW w:type="dxa" w:w="4320"/>
            <w:vAlign w:val="center"/>
            <w:tcMar>
              <w:top w:w="70" w:type="dxa"/>
              <w:start w:w="70" w:type="dxa"/>
              <w:bottom w:w="70" w:type="dxa"/>
              <w:end w:w="70" w:type="dxa"/>
            </w:tcMar>
          </w:tcPr>
          <w:p>
            <w:r/>
            <w:r>
              <w:rPr>
                <w:rFonts w:ascii="Aptos" w:hAnsi="Aptos"/>
                <w:b w:val="0"/>
                <w:color w:val="000000"/>
                <w:sz w:val="15"/>
              </w:rPr>
              <w:t>System shall highlight stock variances and missing counts.</w:t>
            </w:r>
          </w:p>
        </w:tc>
        <w:tc>
          <w:tcPr>
            <w:tcW w:type="dxa" w:w="3024"/>
            <w:vAlign w:val="center"/>
            <w:tcMar>
              <w:top w:w="70" w:type="dxa"/>
              <w:start w:w="70" w:type="dxa"/>
              <w:bottom w:w="70" w:type="dxa"/>
              <w:end w:w="70" w:type="dxa"/>
            </w:tcMar>
          </w:tcPr>
          <w:p>
            <w:r/>
            <w:r>
              <w:rPr>
                <w:rFonts w:ascii="Aptos" w:hAnsi="Aptos"/>
                <w:b w:val="0"/>
                <w:color w:val="000000"/>
                <w:sz w:val="15"/>
              </w:rPr>
              <w:t>Manager can identify exceptions.</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FR-INV-06</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Recipe/BOM-based theoretical consumption is excluded from MVP.</w:t>
            </w:r>
          </w:p>
        </w:tc>
        <w:tc>
          <w:tcPr>
            <w:tcW w:type="dxa" w:w="3024"/>
            <w:vAlign w:val="center"/>
            <w:shd w:fill="F8FAFC"/>
            <w:tcMar>
              <w:top w:w="70" w:type="dxa"/>
              <w:start w:w="70" w:type="dxa"/>
              <w:bottom w:w="70" w:type="dxa"/>
              <w:end w:w="70" w:type="dxa"/>
            </w:tcMar>
          </w:tcPr>
          <w:p>
            <w:r/>
            <w:r>
              <w:rPr>
                <w:rFonts w:ascii="Aptos" w:hAnsi="Aptos"/>
                <w:b w:val="0"/>
                <w:color w:val="000000"/>
                <w:sz w:val="15"/>
              </w:rPr>
              <w:t>No automatic ingredient consumption is expected in Phase 1.</w:t>
            </w:r>
          </w:p>
        </w:tc>
      </w:tr>
    </w:tbl>
    <w:p>
      <w:pPr>
        <w:spacing w:after="20"/>
      </w:pPr>
    </w:p>
    <w:p>
      <w:pPr>
        <w:pStyle w:val="Heading2"/>
      </w:pPr>
      <w:r>
        <w:t>7.10 Dashboard and Detail Reporting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FR-DSH-01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Owner/Director dashboard shall display complete financial and operational KPIs for selected date range.</w:t>
            </w:r>
          </w:p>
        </w:tc>
        <w:tc>
          <w:tcPr>
            <w:tcW w:type="dxa" w:w="3024"/>
            <w:vAlign w:val="center"/>
            <w:tcMar>
              <w:top w:w="70" w:type="dxa"/>
              <w:start w:w="70" w:type="dxa"/>
              <w:bottom w:w="70" w:type="dxa"/>
              <w:end w:w="70" w:type="dxa"/>
            </w:tcMar>
          </w:tcPr>
          <w:p>
            <w:r/>
            <w:r>
              <w:rPr>
                <w:rFonts w:ascii="Aptos" w:hAnsi="Aptos"/>
                <w:b w:val="0"/>
                <w:color w:val="000000"/>
                <w:sz w:val="15"/>
              </w:rPr>
              <w:t>All primary KPIs are visible and filterable.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FR-DSH-02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Dashboard shall support at minimum Today, Yesterday, custom date range, week, and month filters.</w:t>
            </w:r>
          </w:p>
        </w:tc>
        <w:tc>
          <w:tcPr>
            <w:tcW w:type="dxa" w:w="3024"/>
            <w:vAlign w:val="center"/>
            <w:shd w:fill="F8FAFC"/>
            <w:tcMar>
              <w:top w:w="70" w:type="dxa"/>
              <w:start w:w="70" w:type="dxa"/>
              <w:bottom w:w="70" w:type="dxa"/>
              <w:end w:w="70" w:type="dxa"/>
            </w:tcMar>
          </w:tcPr>
          <w:p>
            <w:r/>
            <w:r>
              <w:rPr>
                <w:rFonts w:ascii="Aptos" w:hAnsi="Aptos"/>
                <w:b w:val="0"/>
                <w:color w:val="000000"/>
                <w:sz w:val="15"/>
              </w:rPr>
              <w:t>KPIs recalculate by chosen business-date range.</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FR-DSH-03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Every financial KPI shall support drill-down to underlying records where practical.</w:t>
            </w:r>
          </w:p>
        </w:tc>
        <w:tc>
          <w:tcPr>
            <w:tcW w:type="dxa" w:w="3024"/>
            <w:vAlign w:val="center"/>
            <w:tcMar>
              <w:top w:w="70" w:type="dxa"/>
              <w:start w:w="70" w:type="dxa"/>
              <w:bottom w:w="70" w:type="dxa"/>
              <w:end w:w="70" w:type="dxa"/>
            </w:tcMar>
          </w:tcPr>
          <w:p>
            <w:r/>
            <w:r>
              <w:rPr>
                <w:rFonts w:ascii="Aptos" w:hAnsi="Aptos"/>
                <w:b w:val="0"/>
                <w:color w:val="000000"/>
                <w:sz w:val="15"/>
              </w:rPr>
              <w:t>User can explain the number.</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FR-DSH-04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display trends/charts for revenue, Food vs Beverage, payment mix, cashier expenses, Housebank movement, and stock variance.</w:t>
            </w:r>
          </w:p>
        </w:tc>
        <w:tc>
          <w:tcPr>
            <w:tcW w:type="dxa" w:w="3024"/>
            <w:vAlign w:val="center"/>
            <w:shd w:fill="F8FAFC"/>
            <w:tcMar>
              <w:top w:w="70" w:type="dxa"/>
              <w:start w:w="70" w:type="dxa"/>
              <w:bottom w:w="70" w:type="dxa"/>
              <w:end w:w="70" w:type="dxa"/>
            </w:tcMar>
          </w:tcPr>
          <w:p>
            <w:r/>
            <w:r>
              <w:rPr>
                <w:rFonts w:ascii="Aptos" w:hAnsi="Aptos"/>
                <w:b w:val="0"/>
                <w:color w:val="000000"/>
                <w:sz w:val="15"/>
              </w:rPr>
              <w:t>Charts reflect the same filtered data as KPI cards.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FR-DSH-05</w:t>
            </w:r>
          </w:p>
        </w:tc>
        <w:tc>
          <w:tcPr>
            <w:tcW w:type="dxa" w:w="1008"/>
            <w:vAlign w:val="center"/>
            <w:tcMar>
              <w:top w:w="70" w:type="dxa"/>
              <w:start w:w="70" w:type="dxa"/>
              <w:bottom w:w="70" w:type="dxa"/>
              <w:end w:w="70" w:type="dxa"/>
            </w:tcMar>
          </w:tcPr>
          <w:p>
            <w:r/>
            <w:r>
              <w:rPr>
                <w:rFonts w:ascii="Aptos" w:hAnsi="Aptos"/>
                <w:b w:val="0"/>
                <w:color w:val="000000"/>
                <w:sz w:val="15"/>
              </w:rPr>
              <w:t>Should</w:t>
            </w:r>
          </w:p>
        </w:tc>
        <w:tc>
          <w:tcPr>
            <w:tcW w:type="dxa" w:w="4320"/>
            <w:vAlign w:val="center"/>
            <w:tcMar>
              <w:top w:w="70" w:type="dxa"/>
              <w:start w:w="70" w:type="dxa"/>
              <w:bottom w:w="70" w:type="dxa"/>
              <w:end w:w="70" w:type="dxa"/>
            </w:tcMar>
          </w:tcPr>
          <w:p>
            <w:r/>
            <w:r>
              <w:rPr>
                <w:rFonts w:ascii="Aptos" w:hAnsi="Aptos"/>
                <w:b w:val="0"/>
                <w:color w:val="000000"/>
                <w:sz w:val="15"/>
              </w:rPr>
              <w:t>System shall support CSV/XLSX export for selected report/detail views.</w:t>
            </w:r>
          </w:p>
        </w:tc>
        <w:tc>
          <w:tcPr>
            <w:tcW w:type="dxa" w:w="3024"/>
            <w:vAlign w:val="center"/>
            <w:tcMar>
              <w:top w:w="70" w:type="dxa"/>
              <w:start w:w="70" w:type="dxa"/>
              <w:bottom w:w="70" w:type="dxa"/>
              <w:end w:w="70" w:type="dxa"/>
            </w:tcMar>
          </w:tcPr>
          <w:p>
            <w:r/>
            <w:r>
              <w:rPr>
                <w:rFonts w:ascii="Aptos" w:hAnsi="Aptos"/>
                <w:b w:val="0"/>
                <w:color w:val="000000"/>
                <w:sz w:val="15"/>
              </w:rPr>
              <w:t>Export matches filtered view.</w:t>
            </w:r>
          </w:p>
        </w:tc>
      </w:tr>
    </w:tbl>
    <w:p>
      <w:pPr>
        <w:spacing w:after="20"/>
      </w:pPr>
    </w:p>
    <w:p>
      <w:pPr>
        <w:pStyle w:val="Heading2"/>
      </w:pPr>
      <w:r>
        <w:t>7.11 Scheduled Daily Email Report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FR-EML-01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Owner/Director shall configure daily report enabled/disabled state, send time, timezone, and one or more recipient email addresses.</w:t>
            </w:r>
          </w:p>
        </w:tc>
        <w:tc>
          <w:tcPr>
            <w:tcW w:type="dxa" w:w="3024"/>
            <w:vAlign w:val="center"/>
            <w:tcMar>
              <w:top w:w="70" w:type="dxa"/>
              <w:start w:w="70" w:type="dxa"/>
              <w:bottom w:w="70" w:type="dxa"/>
              <w:end w:w="70" w:type="dxa"/>
            </w:tcMar>
          </w:tcPr>
          <w:p>
            <w:r/>
            <w:r>
              <w:rPr>
                <w:rFonts w:ascii="Aptos" w:hAnsi="Aptos"/>
                <w:b w:val="0"/>
                <w:color w:val="000000"/>
                <w:sz w:val="15"/>
              </w:rPr>
              <w:t>Settings persist and are auditable.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FR-EML-02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Report Business Date shall default to the previous business date relative to send time.</w:t>
            </w:r>
          </w:p>
        </w:tc>
        <w:tc>
          <w:tcPr>
            <w:tcW w:type="dxa" w:w="3024"/>
            <w:vAlign w:val="center"/>
            <w:shd w:fill="F8FAFC"/>
            <w:tcMar>
              <w:top w:w="70" w:type="dxa"/>
              <w:start w:w="70" w:type="dxa"/>
              <w:bottom w:w="70" w:type="dxa"/>
              <w:end w:w="70" w:type="dxa"/>
            </w:tcMar>
          </w:tcPr>
          <w:p>
            <w:r/>
            <w:r>
              <w:rPr>
                <w:rFonts w:ascii="Aptos" w:hAnsi="Aptos"/>
                <w:b w:val="0"/>
                <w:color w:val="000000"/>
                <w:sz w:val="15"/>
              </w:rPr>
              <w:t>Daily email summarizes the intended prior day.</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FR-EML-03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If required source data is missing, the email shall still send and visibly state BELUM LENGKAP plus missing source(s).</w:t>
            </w:r>
          </w:p>
        </w:tc>
        <w:tc>
          <w:tcPr>
            <w:tcW w:type="dxa" w:w="3024"/>
            <w:vAlign w:val="center"/>
            <w:tcMar>
              <w:top w:w="70" w:type="dxa"/>
              <w:start w:w="70" w:type="dxa"/>
              <w:bottom w:w="70" w:type="dxa"/>
              <w:end w:w="70" w:type="dxa"/>
            </w:tcMar>
          </w:tcPr>
          <w:p>
            <w:r/>
            <w:r>
              <w:rPr>
                <w:rFonts w:ascii="Aptos" w:hAnsi="Aptos"/>
                <w:b w:val="0"/>
                <w:color w:val="000000"/>
                <w:sz w:val="15"/>
              </w:rPr>
              <w:t>Recipient can identify incompleteness.</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FR-EML-04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Daily email shall include: total cashier inflow, Cash inflow, QRIS inflow, Food revenue, Beverage revenue, cashier outflow, Housebank/operational-fund inflow, and Housebank/operational-fund outflow.</w:t>
            </w:r>
          </w:p>
        </w:tc>
        <w:tc>
          <w:tcPr>
            <w:tcW w:type="dxa" w:w="3024"/>
            <w:vAlign w:val="center"/>
            <w:shd w:fill="F8FAFC"/>
            <w:tcMar>
              <w:top w:w="70" w:type="dxa"/>
              <w:start w:w="70" w:type="dxa"/>
              <w:bottom w:w="70" w:type="dxa"/>
              <w:end w:w="70" w:type="dxa"/>
            </w:tcMar>
          </w:tcPr>
          <w:p>
            <w:r/>
            <w:r>
              <w:rPr>
                <w:rFonts w:ascii="Aptos" w:hAnsi="Aptos"/>
                <w:b w:val="0"/>
                <w:color w:val="000000"/>
                <w:sz w:val="15"/>
              </w:rPr>
              <w:t>All requested metrics are present.</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FR-EML-05</w:t>
            </w:r>
          </w:p>
        </w:tc>
        <w:tc>
          <w:tcPr>
            <w:tcW w:type="dxa" w:w="1008"/>
            <w:vAlign w:val="center"/>
            <w:tcMar>
              <w:top w:w="70" w:type="dxa"/>
              <w:start w:w="70" w:type="dxa"/>
              <w:bottom w:w="70" w:type="dxa"/>
              <w:end w:w="70" w:type="dxa"/>
            </w:tcMar>
          </w:tcPr>
          <w:p>
            <w:r/>
            <w:r>
              <w:rPr>
                <w:rFonts w:ascii="Aptos" w:hAnsi="Aptos"/>
                <w:b w:val="0"/>
                <w:color w:val="000000"/>
                <w:sz w:val="15"/>
              </w:rPr>
              <w:t>Should</w:t>
            </w:r>
          </w:p>
        </w:tc>
        <w:tc>
          <w:tcPr>
            <w:tcW w:type="dxa" w:w="4320"/>
            <w:vAlign w:val="center"/>
            <w:tcMar>
              <w:top w:w="70" w:type="dxa"/>
              <w:start w:w="70" w:type="dxa"/>
              <w:bottom w:w="70" w:type="dxa"/>
              <w:end w:w="70" w:type="dxa"/>
            </w:tcMar>
          </w:tcPr>
          <w:p>
            <w:r/>
            <w:r>
              <w:rPr>
                <w:rFonts w:ascii="Aptos" w:hAnsi="Aptos"/>
                <w:b w:val="0"/>
                <w:color w:val="000000"/>
                <w:sz w:val="15"/>
              </w:rPr>
              <w:t>Daily email shall also include Transfer/other payment methods, cash variance, Housebank ending balance, and inventory exception count when available.</w:t>
            </w:r>
          </w:p>
        </w:tc>
        <w:tc>
          <w:tcPr>
            <w:tcW w:type="dxa" w:w="3024"/>
            <w:vAlign w:val="center"/>
            <w:tcMar>
              <w:top w:w="70" w:type="dxa"/>
              <w:start w:w="70" w:type="dxa"/>
              <w:bottom w:w="70" w:type="dxa"/>
              <w:end w:w="70" w:type="dxa"/>
            </w:tcMar>
          </w:tcPr>
          <w:p>
            <w:r/>
            <w:r>
              <w:rPr>
                <w:rFonts w:ascii="Aptos" w:hAnsi="Aptos"/>
                <w:b w:val="0"/>
                <w:color w:val="000000"/>
                <w:sz w:val="15"/>
              </w:rPr>
              <w:t>Management context is improved.</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FR-EML-06</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Each send attempt shall create a report-run record including status, metrics snapshot, recipients, generation timestamp, and delivery result.</w:t>
            </w:r>
          </w:p>
        </w:tc>
        <w:tc>
          <w:tcPr>
            <w:tcW w:type="dxa" w:w="3024"/>
            <w:vAlign w:val="center"/>
            <w:shd w:fill="F8FAFC"/>
            <w:tcMar>
              <w:top w:w="70" w:type="dxa"/>
              <w:start w:w="70" w:type="dxa"/>
              <w:bottom w:w="70" w:type="dxa"/>
              <w:end w:w="70" w:type="dxa"/>
            </w:tcMar>
          </w:tcPr>
          <w:p>
            <w:r/>
            <w:r>
              <w:rPr>
                <w:rFonts w:ascii="Aptos" w:hAnsi="Aptos"/>
                <w:b w:val="0"/>
                <w:color w:val="000000"/>
                <w:sz w:val="15"/>
              </w:rPr>
              <w:t>Historical sent report can be reviewed.</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FR-EML-07</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Authorized user shall be able to generate/resend a revised report after corrections or late submissions.</w:t>
            </w:r>
          </w:p>
        </w:tc>
        <w:tc>
          <w:tcPr>
            <w:tcW w:type="dxa" w:w="3024"/>
            <w:vAlign w:val="center"/>
            <w:tcMar>
              <w:top w:w="70" w:type="dxa"/>
              <w:start w:w="70" w:type="dxa"/>
              <w:bottom w:w="70" w:type="dxa"/>
              <w:end w:w="70" w:type="dxa"/>
            </w:tcMar>
          </w:tcPr>
          <w:p>
            <w:r/>
            <w:r>
              <w:rPr>
                <w:rFonts w:ascii="Aptos" w:hAnsi="Aptos"/>
                <w:b w:val="0"/>
                <w:color w:val="000000"/>
                <w:sz w:val="15"/>
              </w:rPr>
              <w:t>Revision does not overwrite original send record.</w:t>
            </w:r>
          </w:p>
        </w:tc>
      </w:tr>
    </w:tbl>
    <w:p>
      <w:pPr>
        <w:spacing w:after="20"/>
      </w:pPr>
    </w:p>
    <w:p>
      <w:pPr>
        <w:pStyle w:val="Heading2"/>
      </w:pPr>
      <w:r>
        <w:t>7.12 Corrections, Void, and Data Integrity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FR-COR-01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Authorized users shall correct source-derived records without destroying the original raw value.</w:t>
            </w:r>
          </w:p>
        </w:tc>
        <w:tc>
          <w:tcPr>
            <w:tcW w:type="dxa" w:w="3024"/>
            <w:vAlign w:val="center"/>
            <w:tcMar>
              <w:top w:w="70" w:type="dxa"/>
              <w:start w:w="70" w:type="dxa"/>
              <w:bottom w:w="70" w:type="dxa"/>
              <w:end w:w="70" w:type="dxa"/>
            </w:tcMar>
          </w:tcPr>
          <w:p>
            <w:r/>
            <w:r>
              <w:rPr>
                <w:rFonts w:ascii="Aptos" w:hAnsi="Aptos"/>
                <w:b w:val="0"/>
                <w:color w:val="000000"/>
                <w:sz w:val="15"/>
              </w:rPr>
              <w:t>Original and corrected values remain visible.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FR-COR-02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Every correction shall require a reason and record actor/timestamp.</w:t>
            </w:r>
          </w:p>
        </w:tc>
        <w:tc>
          <w:tcPr>
            <w:tcW w:type="dxa" w:w="3024"/>
            <w:vAlign w:val="center"/>
            <w:shd w:fill="F8FAFC"/>
            <w:tcMar>
              <w:top w:w="70" w:type="dxa"/>
              <w:start w:w="70" w:type="dxa"/>
              <w:bottom w:w="70" w:type="dxa"/>
              <w:end w:w="70" w:type="dxa"/>
            </w:tcMar>
          </w:tcPr>
          <w:p>
            <w:r/>
            <w:r>
              <w:rPr>
                <w:rFonts w:ascii="Aptos" w:hAnsi="Aptos"/>
                <w:b w:val="0"/>
                <w:color w:val="000000"/>
                <w:sz w:val="15"/>
              </w:rPr>
              <w:t>Correction cannot save without reason.</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FR-COR-03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Effective values shall drive reports after correction.</w:t>
            </w:r>
          </w:p>
        </w:tc>
        <w:tc>
          <w:tcPr>
            <w:tcW w:type="dxa" w:w="3024"/>
            <w:vAlign w:val="center"/>
            <w:tcMar>
              <w:top w:w="70" w:type="dxa"/>
              <w:start w:w="70" w:type="dxa"/>
              <w:bottom w:w="70" w:type="dxa"/>
              <w:end w:w="70" w:type="dxa"/>
            </w:tcMar>
          </w:tcPr>
          <w:p>
            <w:r/>
            <w:r>
              <w:rPr>
                <w:rFonts w:ascii="Aptos" w:hAnsi="Aptos"/>
                <w:b w:val="0"/>
                <w:color w:val="000000"/>
                <w:sz w:val="15"/>
              </w:rPr>
              <w:t>Dashboard updates from corrected source while history remains available.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FR-COR-04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Calculated totals/balances cannot be edited directly.</w:t>
            </w:r>
          </w:p>
        </w:tc>
        <w:tc>
          <w:tcPr>
            <w:tcW w:type="dxa" w:w="3024"/>
            <w:vAlign w:val="center"/>
            <w:shd w:fill="F8FAFC"/>
            <w:tcMar>
              <w:top w:w="70" w:type="dxa"/>
              <w:start w:w="70" w:type="dxa"/>
              <w:bottom w:w="70" w:type="dxa"/>
              <w:end w:w="70" w:type="dxa"/>
            </w:tcMar>
          </w:tcPr>
          <w:p>
            <w:r/>
            <w:r>
              <w:rPr>
                <w:rFonts w:ascii="Aptos" w:hAnsi="Aptos"/>
                <w:b w:val="0"/>
                <w:color w:val="000000"/>
                <w:sz w:val="15"/>
              </w:rPr>
              <w:t>User must correct the underlying transaction.</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FR-COR-05</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Financial records shall use VOID/reversal instead of hard delete.</w:t>
            </w:r>
          </w:p>
        </w:tc>
        <w:tc>
          <w:tcPr>
            <w:tcW w:type="dxa" w:w="3024"/>
            <w:vAlign w:val="center"/>
            <w:tcMar>
              <w:top w:w="70" w:type="dxa"/>
              <w:start w:w="70" w:type="dxa"/>
              <w:bottom w:w="70" w:type="dxa"/>
              <w:end w:w="70" w:type="dxa"/>
            </w:tcMar>
          </w:tcPr>
          <w:p>
            <w:r/>
            <w:r>
              <w:rPr>
                <w:rFonts w:ascii="Aptos" w:hAnsi="Aptos"/>
                <w:b w:val="0"/>
                <w:color w:val="000000"/>
                <w:sz w:val="15"/>
              </w:rPr>
              <w:t>Voided record remains queryable and auditable.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FR-COR-06</w:t>
            </w:r>
          </w:p>
        </w:tc>
        <w:tc>
          <w:tcPr>
            <w:tcW w:type="dxa" w:w="1008"/>
            <w:vAlign w:val="center"/>
            <w:shd w:fill="F8FAFC"/>
            <w:tcMar>
              <w:top w:w="70" w:type="dxa"/>
              <w:start w:w="70" w:type="dxa"/>
              <w:bottom w:w="70" w:type="dxa"/>
              <w:end w:w="70" w:type="dxa"/>
            </w:tcMar>
          </w:tcPr>
          <w:p>
            <w:r/>
            <w:r>
              <w:rPr>
                <w:rFonts w:ascii="Aptos" w:hAnsi="Aptos"/>
                <w:b w:val="0"/>
                <w:color w:val="000000"/>
                <w:sz w:val="15"/>
              </w:rPr>
              <w:t>Should</w:t>
            </w:r>
          </w:p>
        </w:tc>
        <w:tc>
          <w:tcPr>
            <w:tcW w:type="dxa" w:w="4320"/>
            <w:vAlign w:val="center"/>
            <w:shd w:fill="F8FAFC"/>
            <w:tcMar>
              <w:top w:w="70" w:type="dxa"/>
              <w:start w:w="70" w:type="dxa"/>
              <w:bottom w:w="70" w:type="dxa"/>
              <w:end w:w="70" w:type="dxa"/>
            </w:tcMar>
          </w:tcPr>
          <w:p>
            <w:r/>
            <w:r>
              <w:rPr>
                <w:rFonts w:ascii="Aptos" w:hAnsi="Aptos"/>
                <w:b w:val="0"/>
                <w:color w:val="000000"/>
                <w:sz w:val="15"/>
              </w:rPr>
              <w:t>Application corrections shall be synchronized to a dedicated corrections log/source (e.g., an APP_CORRECTIONS sheet) without altering original Google Form evidence.</w:t>
            </w:r>
          </w:p>
        </w:tc>
        <w:tc>
          <w:tcPr>
            <w:tcW w:type="dxa" w:w="3024"/>
            <w:vAlign w:val="center"/>
            <w:shd w:fill="F8FAFC"/>
            <w:tcMar>
              <w:top w:w="70" w:type="dxa"/>
              <w:start w:w="70" w:type="dxa"/>
              <w:bottom w:w="70" w:type="dxa"/>
              <w:end w:w="70" w:type="dxa"/>
            </w:tcMar>
          </w:tcPr>
          <w:p>
            <w:r/>
            <w:r>
              <w:rPr>
                <w:rFonts w:ascii="Aptos" w:hAnsi="Aptos"/>
                <w:b w:val="0"/>
                <w:color w:val="000000"/>
                <w:sz w:val="15"/>
              </w:rPr>
              <w:t>Sheet-side audit reference can be reconstructed.</w:t>
            </w:r>
          </w:p>
        </w:tc>
      </w:tr>
    </w:tbl>
    <w:p>
      <w:pPr>
        <w:spacing w:after="20"/>
      </w:pPr>
    </w:p>
    <w:p>
      <w:pPr>
        <w:pStyle w:val="Heading2"/>
      </w:pPr>
      <w:r>
        <w:t>7.13 Audit Trail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FR-AUD-01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create audit events for CREATE, UPDATE, CORRECTION, VOID, APPROVE, REJECT, REVISION_REQUEST, report send/resend, settings changes, price changes, stock corrections, Housebank funding, and fund transfers.</w:t>
            </w:r>
          </w:p>
        </w:tc>
        <w:tc>
          <w:tcPr>
            <w:tcW w:type="dxa" w:w="3024"/>
            <w:vAlign w:val="center"/>
            <w:tcMar>
              <w:top w:w="70" w:type="dxa"/>
              <w:start w:w="70" w:type="dxa"/>
              <w:bottom w:w="70" w:type="dxa"/>
              <w:end w:w="70" w:type="dxa"/>
            </w:tcMar>
          </w:tcPr>
          <w:p>
            <w:r/>
            <w:r>
              <w:rPr>
                <w:rFonts w:ascii="Aptos" w:hAnsi="Aptos"/>
                <w:b w:val="0"/>
                <w:color w:val="000000"/>
                <w:sz w:val="15"/>
              </w:rPr>
              <w:t>Material actions appear in audit history.</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FR-AUD-02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Audit event shall capture actor, time, action, entity type/id, before/after values when applicable, reason, and request/source metadata where practical.</w:t>
            </w:r>
          </w:p>
        </w:tc>
        <w:tc>
          <w:tcPr>
            <w:tcW w:type="dxa" w:w="3024"/>
            <w:vAlign w:val="center"/>
            <w:shd w:fill="F8FAFC"/>
            <w:tcMar>
              <w:top w:w="70" w:type="dxa"/>
              <w:start w:w="70" w:type="dxa"/>
              <w:bottom w:w="70" w:type="dxa"/>
              <w:end w:w="70" w:type="dxa"/>
            </w:tcMar>
          </w:tcPr>
          <w:p>
            <w:r/>
            <w:r>
              <w:rPr>
                <w:rFonts w:ascii="Aptos" w:hAnsi="Aptos"/>
                <w:b w:val="0"/>
                <w:color w:val="000000"/>
                <w:sz w:val="15"/>
              </w:rPr>
              <w:t>Detailed event can be inspected.</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FR-AUD-03</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Audit records shall be append-only and not editable/deletable through the application.</w:t>
            </w:r>
          </w:p>
        </w:tc>
        <w:tc>
          <w:tcPr>
            <w:tcW w:type="dxa" w:w="3024"/>
            <w:vAlign w:val="center"/>
            <w:tcMar>
              <w:top w:w="70" w:type="dxa"/>
              <w:start w:w="70" w:type="dxa"/>
              <w:bottom w:w="70" w:type="dxa"/>
              <w:end w:w="70" w:type="dxa"/>
            </w:tcMar>
          </w:tcPr>
          <w:p>
            <w:r/>
            <w:r>
              <w:rPr>
                <w:rFonts w:ascii="Aptos" w:hAnsi="Aptos"/>
                <w:b w:val="0"/>
                <w:color w:val="000000"/>
                <w:sz w:val="15"/>
              </w:rPr>
              <w:t>Even Owner cannot remove log from UI.</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FR-AUD-04</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Owner/Director shall have a searchable/filterable audit-log screen.</w:t>
            </w:r>
          </w:p>
        </w:tc>
        <w:tc>
          <w:tcPr>
            <w:tcW w:type="dxa" w:w="3024"/>
            <w:vAlign w:val="center"/>
            <w:shd w:fill="F8FAFC"/>
            <w:tcMar>
              <w:top w:w="70" w:type="dxa"/>
              <w:start w:w="70" w:type="dxa"/>
              <w:bottom w:w="70" w:type="dxa"/>
              <w:end w:w="70" w:type="dxa"/>
            </w:tcMar>
          </w:tcPr>
          <w:p>
            <w:r/>
            <w:r>
              <w:rPr>
                <w:rFonts w:ascii="Aptos" w:hAnsi="Aptos"/>
                <w:b w:val="0"/>
                <w:color w:val="000000"/>
                <w:sz w:val="15"/>
              </w:rPr>
              <w:t>Can filter by date, actor, action, module, entity.</w:t>
            </w:r>
          </w:p>
        </w:tc>
      </w:tr>
    </w:tbl>
    <w:p>
      <w:pPr>
        <w:spacing w:after="20"/>
      </w:pPr>
    </w:p>
    <w:p>
      <w:pPr>
        <w:pStyle w:val="Heading2"/>
      </w:pPr>
      <w:r>
        <w:t>7.14 Settings and Administration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08"/>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008"/>
            <w:vAlign w:val="center"/>
            <w:shd w:fill="17365D"/>
            <w:tcMar>
              <w:top w:w="70" w:type="dxa"/>
              <w:start w:w="70" w:type="dxa"/>
              <w:bottom w:w="70" w:type="dxa"/>
              <w:end w:w="70" w:type="dxa"/>
            </w:tcMar>
          </w:tcPr>
          <w:p>
            <w:pPr>
              <w:jc w:val="center"/>
            </w:pPr>
            <w:r/>
            <w:r>
              <w:rPr>
                <w:rFonts w:ascii="Aptos" w:hAnsi="Aptos"/>
                <w:b/>
                <w:color w:val="FFFFFF"/>
                <w:sz w:val="16"/>
              </w:rPr>
              <w:t>Prioritas</w:t>
            </w:r>
          </w:p>
        </w:tc>
        <w:tc>
          <w:tcPr>
            <w:tcW w:type="dxa" w:w="4320"/>
            <w:vAlign w:val="center"/>
            <w:shd w:fill="17365D"/>
            <w:tcMar>
              <w:top w:w="70" w:type="dxa"/>
              <w:start w:w="70" w:type="dxa"/>
              <w:bottom w:w="70" w:type="dxa"/>
              <w:end w:w="70" w:type="dxa"/>
            </w:tcMar>
          </w:tcPr>
          <w:p>
            <w:pPr>
              <w:jc w:val="center"/>
            </w:pPr>
            <w:r/>
            <w:r>
              <w:rPr>
                <w:rFonts w:ascii="Aptos" w:hAnsi="Aptos"/>
                <w:b/>
                <w:color w:val="FFFFFF"/>
                <w:sz w:val="16"/>
              </w:rPr>
              <w:t>Kebutuhan Fungsional</w:t>
            </w:r>
          </w:p>
        </w:tc>
        <w:tc>
          <w:tcPr>
            <w:tcW w:type="dxa" w:w="3024"/>
            <w:vAlign w:val="center"/>
            <w:shd w:fill="17365D"/>
            <w:tcMar>
              <w:top w:w="70" w:type="dxa"/>
              <w:start w:w="70" w:type="dxa"/>
              <w:bottom w:w="70" w:type="dxa"/>
              <w:end w:w="70" w:type="dxa"/>
            </w:tcMar>
          </w:tcPr>
          <w:p>
            <w:pPr>
              <w:jc w:val="center"/>
            </w:pPr>
            <w:r/>
            <w:r>
              <w:rPr>
                <w:rFonts w:ascii="Aptos" w:hAnsi="Aptos"/>
                <w:b/>
                <w:color w:val="FFFFFF"/>
                <w:sz w:val="16"/>
              </w:rPr>
              <w:t>Kriteria Penerimaan Ringkas</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FR-SET-01</w:t>
            </w:r>
          </w:p>
        </w:tc>
        <w:tc>
          <w:tcPr>
            <w:tcW w:type="dxa" w:w="1008"/>
            <w:vAlign w:val="center"/>
            <w:tcMar>
              <w:top w:w="70" w:type="dxa"/>
              <w:start w:w="70" w:type="dxa"/>
              <w:bottom w:w="70" w:type="dxa"/>
              <w:end w:w="70" w:type="dxa"/>
            </w:tcMar>
          </w:tcPr>
          <w:p>
            <w:r/>
            <w:r>
              <w:rPr>
                <w:rFonts w:ascii="Aptos" w:hAnsi="Aptos"/>
                <w:b w:val="0"/>
                <w:color w:val="000000"/>
                <w:sz w:val="15"/>
              </w:rPr>
              <w:t>Must</w:t>
            </w:r>
          </w:p>
        </w:tc>
        <w:tc>
          <w:tcPr>
            <w:tcW w:type="dxa" w:w="4320"/>
            <w:vAlign w:val="center"/>
            <w:tcMar>
              <w:top w:w="70" w:type="dxa"/>
              <w:start w:w="70" w:type="dxa"/>
              <w:bottom w:w="70" w:type="dxa"/>
              <w:end w:w="70" w:type="dxa"/>
            </w:tcMar>
          </w:tcPr>
          <w:p>
            <w:r/>
            <w:r>
              <w:rPr>
                <w:rFonts w:ascii="Aptos" w:hAnsi="Aptos"/>
                <w:b w:val="0"/>
                <w:color w:val="000000"/>
                <w:sz w:val="15"/>
              </w:rPr>
              <w:t>System shall store business timezone Asia/Jakarta and operating hours 10:00–21:30 as configurable system settings.</w:t>
            </w:r>
          </w:p>
        </w:tc>
        <w:tc>
          <w:tcPr>
            <w:tcW w:type="dxa" w:w="3024"/>
            <w:vAlign w:val="center"/>
            <w:tcMar>
              <w:top w:w="70" w:type="dxa"/>
              <w:start w:w="70" w:type="dxa"/>
              <w:bottom w:w="70" w:type="dxa"/>
              <w:end w:w="70" w:type="dxa"/>
            </w:tcMar>
          </w:tcPr>
          <w:p>
            <w:r/>
            <w:r>
              <w:rPr>
                <w:rFonts w:ascii="Aptos" w:hAnsi="Aptos"/>
                <w:b w:val="0"/>
                <w:color w:val="000000"/>
                <w:sz w:val="15"/>
              </w:rPr>
              <w:t>Values can be viewed; changes are auditable.</w:t>
            </w:r>
          </w:p>
        </w:tc>
      </w:tr>
      <w:tr>
        <w:trPr>
          <w:cantSplit/>
        </w:trPr>
        <w:tc>
          <w:tcPr>
            <w:tcW w:type="dxa" w:w="1008"/>
            <w:vAlign w:val="center"/>
            <w:shd w:fill="F8FAFC"/>
            <w:tcMar>
              <w:top w:w="70" w:type="dxa"/>
              <w:start w:w="70" w:type="dxa"/>
              <w:bottom w:w="70" w:type="dxa"/>
              <w:end w:w="70" w:type="dxa"/>
            </w:tcMar>
          </w:tcPr>
          <w:p>
            <w:r/>
            <w:r>
              <w:rPr>
                <w:rFonts w:ascii="Aptos" w:hAnsi="Aptos"/>
                <w:b w:val="0"/>
                <w:color w:val="000000"/>
                <w:sz w:val="15"/>
              </w:rPr>
              <w:t>FR-SET-02</w:t>
            </w:r>
          </w:p>
        </w:tc>
        <w:tc>
          <w:tcPr>
            <w:tcW w:type="dxa" w:w="1008"/>
            <w:vAlign w:val="center"/>
            <w:shd w:fill="F8FAFC"/>
            <w:tcMar>
              <w:top w:w="70" w:type="dxa"/>
              <w:start w:w="70" w:type="dxa"/>
              <w:bottom w:w="70" w:type="dxa"/>
              <w:end w:w="70" w:type="dxa"/>
            </w:tcMar>
          </w:tcPr>
          <w:p>
            <w:r/>
            <w:r>
              <w:rPr>
                <w:rFonts w:ascii="Aptos" w:hAnsi="Aptos"/>
                <w:b w:val="0"/>
                <w:color w:val="000000"/>
                <w:sz w:val="15"/>
              </w:rPr>
              <w:t>Must</w:t>
            </w:r>
          </w:p>
        </w:tc>
        <w:tc>
          <w:tcPr>
            <w:tcW w:type="dxa" w:w="4320"/>
            <w:vAlign w:val="center"/>
            <w:shd w:fill="F8FAFC"/>
            <w:tcMar>
              <w:top w:w="70" w:type="dxa"/>
              <w:start w:w="70" w:type="dxa"/>
              <w:bottom w:w="70" w:type="dxa"/>
              <w:end w:w="70" w:type="dxa"/>
            </w:tcMar>
          </w:tcPr>
          <w:p>
            <w:r/>
            <w:r>
              <w:rPr>
                <w:rFonts w:ascii="Aptos" w:hAnsi="Aptos"/>
                <w:b w:val="0"/>
                <w:color w:val="000000"/>
                <w:sz w:val="15"/>
              </w:rPr>
              <w:t>System shall manage report recipients and daily report time through application settings.</w:t>
            </w:r>
          </w:p>
        </w:tc>
        <w:tc>
          <w:tcPr>
            <w:tcW w:type="dxa" w:w="3024"/>
            <w:vAlign w:val="center"/>
            <w:shd w:fill="F8FAFC"/>
            <w:tcMar>
              <w:top w:w="70" w:type="dxa"/>
              <w:start w:w="70" w:type="dxa"/>
              <w:bottom w:w="70" w:type="dxa"/>
              <w:end w:w="70" w:type="dxa"/>
            </w:tcMar>
          </w:tcPr>
          <w:p>
            <w:r/>
            <w:r>
              <w:rPr>
                <w:rFonts w:ascii="Aptos" w:hAnsi="Aptos"/>
                <w:b w:val="0"/>
                <w:color w:val="000000"/>
                <w:sz w:val="15"/>
              </w:rPr>
              <w:t>No code change required for recipient/time change.</w:t>
            </w:r>
          </w:p>
        </w:tc>
      </w:tr>
      <w:tr>
        <w:trPr>
          <w:cantSplit/>
        </w:trPr>
        <w:tc>
          <w:tcPr>
            <w:tcW w:type="dxa" w:w="1008"/>
            <w:vAlign w:val="center"/>
            <w:tcMar>
              <w:top w:w="70" w:type="dxa"/>
              <w:start w:w="70" w:type="dxa"/>
              <w:bottom w:w="70" w:type="dxa"/>
              <w:end w:w="70" w:type="dxa"/>
            </w:tcMar>
          </w:tcPr>
          <w:p>
            <w:r/>
            <w:r>
              <w:rPr>
                <w:rFonts w:ascii="Aptos" w:hAnsi="Aptos"/>
                <w:b w:val="0"/>
                <w:color w:val="000000"/>
                <w:sz w:val="15"/>
              </w:rPr>
              <w:t>FR-SET-03</w:t>
            </w:r>
          </w:p>
        </w:tc>
        <w:tc>
          <w:tcPr>
            <w:tcW w:type="dxa" w:w="1008"/>
            <w:vAlign w:val="center"/>
            <w:tcMar>
              <w:top w:w="70" w:type="dxa"/>
              <w:start w:w="70" w:type="dxa"/>
              <w:bottom w:w="70" w:type="dxa"/>
              <w:end w:w="70" w:type="dxa"/>
            </w:tcMar>
          </w:tcPr>
          <w:p>
            <w:r/>
            <w:r>
              <w:rPr>
                <w:rFonts w:ascii="Aptos" w:hAnsi="Aptos"/>
                <w:b w:val="0"/>
                <w:color w:val="000000"/>
                <w:sz w:val="15"/>
              </w:rPr>
              <w:t>Should</w:t>
            </w:r>
          </w:p>
        </w:tc>
        <w:tc>
          <w:tcPr>
            <w:tcW w:type="dxa" w:w="4320"/>
            <w:vAlign w:val="center"/>
            <w:tcMar>
              <w:top w:w="70" w:type="dxa"/>
              <w:start w:w="70" w:type="dxa"/>
              <w:bottom w:w="70" w:type="dxa"/>
              <w:end w:w="70" w:type="dxa"/>
            </w:tcMar>
          </w:tcPr>
          <w:p>
            <w:r/>
            <w:r>
              <w:rPr>
                <w:rFonts w:ascii="Aptos" w:hAnsi="Aptos"/>
                <w:b w:val="0"/>
                <w:color w:val="000000"/>
                <w:sz w:val="15"/>
              </w:rPr>
              <w:t>System shall manage validation thresholds such as suspiciously high amount/quantity warnings.</w:t>
            </w:r>
          </w:p>
        </w:tc>
        <w:tc>
          <w:tcPr>
            <w:tcW w:type="dxa" w:w="3024"/>
            <w:vAlign w:val="center"/>
            <w:tcMar>
              <w:top w:w="70" w:type="dxa"/>
              <w:start w:w="70" w:type="dxa"/>
              <w:bottom w:w="70" w:type="dxa"/>
              <w:end w:w="70" w:type="dxa"/>
            </w:tcMar>
          </w:tcPr>
          <w:p>
            <w:r/>
            <w:r>
              <w:rPr>
                <w:rFonts w:ascii="Aptos" w:hAnsi="Aptos"/>
                <w:b w:val="0"/>
                <w:color w:val="000000"/>
                <w:sz w:val="15"/>
              </w:rPr>
              <w:t>Threshold changes are auditable.</w:t>
            </w:r>
          </w:p>
        </w:tc>
      </w:tr>
    </w:tbl>
    <w:p>
      <w:pPr>
        <w:spacing w:after="20"/>
      </w:pPr>
    </w:p>
    <w:p>
      <w:pPr>
        <w:pStyle w:val="Heading1"/>
      </w:pPr>
      <w:r>
        <w:t>8. Data Requirements and Normalization</w:t>
      </w:r>
    </w:p>
    <w:p>
      <w:pPr>
        <w:pStyle w:val="Heading2"/>
      </w:pPr>
      <w:r>
        <w:t>8.1 Core Entities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shd w:fill="17365D"/>
            <w:tcMar>
              <w:top w:w="70" w:type="dxa"/>
              <w:start w:w="70" w:type="dxa"/>
              <w:bottom w:w="70" w:type="dxa"/>
              <w:end w:w="70" w:type="dxa"/>
            </w:tcMar>
          </w:tcPr>
          <w:p>
            <w:pPr>
              <w:jc w:val="center"/>
            </w:pPr>
            <w:r/>
            <w:r>
              <w:rPr>
                <w:rFonts w:ascii="Aptos" w:hAnsi="Aptos"/>
                <w:b/>
                <w:color w:val="FFFFFF"/>
                <w:sz w:val="16"/>
              </w:rPr>
              <w:t>Domain</w:t>
            </w:r>
          </w:p>
        </w:tc>
        <w:tc>
          <w:tcPr>
            <w:tcW w:type="dxa" w:w="4608"/>
            <w:vAlign w:val="center"/>
            <w:shd w:fill="17365D"/>
            <w:tcMar>
              <w:top w:w="70" w:type="dxa"/>
              <w:start w:w="70" w:type="dxa"/>
              <w:bottom w:w="70" w:type="dxa"/>
              <w:end w:w="70" w:type="dxa"/>
            </w:tcMar>
          </w:tcPr>
          <w:p>
            <w:pPr>
              <w:jc w:val="center"/>
            </w:pPr>
            <w:r/>
            <w:r>
              <w:rPr>
                <w:rFonts w:ascii="Aptos" w:hAnsi="Aptos"/>
                <w:b/>
                <w:color w:val="FFFFFF"/>
                <w:sz w:val="16"/>
              </w:rPr>
              <w:t>Core Entities / Tables (Conceptual)</w:t>
            </w:r>
          </w:p>
        </w:tc>
        <w:tc>
          <w:tcPr>
            <w:tcW w:type="dxa" w:w="4032"/>
            <w:vAlign w:val="center"/>
            <w:shd w:fill="17365D"/>
            <w:tcMar>
              <w:top w:w="70" w:type="dxa"/>
              <w:start w:w="70" w:type="dxa"/>
              <w:bottom w:w="70" w:type="dxa"/>
              <w:end w:w="70" w:type="dxa"/>
            </w:tcMar>
          </w:tcPr>
          <w:p>
            <w:pPr>
              <w:jc w:val="center"/>
            </w:pPr>
            <w:r/>
            <w:r>
              <w:rPr>
                <w:rFonts w:ascii="Aptos" w:hAnsi="Aptos"/>
                <w:b/>
                <w:color w:val="FFFFFF"/>
                <w:sz w:val="16"/>
              </w:rPr>
              <w:t>Purpose</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Identity</w:t>
            </w:r>
          </w:p>
        </w:tc>
        <w:tc>
          <w:tcPr>
            <w:tcW w:type="dxa" w:w="4608"/>
            <w:vAlign w:val="center"/>
            <w:tcMar>
              <w:top w:w="70" w:type="dxa"/>
              <w:start w:w="70" w:type="dxa"/>
              <w:bottom w:w="70" w:type="dxa"/>
              <w:end w:w="70" w:type="dxa"/>
            </w:tcMar>
          </w:tcPr>
          <w:p>
            <w:r/>
            <w:r>
              <w:rPr>
                <w:rFonts w:ascii="Aptos" w:hAnsi="Aptos"/>
                <w:b w:val="0"/>
                <w:color w:val="000000"/>
                <w:sz w:val="16"/>
              </w:rPr>
              <w:t>users, roles</w:t>
            </w:r>
          </w:p>
        </w:tc>
        <w:tc>
          <w:tcPr>
            <w:tcW w:type="dxa" w:w="4032"/>
            <w:vAlign w:val="center"/>
            <w:tcMar>
              <w:top w:w="70" w:type="dxa"/>
              <w:start w:w="70" w:type="dxa"/>
              <w:bottom w:w="70" w:type="dxa"/>
              <w:end w:w="70" w:type="dxa"/>
            </w:tcMar>
          </w:tcPr>
          <w:p>
            <w:r/>
            <w:r>
              <w:rPr>
                <w:rFonts w:ascii="Aptos" w:hAnsi="Aptos"/>
                <w:b w:val="0"/>
                <w:color w:val="000000"/>
                <w:sz w:val="16"/>
              </w:rPr>
              <w:t>Application user and authorization.</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Integration</w:t>
            </w:r>
          </w:p>
        </w:tc>
        <w:tc>
          <w:tcPr>
            <w:tcW w:type="dxa" w:w="4608"/>
            <w:vAlign w:val="center"/>
            <w:shd w:fill="F8FAFC"/>
            <w:tcMar>
              <w:top w:w="70" w:type="dxa"/>
              <w:start w:w="70" w:type="dxa"/>
              <w:bottom w:w="70" w:type="dxa"/>
              <w:end w:w="70" w:type="dxa"/>
            </w:tcMar>
          </w:tcPr>
          <w:p>
            <w:r/>
            <w:r>
              <w:rPr>
                <w:rFonts w:ascii="Aptos" w:hAnsi="Aptos"/>
                <w:b w:val="0"/>
                <w:color w:val="000000"/>
                <w:sz w:val="16"/>
              </w:rPr>
              <w:t>raw_form_submissions, sync_runs</w:t>
            </w:r>
          </w:p>
        </w:tc>
        <w:tc>
          <w:tcPr>
            <w:tcW w:type="dxa" w:w="4032"/>
            <w:vAlign w:val="center"/>
            <w:shd w:fill="F8FAFC"/>
            <w:tcMar>
              <w:top w:w="70" w:type="dxa"/>
              <w:start w:w="70" w:type="dxa"/>
              <w:bottom w:w="70" w:type="dxa"/>
              <w:end w:w="70" w:type="dxa"/>
            </w:tcMar>
          </w:tcPr>
          <w:p>
            <w:r/>
            <w:r>
              <w:rPr>
                <w:rFonts w:ascii="Aptos" w:hAnsi="Aptos"/>
                <w:b w:val="0"/>
                <w:color w:val="000000"/>
                <w:sz w:val="16"/>
              </w:rPr>
              <w:t>Raw source retention and ingestion status.</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Corrections</w:t>
            </w:r>
          </w:p>
        </w:tc>
        <w:tc>
          <w:tcPr>
            <w:tcW w:type="dxa" w:w="4608"/>
            <w:vAlign w:val="center"/>
            <w:tcMar>
              <w:top w:w="70" w:type="dxa"/>
              <w:start w:w="70" w:type="dxa"/>
              <w:bottom w:w="70" w:type="dxa"/>
              <w:end w:w="70" w:type="dxa"/>
            </w:tcMar>
          </w:tcPr>
          <w:p>
            <w:r/>
            <w:r>
              <w:rPr>
                <w:rFonts w:ascii="Aptos" w:hAnsi="Aptos"/>
                <w:b w:val="0"/>
                <w:color w:val="000000"/>
                <w:sz w:val="16"/>
              </w:rPr>
              <w:t>data_corrections</w:t>
            </w:r>
          </w:p>
        </w:tc>
        <w:tc>
          <w:tcPr>
            <w:tcW w:type="dxa" w:w="4032"/>
            <w:vAlign w:val="center"/>
            <w:tcMar>
              <w:top w:w="70" w:type="dxa"/>
              <w:start w:w="70" w:type="dxa"/>
              <w:bottom w:w="70" w:type="dxa"/>
              <w:end w:w="70" w:type="dxa"/>
            </w:tcMar>
          </w:tcPr>
          <w:p>
            <w:r/>
            <w:r>
              <w:rPr>
                <w:rFonts w:ascii="Aptos" w:hAnsi="Aptos"/>
                <w:b w:val="0"/>
                <w:color w:val="000000"/>
                <w:sz w:val="16"/>
              </w:rPr>
              <w:t>Original/effective value history and reasons.</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Cashier</w:t>
            </w:r>
          </w:p>
        </w:tc>
        <w:tc>
          <w:tcPr>
            <w:tcW w:type="dxa" w:w="4608"/>
            <w:vAlign w:val="center"/>
            <w:shd w:fill="F8FAFC"/>
            <w:tcMar>
              <w:top w:w="70" w:type="dxa"/>
              <w:start w:w="70" w:type="dxa"/>
              <w:bottom w:w="70" w:type="dxa"/>
              <w:end w:w="70" w:type="dxa"/>
            </w:tcMar>
          </w:tcPr>
          <w:p>
            <w:r/>
            <w:r>
              <w:rPr>
                <w:rFonts w:ascii="Aptos" w:hAnsi="Aptos"/>
                <w:b w:val="0"/>
                <w:color w:val="000000"/>
                <w:sz w:val="16"/>
              </w:rPr>
              <w:t>cashier_reports, payment_lines, cashier_expense_lines</w:t>
            </w:r>
          </w:p>
        </w:tc>
        <w:tc>
          <w:tcPr>
            <w:tcW w:type="dxa" w:w="4032"/>
            <w:vAlign w:val="center"/>
            <w:shd w:fill="F8FAFC"/>
            <w:tcMar>
              <w:top w:w="70" w:type="dxa"/>
              <w:start w:w="70" w:type="dxa"/>
              <w:bottom w:w="70" w:type="dxa"/>
              <w:end w:w="70" w:type="dxa"/>
            </w:tcMar>
          </w:tcPr>
          <w:p>
            <w:r/>
            <w:r>
              <w:rPr>
                <w:rFonts w:ascii="Aptos" w:hAnsi="Aptos"/>
                <w:b w:val="0"/>
                <w:color w:val="000000"/>
                <w:sz w:val="16"/>
              </w:rPr>
              <w:t>Normalized cashier report.</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Menu/Sales</w:t>
            </w:r>
          </w:p>
        </w:tc>
        <w:tc>
          <w:tcPr>
            <w:tcW w:type="dxa" w:w="4608"/>
            <w:vAlign w:val="center"/>
            <w:tcMar>
              <w:top w:w="70" w:type="dxa"/>
              <w:start w:w="70" w:type="dxa"/>
              <w:bottom w:w="70" w:type="dxa"/>
              <w:end w:w="70" w:type="dxa"/>
            </w:tcMar>
          </w:tcPr>
          <w:p>
            <w:r/>
            <w:r>
              <w:rPr>
                <w:rFonts w:ascii="Aptos" w:hAnsi="Aptos"/>
                <w:b w:val="0"/>
                <w:color w:val="000000"/>
                <w:sz w:val="16"/>
              </w:rPr>
              <w:t>menu_items, menu_price_history, sales_reports, sales_report_items</w:t>
            </w:r>
          </w:p>
        </w:tc>
        <w:tc>
          <w:tcPr>
            <w:tcW w:type="dxa" w:w="4032"/>
            <w:vAlign w:val="center"/>
            <w:tcMar>
              <w:top w:w="70" w:type="dxa"/>
              <w:start w:w="70" w:type="dxa"/>
              <w:bottom w:w="70" w:type="dxa"/>
              <w:end w:w="70" w:type="dxa"/>
            </w:tcMar>
          </w:tcPr>
          <w:p>
            <w:r/>
            <w:r>
              <w:rPr>
                <w:rFonts w:ascii="Aptos" w:hAnsi="Aptos"/>
                <w:b w:val="0"/>
                <w:color w:val="000000"/>
                <w:sz w:val="16"/>
              </w:rPr>
              <w:t>Food/Beverage quantities and priced revenue.</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Funds</w:t>
            </w:r>
          </w:p>
        </w:tc>
        <w:tc>
          <w:tcPr>
            <w:tcW w:type="dxa" w:w="4608"/>
            <w:vAlign w:val="center"/>
            <w:shd w:fill="F8FAFC"/>
            <w:tcMar>
              <w:top w:w="70" w:type="dxa"/>
              <w:start w:w="70" w:type="dxa"/>
              <w:bottom w:w="70" w:type="dxa"/>
              <w:end w:w="70" w:type="dxa"/>
            </w:tcMar>
          </w:tcPr>
          <w:p>
            <w:r/>
            <w:r>
              <w:rPr>
                <w:rFonts w:ascii="Aptos" w:hAnsi="Aptos"/>
                <w:b w:val="0"/>
                <w:color w:val="000000"/>
                <w:sz w:val="16"/>
              </w:rPr>
              <w:t>fund_accounts, fund_transactions</w:t>
            </w:r>
          </w:p>
        </w:tc>
        <w:tc>
          <w:tcPr>
            <w:tcW w:type="dxa" w:w="4032"/>
            <w:vAlign w:val="center"/>
            <w:shd w:fill="F8FAFC"/>
            <w:tcMar>
              <w:top w:w="70" w:type="dxa"/>
              <w:start w:w="70" w:type="dxa"/>
              <w:bottom w:w="70" w:type="dxa"/>
              <w:end w:w="70" w:type="dxa"/>
            </w:tcMar>
          </w:tcPr>
          <w:p>
            <w:r/>
            <w:r>
              <w:rPr>
                <w:rFonts w:ascii="Aptos" w:hAnsi="Aptos"/>
                <w:b w:val="0"/>
                <w:color w:val="000000"/>
                <w:sz w:val="16"/>
              </w:rPr>
              <w:t>Housebank/Cashier funding, transfer, and expenses.</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Accounting</w:t>
            </w:r>
          </w:p>
        </w:tc>
        <w:tc>
          <w:tcPr>
            <w:tcW w:type="dxa" w:w="4608"/>
            <w:vAlign w:val="center"/>
            <w:tcMar>
              <w:top w:w="70" w:type="dxa"/>
              <w:start w:w="70" w:type="dxa"/>
              <w:bottom w:w="70" w:type="dxa"/>
              <w:end w:w="70" w:type="dxa"/>
            </w:tcMar>
          </w:tcPr>
          <w:p>
            <w:r/>
            <w:r>
              <w:rPr>
                <w:rFonts w:ascii="Aptos" w:hAnsi="Aptos"/>
                <w:b w:val="0"/>
                <w:color w:val="000000"/>
                <w:sz w:val="16"/>
              </w:rPr>
              <w:t>journal_entries, journal_lines</w:t>
            </w:r>
          </w:p>
        </w:tc>
        <w:tc>
          <w:tcPr>
            <w:tcW w:type="dxa" w:w="4032"/>
            <w:vAlign w:val="center"/>
            <w:tcMar>
              <w:top w:w="70" w:type="dxa"/>
              <w:start w:w="70" w:type="dxa"/>
              <w:bottom w:w="70" w:type="dxa"/>
              <w:end w:w="70" w:type="dxa"/>
            </w:tcMar>
          </w:tcPr>
          <w:p>
            <w:r/>
            <w:r>
              <w:rPr>
                <w:rFonts w:ascii="Aptos" w:hAnsi="Aptos"/>
                <w:b w:val="0"/>
                <w:color w:val="000000"/>
                <w:sz w:val="16"/>
              </w:rPr>
              <w:t>Double-entry-ready financial ledger / controlled accounting layer.</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Purchase</w:t>
            </w:r>
          </w:p>
        </w:tc>
        <w:tc>
          <w:tcPr>
            <w:tcW w:type="dxa" w:w="4608"/>
            <w:vAlign w:val="center"/>
            <w:shd w:fill="F8FAFC"/>
            <w:tcMar>
              <w:top w:w="70" w:type="dxa"/>
              <w:start w:w="70" w:type="dxa"/>
              <w:bottom w:w="70" w:type="dxa"/>
              <w:end w:w="70" w:type="dxa"/>
            </w:tcMar>
          </w:tcPr>
          <w:p>
            <w:r/>
            <w:r>
              <w:rPr>
                <w:rFonts w:ascii="Aptos" w:hAnsi="Aptos"/>
                <w:b w:val="0"/>
                <w:color w:val="000000"/>
                <w:sz w:val="16"/>
              </w:rPr>
              <w:t>purchase_requests, purchase_request_items, purchase_approvals</w:t>
            </w:r>
          </w:p>
        </w:tc>
        <w:tc>
          <w:tcPr>
            <w:tcW w:type="dxa" w:w="4032"/>
            <w:vAlign w:val="center"/>
            <w:shd w:fill="F8FAFC"/>
            <w:tcMar>
              <w:top w:w="70" w:type="dxa"/>
              <w:start w:w="70" w:type="dxa"/>
              <w:bottom w:w="70" w:type="dxa"/>
              <w:end w:w="70" w:type="dxa"/>
            </w:tcMar>
          </w:tcPr>
          <w:p>
            <w:r/>
            <w:r>
              <w:rPr>
                <w:rFonts w:ascii="Aptos" w:hAnsi="Aptos"/>
                <w:b w:val="0"/>
                <w:color w:val="000000"/>
                <w:sz w:val="16"/>
              </w:rPr>
              <w:t>Operational purchase workflow.</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Inventory</w:t>
            </w:r>
          </w:p>
        </w:tc>
        <w:tc>
          <w:tcPr>
            <w:tcW w:type="dxa" w:w="4608"/>
            <w:vAlign w:val="center"/>
            <w:tcMar>
              <w:top w:w="70" w:type="dxa"/>
              <w:start w:w="70" w:type="dxa"/>
              <w:bottom w:w="70" w:type="dxa"/>
              <w:end w:w="70" w:type="dxa"/>
            </w:tcMar>
          </w:tcPr>
          <w:p>
            <w:r/>
            <w:r>
              <w:rPr>
                <w:rFonts w:ascii="Aptos" w:hAnsi="Aptos"/>
                <w:b w:val="0"/>
                <w:color w:val="000000"/>
                <w:sz w:val="16"/>
              </w:rPr>
              <w:t>inventory_items, stock_opname_sessions, stock_opname_lines</w:t>
            </w:r>
          </w:p>
        </w:tc>
        <w:tc>
          <w:tcPr>
            <w:tcW w:type="dxa" w:w="4032"/>
            <w:vAlign w:val="center"/>
            <w:tcMar>
              <w:top w:w="70" w:type="dxa"/>
              <w:start w:w="70" w:type="dxa"/>
              <w:bottom w:w="70" w:type="dxa"/>
              <w:end w:w="70" w:type="dxa"/>
            </w:tcMar>
          </w:tcPr>
          <w:p>
            <w:r/>
            <w:r>
              <w:rPr>
                <w:rFonts w:ascii="Aptos" w:hAnsi="Aptos"/>
                <w:b w:val="0"/>
                <w:color w:val="000000"/>
                <w:sz w:val="16"/>
              </w:rPr>
              <w:t>Stock opname and variance.</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Reporting</w:t>
            </w:r>
          </w:p>
        </w:tc>
        <w:tc>
          <w:tcPr>
            <w:tcW w:type="dxa" w:w="4608"/>
            <w:vAlign w:val="center"/>
            <w:shd w:fill="F8FAFC"/>
            <w:tcMar>
              <w:top w:w="70" w:type="dxa"/>
              <w:start w:w="70" w:type="dxa"/>
              <w:bottom w:w="70" w:type="dxa"/>
              <w:end w:w="70" w:type="dxa"/>
            </w:tcMar>
          </w:tcPr>
          <w:p>
            <w:r/>
            <w:r>
              <w:rPr>
                <w:rFonts w:ascii="Aptos" w:hAnsi="Aptos"/>
                <w:b w:val="0"/>
                <w:color w:val="000000"/>
                <w:sz w:val="16"/>
              </w:rPr>
              <w:t>daily_metrics, daily_report_settings, daily_report_recipients, daily_report_runs</w:t>
            </w:r>
          </w:p>
        </w:tc>
        <w:tc>
          <w:tcPr>
            <w:tcW w:type="dxa" w:w="4032"/>
            <w:vAlign w:val="center"/>
            <w:shd w:fill="F8FAFC"/>
            <w:tcMar>
              <w:top w:w="70" w:type="dxa"/>
              <w:start w:w="70" w:type="dxa"/>
              <w:bottom w:w="70" w:type="dxa"/>
              <w:end w:w="70" w:type="dxa"/>
            </w:tcMar>
          </w:tcPr>
          <w:p>
            <w:r/>
            <w:r>
              <w:rPr>
                <w:rFonts w:ascii="Aptos" w:hAnsi="Aptos"/>
                <w:b w:val="0"/>
                <w:color w:val="000000"/>
                <w:sz w:val="16"/>
              </w:rPr>
              <w:t>Aggregates, settings, and immutable report snapshots.</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Audit</w:t>
            </w:r>
          </w:p>
        </w:tc>
        <w:tc>
          <w:tcPr>
            <w:tcW w:type="dxa" w:w="4608"/>
            <w:vAlign w:val="center"/>
            <w:tcMar>
              <w:top w:w="70" w:type="dxa"/>
              <w:start w:w="70" w:type="dxa"/>
              <w:bottom w:w="70" w:type="dxa"/>
              <w:end w:w="70" w:type="dxa"/>
            </w:tcMar>
          </w:tcPr>
          <w:p>
            <w:r/>
            <w:r>
              <w:rPr>
                <w:rFonts w:ascii="Aptos" w:hAnsi="Aptos"/>
                <w:b w:val="0"/>
                <w:color w:val="000000"/>
                <w:sz w:val="16"/>
              </w:rPr>
              <w:t>audit_logs</w:t>
            </w:r>
          </w:p>
        </w:tc>
        <w:tc>
          <w:tcPr>
            <w:tcW w:type="dxa" w:w="4032"/>
            <w:vAlign w:val="center"/>
            <w:tcMar>
              <w:top w:w="70" w:type="dxa"/>
              <w:start w:w="70" w:type="dxa"/>
              <w:bottom w:w="70" w:type="dxa"/>
              <w:end w:w="70" w:type="dxa"/>
            </w:tcMar>
          </w:tcPr>
          <w:p>
            <w:r/>
            <w:r>
              <w:rPr>
                <w:rFonts w:ascii="Aptos" w:hAnsi="Aptos"/>
                <w:b w:val="0"/>
                <w:color w:val="000000"/>
                <w:sz w:val="16"/>
              </w:rPr>
              <w:t>Append-only system and financial change history.</w:t>
            </w:r>
          </w:p>
        </w:tc>
      </w:tr>
    </w:tbl>
    <w:p>
      <w:pPr>
        <w:spacing w:after="20"/>
      </w:pPr>
    </w:p>
    <w:p>
      <w:pPr>
        <w:pStyle w:val="Heading2"/>
      </w:pPr>
      <w:r>
        <w:t>8.2 Data Integrity Constraints</w:t>
      </w:r>
    </w:p>
    <w:p>
      <w:pPr>
        <w:pStyle w:val="ListBullet"/>
        <w:spacing w:after="40"/>
      </w:pPr>
      <w:r>
        <w:t>Financial amounts use fixed-precision decimal/numeric storage; floating point is not permitted for monetary values.</w:t>
      </w:r>
    </w:p>
    <w:p>
      <w:pPr>
        <w:pStyle w:val="ListBullet"/>
        <w:spacing w:after="40"/>
      </w:pPr>
      <w:r>
        <w:t>Business Date is mandatory for normalized daily sales/cashier data.</w:t>
      </w:r>
    </w:p>
    <w:p>
      <w:pPr>
        <w:pStyle w:val="ListBullet"/>
        <w:spacing w:after="40"/>
      </w:pPr>
      <w:r>
        <w:t>Price history must resolve exactly one effective price per menu item per Business Date.</w:t>
      </w:r>
    </w:p>
    <w:p>
      <w:pPr>
        <w:pStyle w:val="ListBullet"/>
        <w:spacing w:after="40"/>
      </w:pPr>
      <w:r>
        <w:t>A source submission key / payload hash must prevent duplicate ingestion.</w:t>
      </w:r>
    </w:p>
    <w:p>
      <w:pPr>
        <w:pStyle w:val="ListBullet"/>
        <w:spacing w:after="40"/>
      </w:pPr>
      <w:r>
        <w:t>Fund-account balance is computed from ledger transactions.</w:t>
      </w:r>
    </w:p>
    <w:p>
      <w:pPr>
        <w:pStyle w:val="ListBullet"/>
        <w:spacing w:after="40"/>
      </w:pPr>
      <w:r>
        <w:t>A correction references the original entity/field and cannot erase previous correction history.</w:t>
      </w:r>
    </w:p>
    <w:p>
      <w:pPr>
        <w:pStyle w:val="ListBullet"/>
        <w:spacing w:after="40"/>
      </w:pPr>
      <w:r>
        <w:t>Audit-log rows are append-only.</w:t>
      </w:r>
    </w:p>
    <w:p>
      <w:pPr>
        <w:pStyle w:val="Heading2"/>
      </w:pPr>
      <w:r>
        <w:t>8.3 Source Normalization Rules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vAlign w:val="center"/>
            <w:shd w:fill="17365D"/>
            <w:tcMar>
              <w:top w:w="70" w:type="dxa"/>
              <w:start w:w="70" w:type="dxa"/>
              <w:bottom w:w="70" w:type="dxa"/>
              <w:end w:w="70" w:type="dxa"/>
            </w:tcMar>
          </w:tcPr>
          <w:p>
            <w:pPr>
              <w:jc w:val="center"/>
            </w:pPr>
            <w:r/>
            <w:r>
              <w:rPr>
                <w:rFonts w:ascii="Aptos" w:hAnsi="Aptos"/>
                <w:b/>
                <w:color w:val="FFFFFF"/>
                <w:sz w:val="16"/>
              </w:rPr>
              <w:t>Source Pattern</w:t>
            </w:r>
          </w:p>
        </w:tc>
        <w:tc>
          <w:tcPr>
            <w:tcW w:type="dxa" w:w="6624"/>
            <w:vAlign w:val="center"/>
            <w:shd w:fill="17365D"/>
            <w:tcMar>
              <w:top w:w="70" w:type="dxa"/>
              <w:start w:w="70" w:type="dxa"/>
              <w:bottom w:w="70" w:type="dxa"/>
              <w:end w:w="70" w:type="dxa"/>
            </w:tcMar>
          </w:tcPr>
          <w:p>
            <w:pPr>
              <w:jc w:val="center"/>
            </w:pPr>
            <w:r/>
            <w:r>
              <w:rPr>
                <w:rFonts w:ascii="Aptos" w:hAnsi="Aptos"/>
                <w:b/>
                <w:color w:val="FFFFFF"/>
                <w:sz w:val="16"/>
              </w:rPr>
              <w:t>Normalization Rule</w:t>
            </w:r>
          </w:p>
        </w:tc>
      </w:tr>
      <w:tr>
        <w:trPr>
          <w:cantSplit/>
        </w:trPr>
        <w:tc>
          <w:tcPr>
            <w:tcW w:type="dxa" w:w="3168"/>
            <w:vAlign w:val="center"/>
            <w:tcMar>
              <w:top w:w="70" w:type="dxa"/>
              <w:start w:w="70" w:type="dxa"/>
              <w:bottom w:w="70" w:type="dxa"/>
              <w:end w:w="70" w:type="dxa"/>
            </w:tcMar>
          </w:tcPr>
          <w:p>
            <w:r/>
            <w:r>
              <w:rPr>
                <w:rFonts w:ascii="Aptos" w:hAnsi="Aptos"/>
                <w:b w:val="0"/>
                <w:color w:val="000000"/>
                <w:sz w:val="16"/>
              </w:rPr>
              <w:t>Cashier payment columns, including duplicated “... 2” variants</w:t>
            </w:r>
          </w:p>
        </w:tc>
        <w:tc>
          <w:tcPr>
            <w:tcW w:type="dxa" w:w="6624"/>
            <w:vAlign w:val="center"/>
            <w:tcMar>
              <w:top w:w="70" w:type="dxa"/>
              <w:start w:w="70" w:type="dxa"/>
              <w:bottom w:w="70" w:type="dxa"/>
              <w:end w:w="70" w:type="dxa"/>
            </w:tcMar>
          </w:tcPr>
          <w:p>
            <w:r/>
            <w:r>
              <w:rPr>
                <w:rFonts w:ascii="Aptos" w:hAnsi="Aptos"/>
                <w:b w:val="0"/>
                <w:color w:val="000000"/>
                <w:sz w:val="16"/>
              </w:rPr>
              <w:t>Create normalized payment_lines for non-empty numeric values; ignore navigation/helper text; map to controlled payment_method code.</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6"/>
              </w:rPr>
              <w:t>Cashier expense columns</w:t>
            </w:r>
          </w:p>
        </w:tc>
        <w:tc>
          <w:tcPr>
            <w:tcW w:type="dxa" w:w="6624"/>
            <w:vAlign w:val="center"/>
            <w:shd w:fill="F8FAFC"/>
            <w:tcMar>
              <w:top w:w="70" w:type="dxa"/>
              <w:start w:w="70" w:type="dxa"/>
              <w:bottom w:w="70" w:type="dxa"/>
              <w:end w:w="70" w:type="dxa"/>
            </w:tcMar>
          </w:tcPr>
          <w:p>
            <w:r/>
            <w:r>
              <w:rPr>
                <w:rFonts w:ascii="Aptos" w:hAnsi="Aptos"/>
                <w:b w:val="0"/>
                <w:color w:val="000000"/>
                <w:sz w:val="16"/>
              </w:rPr>
              <w:t>Create one or more expense_lines with category, amount, staff/user, description, and source column reference.</w:t>
            </w:r>
          </w:p>
        </w:tc>
      </w:tr>
      <w:tr>
        <w:trPr>
          <w:cantSplit/>
        </w:trPr>
        <w:tc>
          <w:tcPr>
            <w:tcW w:type="dxa" w:w="3168"/>
            <w:vAlign w:val="center"/>
            <w:tcMar>
              <w:top w:w="70" w:type="dxa"/>
              <w:start w:w="70" w:type="dxa"/>
              <w:bottom w:w="70" w:type="dxa"/>
              <w:end w:w="70" w:type="dxa"/>
            </w:tcMar>
          </w:tcPr>
          <w:p>
            <w:r/>
            <w:r>
              <w:rPr>
                <w:rFonts w:ascii="Aptos" w:hAnsi="Aptos"/>
                <w:b w:val="0"/>
                <w:color w:val="000000"/>
                <w:sz w:val="16"/>
              </w:rPr>
              <w:t>Cash denominations</w:t>
            </w:r>
          </w:p>
        </w:tc>
        <w:tc>
          <w:tcPr>
            <w:tcW w:type="dxa" w:w="6624"/>
            <w:vAlign w:val="center"/>
            <w:tcMar>
              <w:top w:w="70" w:type="dxa"/>
              <w:start w:w="70" w:type="dxa"/>
              <w:bottom w:w="70" w:type="dxa"/>
              <w:end w:w="70" w:type="dxa"/>
            </w:tcMar>
          </w:tcPr>
          <w:p>
            <w:r/>
            <w:r>
              <w:rPr>
                <w:rFonts w:ascii="Aptos" w:hAnsi="Aptos"/>
                <w:b w:val="0"/>
                <w:color w:val="000000"/>
                <w:sz w:val="16"/>
              </w:rPr>
              <w:t>Store denomination count lines or structured values and calculate actual cash; do not use manually entered total as the sole source of truth.</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6"/>
              </w:rPr>
              <w:t>Kitchen menu columns</w:t>
            </w:r>
          </w:p>
        </w:tc>
        <w:tc>
          <w:tcPr>
            <w:tcW w:type="dxa" w:w="6624"/>
            <w:vAlign w:val="center"/>
            <w:shd w:fill="F8FAFC"/>
            <w:tcMar>
              <w:top w:w="70" w:type="dxa"/>
              <w:start w:w="70" w:type="dxa"/>
              <w:bottom w:w="70" w:type="dxa"/>
              <w:end w:w="70" w:type="dxa"/>
            </w:tcMar>
          </w:tcPr>
          <w:p>
            <w:r/>
            <w:r>
              <w:rPr>
                <w:rFonts w:ascii="Aptos" w:hAnsi="Aptos"/>
                <w:b w:val="0"/>
                <w:color w:val="000000"/>
                <w:sz w:val="16"/>
              </w:rPr>
              <w:t>Unpivot wide quantity columns into sales_report_items(menu_item_id, qty).</w:t>
            </w:r>
          </w:p>
        </w:tc>
      </w:tr>
      <w:tr>
        <w:trPr>
          <w:cantSplit/>
        </w:trPr>
        <w:tc>
          <w:tcPr>
            <w:tcW w:type="dxa" w:w="3168"/>
            <w:vAlign w:val="center"/>
            <w:tcMar>
              <w:top w:w="70" w:type="dxa"/>
              <w:start w:w="70" w:type="dxa"/>
              <w:bottom w:w="70" w:type="dxa"/>
              <w:end w:w="70" w:type="dxa"/>
            </w:tcMar>
          </w:tcPr>
          <w:p>
            <w:r/>
            <w:r>
              <w:rPr>
                <w:rFonts w:ascii="Aptos" w:hAnsi="Aptos"/>
                <w:b w:val="0"/>
                <w:color w:val="000000"/>
                <w:sz w:val="16"/>
              </w:rPr>
              <w:t>Beverage menu columns</w:t>
            </w:r>
          </w:p>
        </w:tc>
        <w:tc>
          <w:tcPr>
            <w:tcW w:type="dxa" w:w="6624"/>
            <w:vAlign w:val="center"/>
            <w:tcMar>
              <w:top w:w="70" w:type="dxa"/>
              <w:start w:w="70" w:type="dxa"/>
              <w:bottom w:w="70" w:type="dxa"/>
              <w:end w:w="70" w:type="dxa"/>
            </w:tcMar>
          </w:tcPr>
          <w:p>
            <w:r/>
            <w:r>
              <w:rPr>
                <w:rFonts w:ascii="Aptos" w:hAnsi="Aptos"/>
                <w:b w:val="0"/>
                <w:color w:val="000000"/>
                <w:sz w:val="16"/>
              </w:rPr>
              <w:t>Unpivot wide quantity columns into sales_report_items(menu_item_id, qty).</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6"/>
              </w:rPr>
              <w:t>OPEX Debit/Credit</w:t>
            </w:r>
          </w:p>
        </w:tc>
        <w:tc>
          <w:tcPr>
            <w:tcW w:type="dxa" w:w="6624"/>
            <w:vAlign w:val="center"/>
            <w:shd w:fill="F8FAFC"/>
            <w:tcMar>
              <w:top w:w="70" w:type="dxa"/>
              <w:start w:w="70" w:type="dxa"/>
              <w:bottom w:w="70" w:type="dxa"/>
              <w:end w:w="70" w:type="dxa"/>
            </w:tcMar>
          </w:tcPr>
          <w:p>
            <w:r/>
            <w:r>
              <w:rPr>
                <w:rFonts w:ascii="Aptos" w:hAnsi="Aptos"/>
                <w:b w:val="0"/>
                <w:color w:val="000000"/>
                <w:sz w:val="16"/>
              </w:rPr>
              <w:t>Map company funding to Housebank inflow; operational purchase/payment to Housebank outflow/expense; retain source text.</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E2F0D9"/>
            <w:vAlign w:val="center"/>
            <w:tcMar>
              <w:top w:w="100" w:type="dxa"/>
              <w:start w:w="120" w:type="dxa"/>
              <w:bottom w:w="100" w:type="dxa"/>
              <w:end w:w="120" w:type="dxa"/>
            </w:tcMar>
          </w:tcPr>
          <w:p>
            <w:r/>
            <w:r>
              <w:rPr>
                <w:rFonts w:ascii="Aptos" w:hAnsi="Aptos"/>
                <w:b w:val="0"/>
                <w:color w:val="000000"/>
                <w:sz w:val="17"/>
              </w:rPr>
              <w:t>Normalization must preserve source-column/source-row traceability so a dashboard value can be traced back to the exact Google Sheet input.</w:t>
            </w:r>
          </w:p>
        </w:tc>
      </w:tr>
    </w:tbl>
    <w:p>
      <w:pPr>
        <w:spacing w:after="20"/>
      </w:pPr>
    </w:p>
    <w:p>
      <w:pPr>
        <w:pStyle w:val="Heading1"/>
      </w:pPr>
      <w:r>
        <w:t>9. Reports, Dashboard, and KPI Definitions</w:t>
      </w:r>
    </w:p>
    <w:p>
      <w:pPr>
        <w:pStyle w:val="Heading2"/>
      </w:pPr>
      <w:r>
        <w:t>9.1 Mandatory Daily Email Metrics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vAlign w:val="center"/>
            <w:shd w:fill="17365D"/>
            <w:tcMar>
              <w:top w:w="70" w:type="dxa"/>
              <w:start w:w="70" w:type="dxa"/>
              <w:bottom w:w="70" w:type="dxa"/>
              <w:end w:w="70" w:type="dxa"/>
            </w:tcMar>
          </w:tcPr>
          <w:p>
            <w:pPr>
              <w:jc w:val="center"/>
            </w:pPr>
            <w:r/>
            <w:r>
              <w:rPr>
                <w:rFonts w:ascii="Aptos" w:hAnsi="Aptos"/>
                <w:b/>
                <w:color w:val="FFFFFF"/>
                <w:sz w:val="16"/>
              </w:rPr>
              <w:t>Metric</w:t>
            </w:r>
          </w:p>
        </w:tc>
        <w:tc>
          <w:tcPr>
            <w:tcW w:type="dxa" w:w="6768"/>
            <w:vAlign w:val="center"/>
            <w:shd w:fill="17365D"/>
            <w:tcMar>
              <w:top w:w="70" w:type="dxa"/>
              <w:start w:w="70" w:type="dxa"/>
              <w:bottom w:w="70" w:type="dxa"/>
              <w:end w:w="70" w:type="dxa"/>
            </w:tcMar>
          </w:tcPr>
          <w:p>
            <w:pPr>
              <w:jc w:val="center"/>
            </w:pPr>
            <w:r/>
            <w:r>
              <w:rPr>
                <w:rFonts w:ascii="Aptos" w:hAnsi="Aptos"/>
                <w:b/>
                <w:color w:val="FFFFFF"/>
                <w:sz w:val="16"/>
              </w:rPr>
              <w:t>Definition for MVP</w:t>
            </w:r>
          </w:p>
        </w:tc>
      </w:tr>
      <w:tr>
        <w:trPr>
          <w:cantSplit/>
        </w:trPr>
        <w:tc>
          <w:tcPr>
            <w:tcW w:type="dxa" w:w="3024"/>
            <w:vAlign w:val="center"/>
            <w:tcMar>
              <w:top w:w="70" w:type="dxa"/>
              <w:start w:w="70" w:type="dxa"/>
              <w:bottom w:w="70" w:type="dxa"/>
              <w:end w:w="70" w:type="dxa"/>
            </w:tcMar>
          </w:tcPr>
          <w:p>
            <w:r/>
            <w:r>
              <w:rPr>
                <w:rFonts w:ascii="Aptos" w:hAnsi="Aptos"/>
                <w:b w:val="0"/>
                <w:color w:val="000000"/>
                <w:sz w:val="16"/>
              </w:rPr>
              <w:t>Keuangan masuk kasir total</w:t>
            </w:r>
          </w:p>
        </w:tc>
        <w:tc>
          <w:tcPr>
            <w:tcW w:type="dxa" w:w="6768"/>
            <w:vAlign w:val="center"/>
            <w:tcMar>
              <w:top w:w="70" w:type="dxa"/>
              <w:start w:w="70" w:type="dxa"/>
              <w:bottom w:w="70" w:type="dxa"/>
              <w:end w:w="70" w:type="dxa"/>
            </w:tcMar>
          </w:tcPr>
          <w:p>
            <w:r/>
            <w:r>
              <w:rPr>
                <w:rFonts w:ascii="Aptos" w:hAnsi="Aptos"/>
                <w:b w:val="0"/>
                <w:color w:val="000000"/>
                <w:sz w:val="16"/>
              </w:rPr>
              <w:t>Sum of actual received payment-method amounts for the Business Date; exclude non-cash revenue recognition without received funds unless explicitly classified as received.</w:t>
            </w:r>
          </w:p>
        </w:tc>
      </w:tr>
      <w:tr>
        <w:trPr>
          <w:cantSplit/>
        </w:trPr>
        <w:tc>
          <w:tcPr>
            <w:tcW w:type="dxa" w:w="3024"/>
            <w:vAlign w:val="center"/>
            <w:shd w:fill="F8FAFC"/>
            <w:tcMar>
              <w:top w:w="70" w:type="dxa"/>
              <w:start w:w="70" w:type="dxa"/>
              <w:bottom w:w="70" w:type="dxa"/>
              <w:end w:w="70" w:type="dxa"/>
            </w:tcMar>
          </w:tcPr>
          <w:p>
            <w:r/>
            <w:r>
              <w:rPr>
                <w:rFonts w:ascii="Aptos" w:hAnsi="Aptos"/>
                <w:b w:val="0"/>
                <w:color w:val="000000"/>
                <w:sz w:val="16"/>
              </w:rPr>
              <w:t>Uang masuk Cash</w:t>
            </w:r>
          </w:p>
        </w:tc>
        <w:tc>
          <w:tcPr>
            <w:tcW w:type="dxa" w:w="6768"/>
            <w:vAlign w:val="center"/>
            <w:shd w:fill="F8FAFC"/>
            <w:tcMar>
              <w:top w:w="70" w:type="dxa"/>
              <w:start w:w="70" w:type="dxa"/>
              <w:bottom w:w="70" w:type="dxa"/>
              <w:end w:w="70" w:type="dxa"/>
            </w:tcMar>
          </w:tcPr>
          <w:p>
            <w:r/>
            <w:r>
              <w:rPr>
                <w:rFonts w:ascii="Aptos" w:hAnsi="Aptos"/>
                <w:b w:val="0"/>
                <w:color w:val="000000"/>
                <w:sz w:val="16"/>
              </w:rPr>
              <w:t>Sum payment_lines where payment_method = CASH.</w:t>
            </w:r>
          </w:p>
        </w:tc>
      </w:tr>
      <w:tr>
        <w:trPr>
          <w:cantSplit/>
        </w:trPr>
        <w:tc>
          <w:tcPr>
            <w:tcW w:type="dxa" w:w="3024"/>
            <w:vAlign w:val="center"/>
            <w:tcMar>
              <w:top w:w="70" w:type="dxa"/>
              <w:start w:w="70" w:type="dxa"/>
              <w:bottom w:w="70" w:type="dxa"/>
              <w:end w:w="70" w:type="dxa"/>
            </w:tcMar>
          </w:tcPr>
          <w:p>
            <w:r/>
            <w:r>
              <w:rPr>
                <w:rFonts w:ascii="Aptos" w:hAnsi="Aptos"/>
                <w:b w:val="0"/>
                <w:color w:val="000000"/>
                <w:sz w:val="16"/>
              </w:rPr>
              <w:t>Uang masuk QRIS</w:t>
            </w:r>
          </w:p>
        </w:tc>
        <w:tc>
          <w:tcPr>
            <w:tcW w:type="dxa" w:w="6768"/>
            <w:vAlign w:val="center"/>
            <w:tcMar>
              <w:top w:w="70" w:type="dxa"/>
              <w:start w:w="70" w:type="dxa"/>
              <w:bottom w:w="70" w:type="dxa"/>
              <w:end w:w="70" w:type="dxa"/>
            </w:tcMar>
          </w:tcPr>
          <w:p>
            <w:r/>
            <w:r>
              <w:rPr>
                <w:rFonts w:ascii="Aptos" w:hAnsi="Aptos"/>
                <w:b w:val="0"/>
                <w:color w:val="000000"/>
                <w:sz w:val="16"/>
              </w:rPr>
              <w:t>Sum payment_lines where payment_method = QRIS.</w:t>
            </w:r>
          </w:p>
        </w:tc>
      </w:tr>
      <w:tr>
        <w:trPr>
          <w:cantSplit/>
        </w:trPr>
        <w:tc>
          <w:tcPr>
            <w:tcW w:type="dxa" w:w="3024"/>
            <w:vAlign w:val="center"/>
            <w:shd w:fill="F8FAFC"/>
            <w:tcMar>
              <w:top w:w="70" w:type="dxa"/>
              <w:start w:w="70" w:type="dxa"/>
              <w:bottom w:w="70" w:type="dxa"/>
              <w:end w:w="70" w:type="dxa"/>
            </w:tcMar>
          </w:tcPr>
          <w:p>
            <w:r/>
            <w:r>
              <w:rPr>
                <w:rFonts w:ascii="Aptos" w:hAnsi="Aptos"/>
                <w:b w:val="0"/>
                <w:color w:val="000000"/>
                <w:sz w:val="16"/>
              </w:rPr>
              <w:t>Keuangan masuk dari Food</w:t>
            </w:r>
          </w:p>
        </w:tc>
        <w:tc>
          <w:tcPr>
            <w:tcW w:type="dxa" w:w="6768"/>
            <w:vAlign w:val="center"/>
            <w:shd w:fill="F8FAFC"/>
            <w:tcMar>
              <w:top w:w="70" w:type="dxa"/>
              <w:start w:w="70" w:type="dxa"/>
              <w:bottom w:w="70" w:type="dxa"/>
              <w:end w:w="70" w:type="dxa"/>
            </w:tcMar>
          </w:tcPr>
          <w:p>
            <w:r/>
            <w:r>
              <w:rPr>
                <w:rFonts w:ascii="Aptos" w:hAnsi="Aptos"/>
                <w:b w:val="0"/>
                <w:color w:val="000000"/>
                <w:sz w:val="16"/>
              </w:rPr>
              <w:t>Sum food quantity × effective menu price.</w:t>
            </w:r>
          </w:p>
        </w:tc>
      </w:tr>
      <w:tr>
        <w:trPr>
          <w:cantSplit/>
        </w:trPr>
        <w:tc>
          <w:tcPr>
            <w:tcW w:type="dxa" w:w="3024"/>
            <w:vAlign w:val="center"/>
            <w:tcMar>
              <w:top w:w="70" w:type="dxa"/>
              <w:start w:w="70" w:type="dxa"/>
              <w:bottom w:w="70" w:type="dxa"/>
              <w:end w:w="70" w:type="dxa"/>
            </w:tcMar>
          </w:tcPr>
          <w:p>
            <w:r/>
            <w:r>
              <w:rPr>
                <w:rFonts w:ascii="Aptos" w:hAnsi="Aptos"/>
                <w:b w:val="0"/>
                <w:color w:val="000000"/>
                <w:sz w:val="16"/>
              </w:rPr>
              <w:t>Keuangan masuk dari Beverage</w:t>
            </w:r>
          </w:p>
        </w:tc>
        <w:tc>
          <w:tcPr>
            <w:tcW w:type="dxa" w:w="6768"/>
            <w:vAlign w:val="center"/>
            <w:tcMar>
              <w:top w:w="70" w:type="dxa"/>
              <w:start w:w="70" w:type="dxa"/>
              <w:bottom w:w="70" w:type="dxa"/>
              <w:end w:w="70" w:type="dxa"/>
            </w:tcMar>
          </w:tcPr>
          <w:p>
            <w:r/>
            <w:r>
              <w:rPr>
                <w:rFonts w:ascii="Aptos" w:hAnsi="Aptos"/>
                <w:b w:val="0"/>
                <w:color w:val="000000"/>
                <w:sz w:val="16"/>
              </w:rPr>
              <w:t>Sum beverage quantity × effective menu price.</w:t>
            </w:r>
          </w:p>
        </w:tc>
      </w:tr>
      <w:tr>
        <w:trPr>
          <w:cantSplit/>
        </w:trPr>
        <w:tc>
          <w:tcPr>
            <w:tcW w:type="dxa" w:w="3024"/>
            <w:vAlign w:val="center"/>
            <w:shd w:fill="F8FAFC"/>
            <w:tcMar>
              <w:top w:w="70" w:type="dxa"/>
              <w:start w:w="70" w:type="dxa"/>
              <w:bottom w:w="70" w:type="dxa"/>
              <w:end w:w="70" w:type="dxa"/>
            </w:tcMar>
          </w:tcPr>
          <w:p>
            <w:r/>
            <w:r>
              <w:rPr>
                <w:rFonts w:ascii="Aptos" w:hAnsi="Aptos"/>
                <w:b w:val="0"/>
                <w:color w:val="000000"/>
                <w:sz w:val="16"/>
              </w:rPr>
              <w:t>Keuangan keluar dari kasir</w:t>
            </w:r>
          </w:p>
        </w:tc>
        <w:tc>
          <w:tcPr>
            <w:tcW w:type="dxa" w:w="6768"/>
            <w:vAlign w:val="center"/>
            <w:shd w:fill="F8FAFC"/>
            <w:tcMar>
              <w:top w:w="70" w:type="dxa"/>
              <w:start w:w="70" w:type="dxa"/>
              <w:bottom w:w="70" w:type="dxa"/>
              <w:end w:w="70" w:type="dxa"/>
            </w:tcMar>
          </w:tcPr>
          <w:p>
            <w:r/>
            <w:r>
              <w:rPr>
                <w:rFonts w:ascii="Aptos" w:hAnsi="Aptos"/>
                <w:b w:val="0"/>
                <w:color w:val="000000"/>
                <w:sz w:val="16"/>
              </w:rPr>
              <w:t>Sum valid cashier_expense_lines paid from Cashier Cash.</w:t>
            </w:r>
          </w:p>
        </w:tc>
      </w:tr>
      <w:tr>
        <w:trPr>
          <w:cantSplit/>
        </w:trPr>
        <w:tc>
          <w:tcPr>
            <w:tcW w:type="dxa" w:w="3024"/>
            <w:vAlign w:val="center"/>
            <w:tcMar>
              <w:top w:w="70" w:type="dxa"/>
              <w:start w:w="70" w:type="dxa"/>
              <w:bottom w:w="70" w:type="dxa"/>
              <w:end w:w="70" w:type="dxa"/>
            </w:tcMar>
          </w:tcPr>
          <w:p>
            <w:r/>
            <w:r>
              <w:rPr>
                <w:rFonts w:ascii="Aptos" w:hAnsi="Aptos"/>
                <w:b w:val="0"/>
                <w:color w:val="000000"/>
                <w:sz w:val="16"/>
              </w:rPr>
              <w:t>Uang masuk ke kas / Housebank</w:t>
            </w:r>
          </w:p>
        </w:tc>
        <w:tc>
          <w:tcPr>
            <w:tcW w:type="dxa" w:w="6768"/>
            <w:vAlign w:val="center"/>
            <w:tcMar>
              <w:top w:w="70" w:type="dxa"/>
              <w:start w:w="70" w:type="dxa"/>
              <w:bottom w:w="70" w:type="dxa"/>
              <w:end w:w="70" w:type="dxa"/>
            </w:tcMar>
          </w:tcPr>
          <w:p>
            <w:r/>
            <w:r>
              <w:rPr>
                <w:rFonts w:ascii="Aptos" w:hAnsi="Aptos"/>
                <w:b w:val="0"/>
                <w:color w:val="000000"/>
                <w:sz w:val="16"/>
              </w:rPr>
              <w:t>External/company funding into Housebank; internal Housebank→Cashier transfer is reported separately, not as revenue.</w:t>
            </w:r>
          </w:p>
        </w:tc>
      </w:tr>
      <w:tr>
        <w:trPr>
          <w:cantSplit/>
        </w:trPr>
        <w:tc>
          <w:tcPr>
            <w:tcW w:type="dxa" w:w="3024"/>
            <w:vAlign w:val="center"/>
            <w:shd w:fill="F8FAFC"/>
            <w:tcMar>
              <w:top w:w="70" w:type="dxa"/>
              <w:start w:w="70" w:type="dxa"/>
              <w:bottom w:w="70" w:type="dxa"/>
              <w:end w:w="70" w:type="dxa"/>
            </w:tcMar>
          </w:tcPr>
          <w:p>
            <w:r/>
            <w:r>
              <w:rPr>
                <w:rFonts w:ascii="Aptos" w:hAnsi="Aptos"/>
                <w:b w:val="0"/>
                <w:color w:val="000000"/>
                <w:sz w:val="16"/>
              </w:rPr>
              <w:t>Keuangan keluar dari kas / Housebank</w:t>
            </w:r>
          </w:p>
        </w:tc>
        <w:tc>
          <w:tcPr>
            <w:tcW w:type="dxa" w:w="6768"/>
            <w:vAlign w:val="center"/>
            <w:shd w:fill="F8FAFC"/>
            <w:tcMar>
              <w:top w:w="70" w:type="dxa"/>
              <w:start w:w="70" w:type="dxa"/>
              <w:bottom w:w="70" w:type="dxa"/>
              <w:end w:w="70" w:type="dxa"/>
            </w:tcMar>
          </w:tcPr>
          <w:p>
            <w:r/>
            <w:r>
              <w:rPr>
                <w:rFonts w:ascii="Aptos" w:hAnsi="Aptos"/>
                <w:b w:val="0"/>
                <w:color w:val="000000"/>
                <w:sz w:val="16"/>
              </w:rPr>
              <w:t>Operational outflow/expense paid from Housebank.</w:t>
            </w:r>
          </w:p>
        </w:tc>
      </w:tr>
    </w:tbl>
    <w:p>
      <w:pPr>
        <w:spacing w:after="20"/>
      </w:pPr>
    </w:p>
    <w:p>
      <w:pPr>
        <w:pStyle w:val="Heading2"/>
      </w:pPr>
      <w:r>
        <w:t>9.2 Reconciliation KPIs</w:t>
      </w:r>
    </w:p>
    <w:p>
      <w:pPr>
        <w:pStyle w:val="ListBullet"/>
        <w:spacing w:after="40"/>
      </w:pPr>
      <w:r>
        <w:t>Sales by category = Food Revenue + Beverage Revenue (+ future other sales if introduced).</w:t>
      </w:r>
    </w:p>
    <w:p>
      <w:pPr>
        <w:pStyle w:val="ListBullet"/>
        <w:spacing w:after="40"/>
      </w:pPr>
      <w:r>
        <w:t>Payment mix = Cash + QRIS + Transfer + Cards + other payment types according to accepted payment records.</w:t>
      </w:r>
    </w:p>
    <w:p>
      <w:pPr>
        <w:pStyle w:val="ListBullet"/>
        <w:spacing w:after="40"/>
      </w:pPr>
      <w:r>
        <w:t>Category sales and payment mix are cross-check dimensions; they must not be added together into one revenue number.</w:t>
      </w:r>
    </w:p>
    <w:p>
      <w:pPr>
        <w:pStyle w:val="ListBullet"/>
        <w:spacing w:after="40"/>
      </w:pPr>
      <w:r>
        <w:t>Cash variance = Actual physical Cash − Expected Cash.</w:t>
      </w:r>
    </w:p>
    <w:p>
      <w:pPr>
        <w:pStyle w:val="ListBullet"/>
        <w:spacing w:after="40"/>
      </w:pPr>
      <w:r>
        <w:t>Housebank ending balance = opening/previous balance + external funding + internal inbound − internal outbound − Housebank expenses.</w:t>
      </w:r>
    </w:p>
    <w:p>
      <w:pPr>
        <w:pStyle w:val="Heading2"/>
      </w:pPr>
      <w:r>
        <w:t>9.3 Recommended Dashboard Components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728"/>
            <w:vAlign w:val="center"/>
            <w:shd w:fill="17365D"/>
            <w:tcMar>
              <w:top w:w="70" w:type="dxa"/>
              <w:start w:w="70" w:type="dxa"/>
              <w:bottom w:w="70" w:type="dxa"/>
              <w:end w:w="70" w:type="dxa"/>
            </w:tcMar>
          </w:tcPr>
          <w:p>
            <w:pPr>
              <w:jc w:val="center"/>
            </w:pPr>
            <w:r/>
            <w:r>
              <w:rPr>
                <w:rFonts w:ascii="Aptos" w:hAnsi="Aptos"/>
                <w:b/>
                <w:color w:val="FFFFFF"/>
                <w:sz w:val="16"/>
              </w:rPr>
              <w:t>Area</w:t>
            </w:r>
          </w:p>
        </w:tc>
        <w:tc>
          <w:tcPr>
            <w:tcW w:type="dxa" w:w="8064"/>
            <w:vAlign w:val="center"/>
            <w:shd w:fill="17365D"/>
            <w:tcMar>
              <w:top w:w="70" w:type="dxa"/>
              <w:start w:w="70" w:type="dxa"/>
              <w:bottom w:w="70" w:type="dxa"/>
              <w:end w:w="70" w:type="dxa"/>
            </w:tcMar>
          </w:tcPr>
          <w:p>
            <w:pPr>
              <w:jc w:val="center"/>
            </w:pPr>
            <w:r/>
            <w:r>
              <w:rPr>
                <w:rFonts w:ascii="Aptos" w:hAnsi="Aptos"/>
                <w:b/>
                <w:color w:val="FFFFFF"/>
                <w:sz w:val="16"/>
              </w:rPr>
              <w:t>Cards / Charts / Details</w:t>
            </w:r>
          </w:p>
        </w:tc>
      </w:tr>
      <w:tr>
        <w:trPr>
          <w:cantSplit/>
        </w:trPr>
        <w:tc>
          <w:tcPr>
            <w:tcW w:type="dxa" w:w="1728"/>
            <w:vAlign w:val="center"/>
            <w:tcMar>
              <w:top w:w="70" w:type="dxa"/>
              <w:start w:w="70" w:type="dxa"/>
              <w:bottom w:w="70" w:type="dxa"/>
              <w:end w:w="70" w:type="dxa"/>
            </w:tcMar>
          </w:tcPr>
          <w:p>
            <w:r/>
            <w:r>
              <w:rPr>
                <w:rFonts w:ascii="Aptos" w:hAnsi="Aptos"/>
                <w:b w:val="0"/>
                <w:color w:val="000000"/>
                <w:sz w:val="16"/>
              </w:rPr>
              <w:t>Executive</w:t>
            </w:r>
          </w:p>
        </w:tc>
        <w:tc>
          <w:tcPr>
            <w:tcW w:type="dxa" w:w="8064"/>
            <w:vAlign w:val="center"/>
            <w:tcMar>
              <w:top w:w="70" w:type="dxa"/>
              <w:start w:w="70" w:type="dxa"/>
              <w:bottom w:w="70" w:type="dxa"/>
              <w:end w:w="70" w:type="dxa"/>
            </w:tcMar>
          </w:tcPr>
          <w:p>
            <w:r/>
            <w:r>
              <w:rPr>
                <w:rFonts w:ascii="Aptos" w:hAnsi="Aptos"/>
                <w:b w:val="0"/>
                <w:color w:val="000000"/>
                <w:sz w:val="16"/>
              </w:rPr>
              <w:t>Total sales, cashier inflow, cashier outflow, net operational cash movement, Housebank balance, data completeness status.</w:t>
            </w:r>
          </w:p>
        </w:tc>
      </w:tr>
      <w:tr>
        <w:trPr>
          <w:cantSplit/>
        </w:trPr>
        <w:tc>
          <w:tcPr>
            <w:tcW w:type="dxa" w:w="1728"/>
            <w:vAlign w:val="center"/>
            <w:shd w:fill="F8FAFC"/>
            <w:tcMar>
              <w:top w:w="70" w:type="dxa"/>
              <w:start w:w="70" w:type="dxa"/>
              <w:bottom w:w="70" w:type="dxa"/>
              <w:end w:w="70" w:type="dxa"/>
            </w:tcMar>
          </w:tcPr>
          <w:p>
            <w:r/>
            <w:r>
              <w:rPr>
                <w:rFonts w:ascii="Aptos" w:hAnsi="Aptos"/>
                <w:b w:val="0"/>
                <w:color w:val="000000"/>
                <w:sz w:val="16"/>
              </w:rPr>
              <w:t>Sales</w:t>
            </w:r>
          </w:p>
        </w:tc>
        <w:tc>
          <w:tcPr>
            <w:tcW w:type="dxa" w:w="8064"/>
            <w:vAlign w:val="center"/>
            <w:shd w:fill="F8FAFC"/>
            <w:tcMar>
              <w:top w:w="70" w:type="dxa"/>
              <w:start w:w="70" w:type="dxa"/>
              <w:bottom w:w="70" w:type="dxa"/>
              <w:end w:w="70" w:type="dxa"/>
            </w:tcMar>
          </w:tcPr>
          <w:p>
            <w:r/>
            <w:r>
              <w:rPr>
                <w:rFonts w:ascii="Aptos" w:hAnsi="Aptos"/>
                <w:b w:val="0"/>
                <w:color w:val="000000"/>
                <w:sz w:val="16"/>
              </w:rPr>
              <w:t>Food vs Beverage revenue, quantity trend, top products, day/week/month trend.</w:t>
            </w:r>
          </w:p>
        </w:tc>
      </w:tr>
      <w:tr>
        <w:trPr>
          <w:cantSplit/>
        </w:trPr>
        <w:tc>
          <w:tcPr>
            <w:tcW w:type="dxa" w:w="1728"/>
            <w:vAlign w:val="center"/>
            <w:tcMar>
              <w:top w:w="70" w:type="dxa"/>
              <w:start w:w="70" w:type="dxa"/>
              <w:bottom w:w="70" w:type="dxa"/>
              <w:end w:w="70" w:type="dxa"/>
            </w:tcMar>
          </w:tcPr>
          <w:p>
            <w:r/>
            <w:r>
              <w:rPr>
                <w:rFonts w:ascii="Aptos" w:hAnsi="Aptos"/>
                <w:b w:val="0"/>
                <w:color w:val="000000"/>
                <w:sz w:val="16"/>
              </w:rPr>
              <w:t>Payments</w:t>
            </w:r>
          </w:p>
        </w:tc>
        <w:tc>
          <w:tcPr>
            <w:tcW w:type="dxa" w:w="8064"/>
            <w:vAlign w:val="center"/>
            <w:tcMar>
              <w:top w:w="70" w:type="dxa"/>
              <w:start w:w="70" w:type="dxa"/>
              <w:bottom w:w="70" w:type="dxa"/>
              <w:end w:w="70" w:type="dxa"/>
            </w:tcMar>
          </w:tcPr>
          <w:p>
            <w:r/>
            <w:r>
              <w:rPr>
                <w:rFonts w:ascii="Aptos" w:hAnsi="Aptos"/>
                <w:b w:val="0"/>
                <w:color w:val="000000"/>
                <w:sz w:val="16"/>
              </w:rPr>
              <w:t>Cash / QRIS / Transfer / Card mix and trend.</w:t>
            </w:r>
          </w:p>
        </w:tc>
      </w:tr>
      <w:tr>
        <w:trPr>
          <w:cantSplit/>
        </w:trPr>
        <w:tc>
          <w:tcPr>
            <w:tcW w:type="dxa" w:w="1728"/>
            <w:vAlign w:val="center"/>
            <w:shd w:fill="F8FAFC"/>
            <w:tcMar>
              <w:top w:w="70" w:type="dxa"/>
              <w:start w:w="70" w:type="dxa"/>
              <w:bottom w:w="70" w:type="dxa"/>
              <w:end w:w="70" w:type="dxa"/>
            </w:tcMar>
          </w:tcPr>
          <w:p>
            <w:r/>
            <w:r>
              <w:rPr>
                <w:rFonts w:ascii="Aptos" w:hAnsi="Aptos"/>
                <w:b w:val="0"/>
                <w:color w:val="000000"/>
                <w:sz w:val="16"/>
              </w:rPr>
              <w:t>Cashier</w:t>
            </w:r>
          </w:p>
        </w:tc>
        <w:tc>
          <w:tcPr>
            <w:tcW w:type="dxa" w:w="8064"/>
            <w:vAlign w:val="center"/>
            <w:shd w:fill="F8FAFC"/>
            <w:tcMar>
              <w:top w:w="70" w:type="dxa"/>
              <w:start w:w="70" w:type="dxa"/>
              <w:bottom w:w="70" w:type="dxa"/>
              <w:end w:w="70" w:type="dxa"/>
            </w:tcMar>
          </w:tcPr>
          <w:p>
            <w:r/>
            <w:r>
              <w:rPr>
                <w:rFonts w:ascii="Aptos" w:hAnsi="Aptos"/>
                <w:b w:val="0"/>
                <w:color w:val="000000"/>
                <w:sz w:val="16"/>
              </w:rPr>
              <w:t>Opening/closing, petty cash, actual cash, expected cash, variance, expense categories.</w:t>
            </w:r>
          </w:p>
        </w:tc>
      </w:tr>
      <w:tr>
        <w:trPr>
          <w:cantSplit/>
        </w:trPr>
        <w:tc>
          <w:tcPr>
            <w:tcW w:type="dxa" w:w="1728"/>
            <w:vAlign w:val="center"/>
            <w:tcMar>
              <w:top w:w="70" w:type="dxa"/>
              <w:start w:w="70" w:type="dxa"/>
              <w:bottom w:w="70" w:type="dxa"/>
              <w:end w:w="70" w:type="dxa"/>
            </w:tcMar>
          </w:tcPr>
          <w:p>
            <w:r/>
            <w:r>
              <w:rPr>
                <w:rFonts w:ascii="Aptos" w:hAnsi="Aptos"/>
                <w:b w:val="0"/>
                <w:color w:val="000000"/>
                <w:sz w:val="16"/>
              </w:rPr>
              <w:t>Housebank</w:t>
            </w:r>
          </w:p>
        </w:tc>
        <w:tc>
          <w:tcPr>
            <w:tcW w:type="dxa" w:w="8064"/>
            <w:vAlign w:val="center"/>
            <w:tcMar>
              <w:top w:w="70" w:type="dxa"/>
              <w:start w:w="70" w:type="dxa"/>
              <w:bottom w:w="70" w:type="dxa"/>
              <w:end w:w="70" w:type="dxa"/>
            </w:tcMar>
          </w:tcPr>
          <w:p>
            <w:r/>
            <w:r>
              <w:rPr>
                <w:rFonts w:ascii="Aptos" w:hAnsi="Aptos"/>
                <w:b w:val="0"/>
                <w:color w:val="000000"/>
                <w:sz w:val="16"/>
              </w:rPr>
              <w:t>Funding received, operational expenses, internal transfers, running balance.</w:t>
            </w:r>
          </w:p>
        </w:tc>
      </w:tr>
      <w:tr>
        <w:trPr>
          <w:cantSplit/>
        </w:trPr>
        <w:tc>
          <w:tcPr>
            <w:tcW w:type="dxa" w:w="1728"/>
            <w:vAlign w:val="center"/>
            <w:shd w:fill="F8FAFC"/>
            <w:tcMar>
              <w:top w:w="70" w:type="dxa"/>
              <w:start w:w="70" w:type="dxa"/>
              <w:bottom w:w="70" w:type="dxa"/>
              <w:end w:w="70" w:type="dxa"/>
            </w:tcMar>
          </w:tcPr>
          <w:p>
            <w:r/>
            <w:r>
              <w:rPr>
                <w:rFonts w:ascii="Aptos" w:hAnsi="Aptos"/>
                <w:b w:val="0"/>
                <w:color w:val="000000"/>
                <w:sz w:val="16"/>
              </w:rPr>
              <w:t>Inventory</w:t>
            </w:r>
          </w:p>
        </w:tc>
        <w:tc>
          <w:tcPr>
            <w:tcW w:type="dxa" w:w="8064"/>
            <w:vAlign w:val="center"/>
            <w:shd w:fill="F8FAFC"/>
            <w:tcMar>
              <w:top w:w="70" w:type="dxa"/>
              <w:start w:w="70" w:type="dxa"/>
              <w:bottom w:w="70" w:type="dxa"/>
              <w:end w:w="70" w:type="dxa"/>
            </w:tcMar>
          </w:tcPr>
          <w:p>
            <w:r/>
            <w:r>
              <w:rPr>
                <w:rFonts w:ascii="Aptos" w:hAnsi="Aptos"/>
                <w:b w:val="0"/>
                <w:color w:val="000000"/>
                <w:sz w:val="16"/>
              </w:rPr>
              <w:t>Stock-opname completion, largest variances, items not counted.</w:t>
            </w:r>
          </w:p>
        </w:tc>
      </w:tr>
      <w:tr>
        <w:trPr>
          <w:cantSplit/>
        </w:trPr>
        <w:tc>
          <w:tcPr>
            <w:tcW w:type="dxa" w:w="1728"/>
            <w:vAlign w:val="center"/>
            <w:tcMar>
              <w:top w:w="70" w:type="dxa"/>
              <w:start w:w="70" w:type="dxa"/>
              <w:bottom w:w="70" w:type="dxa"/>
              <w:end w:w="70" w:type="dxa"/>
            </w:tcMar>
          </w:tcPr>
          <w:p>
            <w:r/>
            <w:r>
              <w:rPr>
                <w:rFonts w:ascii="Aptos" w:hAnsi="Aptos"/>
                <w:b w:val="0"/>
                <w:color w:val="000000"/>
                <w:sz w:val="16"/>
              </w:rPr>
              <w:t>Data Quality</w:t>
            </w:r>
          </w:p>
        </w:tc>
        <w:tc>
          <w:tcPr>
            <w:tcW w:type="dxa" w:w="8064"/>
            <w:vAlign w:val="center"/>
            <w:tcMar>
              <w:top w:w="70" w:type="dxa"/>
              <w:start w:w="70" w:type="dxa"/>
              <w:bottom w:w="70" w:type="dxa"/>
              <w:end w:w="70" w:type="dxa"/>
            </w:tcMar>
          </w:tcPr>
          <w:p>
            <w:r/>
            <w:r>
              <w:rPr>
                <w:rFonts w:ascii="Aptos" w:hAnsi="Aptos"/>
                <w:b w:val="0"/>
                <w:color w:val="000000"/>
                <w:sz w:val="16"/>
              </w:rPr>
              <w:t>Incomplete sources, rejected/invalid submissions, outstanding corrections.</w:t>
            </w:r>
          </w:p>
        </w:tc>
      </w:tr>
    </w:tbl>
    <w:p>
      <w:pPr>
        <w:spacing w:after="20"/>
      </w:pPr>
    </w:p>
    <w:p>
      <w:pPr>
        <w:pStyle w:val="Heading2"/>
      </w:pPr>
      <w:r>
        <w:t>9.4 Example Daily Report Status</w:t>
      </w:r>
    </w:p>
    <w:tbl>
      <w:tblPr>
        <w:tblStyle w:val="TableGrid"/>
        <w:tblW w:type="auto" w:w="0"/>
        <w:tblLook w:firstColumn="1" w:firstRow="1" w:lastColumn="0" w:lastRow="0" w:noHBand="0" w:noVBand="1" w:val="04A0"/>
      </w:tblPr>
      <w:tblGrid>
        <w:gridCol w:w="10080"/>
      </w:tblGrid>
      <w:tr>
        <w:trPr>
          <w:cantSplit/>
        </w:trPr>
        <w:tc>
          <w:tcPr>
            <w:tcW w:type="dxa" w:w="10080"/>
            <w:shd w:fill="FFF2CC"/>
            <w:vAlign w:val="center"/>
            <w:tcMar>
              <w:top w:w="100" w:type="dxa"/>
              <w:start w:w="120" w:type="dxa"/>
              <w:bottom w:w="100" w:type="dxa"/>
              <w:end w:w="120" w:type="dxa"/>
            </w:tcMar>
          </w:tcPr>
          <w:p>
            <w:r/>
            <w:r>
              <w:rPr>
                <w:rFonts w:ascii="Aptos" w:hAnsi="Aptos"/>
                <w:b w:val="0"/>
                <w:color w:val="000000"/>
                <w:sz w:val="17"/>
              </w:rPr>
              <w:t>STATUS DATA</w:t>
              <w:br/>
              <w:t>Cashier: ✅ Lengkap</w:t>
              <w:br/>
              <w:t>Kitchen: ✅ Lengkap</w:t>
              <w:br/>
              <w:t>Beverage: ❌ Belum masuk</w:t>
              <w:br/>
              <w:br/>
              <w:t>STATUS REPORT: ⚠ BELUM LENGKAP</w:t>
              <w:br/>
              <w:t>The report is still sent at the configured time and may later be regenerated as a revision.</w:t>
            </w:r>
          </w:p>
        </w:tc>
      </w:tr>
    </w:tbl>
    <w:p>
      <w:pPr>
        <w:spacing w:after="20"/>
      </w:pPr>
    </w:p>
    <w:p>
      <w:pPr>
        <w:pStyle w:val="Heading1"/>
      </w:pPr>
      <w:r>
        <w:t>10. Non-Functional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1584"/>
            <w:vAlign w:val="center"/>
            <w:shd w:fill="17365D"/>
            <w:tcMar>
              <w:top w:w="70" w:type="dxa"/>
              <w:start w:w="70" w:type="dxa"/>
              <w:bottom w:w="70" w:type="dxa"/>
              <w:end w:w="70" w:type="dxa"/>
            </w:tcMar>
          </w:tcPr>
          <w:p>
            <w:pPr>
              <w:jc w:val="center"/>
            </w:pPr>
            <w:r/>
            <w:r>
              <w:rPr>
                <w:rFonts w:ascii="Aptos" w:hAnsi="Aptos"/>
                <w:b/>
                <w:color w:val="FFFFFF"/>
                <w:sz w:val="16"/>
              </w:rPr>
              <w:t>Category</w:t>
            </w:r>
          </w:p>
        </w:tc>
        <w:tc>
          <w:tcPr>
            <w:tcW w:type="dxa" w:w="6768"/>
            <w:vAlign w:val="center"/>
            <w:shd w:fill="17365D"/>
            <w:tcMar>
              <w:top w:w="70" w:type="dxa"/>
              <w:start w:w="70" w:type="dxa"/>
              <w:bottom w:w="70" w:type="dxa"/>
              <w:end w:w="70" w:type="dxa"/>
            </w:tcMar>
          </w:tcPr>
          <w:p>
            <w:pPr>
              <w:jc w:val="center"/>
            </w:pPr>
            <w:r/>
            <w:r>
              <w:rPr>
                <w:rFonts w:ascii="Aptos" w:hAnsi="Aptos"/>
                <w:b/>
                <w:color w:val="FFFFFF"/>
                <w:sz w:val="16"/>
              </w:rPr>
              <w:t>Requirement</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NFR-SEC-01</w:t>
            </w:r>
          </w:p>
        </w:tc>
        <w:tc>
          <w:tcPr>
            <w:tcW w:type="dxa" w:w="1584"/>
            <w:vAlign w:val="center"/>
            <w:tcMar>
              <w:top w:w="70" w:type="dxa"/>
              <w:start w:w="70" w:type="dxa"/>
              <w:bottom w:w="70" w:type="dxa"/>
              <w:end w:w="70" w:type="dxa"/>
            </w:tcMar>
          </w:tcPr>
          <w:p>
            <w:r/>
            <w:r>
              <w:rPr>
                <w:rFonts w:ascii="Aptos" w:hAnsi="Aptos"/>
                <w:b w:val="0"/>
                <w:color w:val="000000"/>
                <w:sz w:val="16"/>
              </w:rPr>
              <w:t>Security</w:t>
            </w:r>
          </w:p>
        </w:tc>
        <w:tc>
          <w:tcPr>
            <w:tcW w:type="dxa" w:w="6768"/>
            <w:vAlign w:val="center"/>
            <w:tcMar>
              <w:top w:w="70" w:type="dxa"/>
              <w:start w:w="70" w:type="dxa"/>
              <w:bottom w:w="70" w:type="dxa"/>
              <w:end w:w="70" w:type="dxa"/>
            </w:tcMar>
          </w:tcPr>
          <w:p>
            <w:r/>
            <w:r>
              <w:rPr>
                <w:rFonts w:ascii="Aptos" w:hAnsi="Aptos"/>
                <w:b w:val="0"/>
                <w:color w:val="000000"/>
                <w:sz w:val="16"/>
              </w:rPr>
              <w:t>All protected actions require authenticated identity and server-side authorization.</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NFR-SEC-02</w:t>
            </w:r>
          </w:p>
        </w:tc>
        <w:tc>
          <w:tcPr>
            <w:tcW w:type="dxa" w:w="1584"/>
            <w:vAlign w:val="center"/>
            <w:shd w:fill="F8FAFC"/>
            <w:tcMar>
              <w:top w:w="70" w:type="dxa"/>
              <w:start w:w="70" w:type="dxa"/>
              <w:bottom w:w="70" w:type="dxa"/>
              <w:end w:w="70" w:type="dxa"/>
            </w:tcMar>
          </w:tcPr>
          <w:p>
            <w:r/>
            <w:r>
              <w:rPr>
                <w:rFonts w:ascii="Aptos" w:hAnsi="Aptos"/>
                <w:b w:val="0"/>
                <w:color w:val="000000"/>
                <w:sz w:val="16"/>
              </w:rPr>
              <w:t>Security</w:t>
            </w:r>
          </w:p>
        </w:tc>
        <w:tc>
          <w:tcPr>
            <w:tcW w:type="dxa" w:w="6768"/>
            <w:vAlign w:val="center"/>
            <w:shd w:fill="F8FAFC"/>
            <w:tcMar>
              <w:top w:w="70" w:type="dxa"/>
              <w:start w:w="70" w:type="dxa"/>
              <w:bottom w:w="70" w:type="dxa"/>
              <w:end w:w="70" w:type="dxa"/>
            </w:tcMar>
          </w:tcPr>
          <w:p>
            <w:r/>
            <w:r>
              <w:rPr>
                <w:rFonts w:ascii="Aptos" w:hAnsi="Aptos"/>
                <w:b w:val="0"/>
                <w:color w:val="000000"/>
                <w:sz w:val="16"/>
              </w:rPr>
              <w:t>Secrets such as DB credentials and Google integration credentials must be stored as deployment secrets/environment variables, not in source code.</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NFR-DATA-01</w:t>
            </w:r>
          </w:p>
        </w:tc>
        <w:tc>
          <w:tcPr>
            <w:tcW w:type="dxa" w:w="1584"/>
            <w:vAlign w:val="center"/>
            <w:tcMar>
              <w:top w:w="70" w:type="dxa"/>
              <w:start w:w="70" w:type="dxa"/>
              <w:bottom w:w="70" w:type="dxa"/>
              <w:end w:w="70" w:type="dxa"/>
            </w:tcMar>
          </w:tcPr>
          <w:p>
            <w:r/>
            <w:r>
              <w:rPr>
                <w:rFonts w:ascii="Aptos" w:hAnsi="Aptos"/>
                <w:b w:val="0"/>
                <w:color w:val="000000"/>
                <w:sz w:val="16"/>
              </w:rPr>
              <w:t>Data Integrity</w:t>
            </w:r>
          </w:p>
        </w:tc>
        <w:tc>
          <w:tcPr>
            <w:tcW w:type="dxa" w:w="6768"/>
            <w:vAlign w:val="center"/>
            <w:tcMar>
              <w:top w:w="70" w:type="dxa"/>
              <w:start w:w="70" w:type="dxa"/>
              <w:bottom w:w="70" w:type="dxa"/>
              <w:end w:w="70" w:type="dxa"/>
            </w:tcMar>
          </w:tcPr>
          <w:p>
            <w:r/>
            <w:r>
              <w:rPr>
                <w:rFonts w:ascii="Aptos" w:hAnsi="Aptos"/>
                <w:b w:val="0"/>
                <w:color w:val="000000"/>
                <w:sz w:val="16"/>
              </w:rPr>
              <w:t>Monetary values use fixed-precision numeric type; financial totals are derived from source transactions.</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NFR-DATA-02</w:t>
            </w:r>
          </w:p>
        </w:tc>
        <w:tc>
          <w:tcPr>
            <w:tcW w:type="dxa" w:w="1584"/>
            <w:vAlign w:val="center"/>
            <w:shd w:fill="F8FAFC"/>
            <w:tcMar>
              <w:top w:w="70" w:type="dxa"/>
              <w:start w:w="70" w:type="dxa"/>
              <w:bottom w:w="70" w:type="dxa"/>
              <w:end w:w="70" w:type="dxa"/>
            </w:tcMar>
          </w:tcPr>
          <w:p>
            <w:r/>
            <w:r>
              <w:rPr>
                <w:rFonts w:ascii="Aptos" w:hAnsi="Aptos"/>
                <w:b w:val="0"/>
                <w:color w:val="000000"/>
                <w:sz w:val="16"/>
              </w:rPr>
              <w:t>Auditability</w:t>
            </w:r>
          </w:p>
        </w:tc>
        <w:tc>
          <w:tcPr>
            <w:tcW w:type="dxa" w:w="6768"/>
            <w:vAlign w:val="center"/>
            <w:shd w:fill="F8FAFC"/>
            <w:tcMar>
              <w:top w:w="70" w:type="dxa"/>
              <w:start w:w="70" w:type="dxa"/>
              <w:bottom w:w="70" w:type="dxa"/>
              <w:end w:w="70" w:type="dxa"/>
            </w:tcMar>
          </w:tcPr>
          <w:p>
            <w:r/>
            <w:r>
              <w:rPr>
                <w:rFonts w:ascii="Aptos" w:hAnsi="Aptos"/>
                <w:b w:val="0"/>
                <w:color w:val="000000"/>
                <w:sz w:val="16"/>
              </w:rPr>
              <w:t>Original source, correction, report-run, and audit history must remain traceable.</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NFR-PERF-01</w:t>
            </w:r>
          </w:p>
        </w:tc>
        <w:tc>
          <w:tcPr>
            <w:tcW w:type="dxa" w:w="1584"/>
            <w:vAlign w:val="center"/>
            <w:tcMar>
              <w:top w:w="70" w:type="dxa"/>
              <w:start w:w="70" w:type="dxa"/>
              <w:bottom w:w="70" w:type="dxa"/>
              <w:end w:w="70" w:type="dxa"/>
            </w:tcMar>
          </w:tcPr>
          <w:p>
            <w:r/>
            <w:r>
              <w:rPr>
                <w:rFonts w:ascii="Aptos" w:hAnsi="Aptos"/>
                <w:b w:val="0"/>
                <w:color w:val="000000"/>
                <w:sz w:val="16"/>
              </w:rPr>
              <w:t>Performance</w:t>
            </w:r>
          </w:p>
        </w:tc>
        <w:tc>
          <w:tcPr>
            <w:tcW w:type="dxa" w:w="6768"/>
            <w:vAlign w:val="center"/>
            <w:tcMar>
              <w:top w:w="70" w:type="dxa"/>
              <w:start w:w="70" w:type="dxa"/>
              <w:bottom w:w="70" w:type="dxa"/>
              <w:end w:w="70" w:type="dxa"/>
            </w:tcMar>
          </w:tcPr>
          <w:p>
            <w:r/>
            <w:r>
              <w:rPr>
                <w:rFonts w:ascii="Aptos" w:hAnsi="Aptos"/>
                <w:b w:val="0"/>
                <w:color w:val="000000"/>
                <w:sz w:val="16"/>
              </w:rPr>
              <w:t>Typical dashboard/detail pages should return useful data within approximately 3 seconds under normal cafe-scale load after database wake-up.</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NFR-PERF-02</w:t>
            </w:r>
          </w:p>
        </w:tc>
        <w:tc>
          <w:tcPr>
            <w:tcW w:type="dxa" w:w="1584"/>
            <w:vAlign w:val="center"/>
            <w:shd w:fill="F8FAFC"/>
            <w:tcMar>
              <w:top w:w="70" w:type="dxa"/>
              <w:start w:w="70" w:type="dxa"/>
              <w:bottom w:w="70" w:type="dxa"/>
              <w:end w:w="70" w:type="dxa"/>
            </w:tcMar>
          </w:tcPr>
          <w:p>
            <w:r/>
            <w:r>
              <w:rPr>
                <w:rFonts w:ascii="Aptos" w:hAnsi="Aptos"/>
                <w:b w:val="0"/>
                <w:color w:val="000000"/>
                <w:sz w:val="16"/>
              </w:rPr>
              <w:t>Performance</w:t>
            </w:r>
          </w:p>
        </w:tc>
        <w:tc>
          <w:tcPr>
            <w:tcW w:type="dxa" w:w="6768"/>
            <w:vAlign w:val="center"/>
            <w:shd w:fill="F8FAFC"/>
            <w:tcMar>
              <w:top w:w="70" w:type="dxa"/>
              <w:start w:w="70" w:type="dxa"/>
              <w:bottom w:w="70" w:type="dxa"/>
              <w:end w:w="70" w:type="dxa"/>
            </w:tcMar>
          </w:tcPr>
          <w:p>
            <w:r/>
            <w:r>
              <w:rPr>
                <w:rFonts w:ascii="Aptos" w:hAnsi="Aptos"/>
                <w:b w:val="0"/>
                <w:color w:val="000000"/>
                <w:sz w:val="16"/>
              </w:rPr>
              <w:t>Long-period analytics may use precomputed daily aggregates/caching to avoid repeated scans of raw submissions.</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NFR-AVL-01</w:t>
            </w:r>
          </w:p>
        </w:tc>
        <w:tc>
          <w:tcPr>
            <w:tcW w:type="dxa" w:w="1584"/>
            <w:vAlign w:val="center"/>
            <w:tcMar>
              <w:top w:w="70" w:type="dxa"/>
              <w:start w:w="70" w:type="dxa"/>
              <w:bottom w:w="70" w:type="dxa"/>
              <w:end w:w="70" w:type="dxa"/>
            </w:tcMar>
          </w:tcPr>
          <w:p>
            <w:r/>
            <w:r>
              <w:rPr>
                <w:rFonts w:ascii="Aptos" w:hAnsi="Aptos"/>
                <w:b w:val="0"/>
                <w:color w:val="000000"/>
                <w:sz w:val="16"/>
              </w:rPr>
              <w:t>Availability</w:t>
            </w:r>
          </w:p>
        </w:tc>
        <w:tc>
          <w:tcPr>
            <w:tcW w:type="dxa" w:w="6768"/>
            <w:vAlign w:val="center"/>
            <w:tcMar>
              <w:top w:w="70" w:type="dxa"/>
              <w:start w:w="70" w:type="dxa"/>
              <w:bottom w:w="70" w:type="dxa"/>
              <w:end w:w="70" w:type="dxa"/>
            </w:tcMar>
          </w:tcPr>
          <w:p>
            <w:r/>
            <w:r>
              <w:rPr>
                <w:rFonts w:ascii="Aptos" w:hAnsi="Aptos"/>
                <w:b w:val="0"/>
                <w:color w:val="000000"/>
                <w:sz w:val="16"/>
              </w:rPr>
              <w:t>MVP is designed for small-business internal use; brief cold starts are acceptable, but data loss is not.</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NFR-BKP-01</w:t>
            </w:r>
          </w:p>
        </w:tc>
        <w:tc>
          <w:tcPr>
            <w:tcW w:type="dxa" w:w="1584"/>
            <w:vAlign w:val="center"/>
            <w:shd w:fill="F8FAFC"/>
            <w:tcMar>
              <w:top w:w="70" w:type="dxa"/>
              <w:start w:w="70" w:type="dxa"/>
              <w:bottom w:w="70" w:type="dxa"/>
              <w:end w:w="70" w:type="dxa"/>
            </w:tcMar>
          </w:tcPr>
          <w:p>
            <w:r/>
            <w:r>
              <w:rPr>
                <w:rFonts w:ascii="Aptos" w:hAnsi="Aptos"/>
                <w:b w:val="0"/>
                <w:color w:val="000000"/>
                <w:sz w:val="16"/>
              </w:rPr>
              <w:t>Backup</w:t>
            </w:r>
          </w:p>
        </w:tc>
        <w:tc>
          <w:tcPr>
            <w:tcW w:type="dxa" w:w="6768"/>
            <w:vAlign w:val="center"/>
            <w:shd w:fill="F8FAFC"/>
            <w:tcMar>
              <w:top w:w="70" w:type="dxa"/>
              <w:start w:w="70" w:type="dxa"/>
              <w:bottom w:w="70" w:type="dxa"/>
              <w:end w:w="70" w:type="dxa"/>
            </w:tcMar>
          </w:tcPr>
          <w:p>
            <w:r/>
            <w:r>
              <w:rPr>
                <w:rFonts w:ascii="Aptos" w:hAnsi="Aptos"/>
                <w:b w:val="0"/>
                <w:color w:val="000000"/>
                <w:sz w:val="16"/>
              </w:rPr>
              <w:t>Automated external database backup shall run at least daily; manual backup shall be available before major migrations.</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NFR-BKP-02</w:t>
            </w:r>
          </w:p>
        </w:tc>
        <w:tc>
          <w:tcPr>
            <w:tcW w:type="dxa" w:w="1584"/>
            <w:vAlign w:val="center"/>
            <w:tcMar>
              <w:top w:w="70" w:type="dxa"/>
              <w:start w:w="70" w:type="dxa"/>
              <w:bottom w:w="70" w:type="dxa"/>
              <w:end w:w="70" w:type="dxa"/>
            </w:tcMar>
          </w:tcPr>
          <w:p>
            <w:r/>
            <w:r>
              <w:rPr>
                <w:rFonts w:ascii="Aptos" w:hAnsi="Aptos"/>
                <w:b w:val="0"/>
                <w:color w:val="000000"/>
                <w:sz w:val="16"/>
              </w:rPr>
              <w:t>Recovery</w:t>
            </w:r>
          </w:p>
        </w:tc>
        <w:tc>
          <w:tcPr>
            <w:tcW w:type="dxa" w:w="6768"/>
            <w:vAlign w:val="center"/>
            <w:tcMar>
              <w:top w:w="70" w:type="dxa"/>
              <w:start w:w="70" w:type="dxa"/>
              <w:bottom w:w="70" w:type="dxa"/>
              <w:end w:w="70" w:type="dxa"/>
            </w:tcMar>
          </w:tcPr>
          <w:p>
            <w:r/>
            <w:r>
              <w:rPr>
                <w:rFonts w:ascii="Aptos" w:hAnsi="Aptos"/>
                <w:b w:val="0"/>
                <w:color w:val="000000"/>
                <w:sz w:val="16"/>
              </w:rPr>
              <w:t>MVP target RPO ≤ 24 hours for application-native data, with Google Sheets serving as additional raw-data recovery source for form submissions.</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NFR-BKP-03</w:t>
            </w:r>
          </w:p>
        </w:tc>
        <w:tc>
          <w:tcPr>
            <w:tcW w:type="dxa" w:w="1584"/>
            <w:vAlign w:val="center"/>
            <w:shd w:fill="F8FAFC"/>
            <w:tcMar>
              <w:top w:w="70" w:type="dxa"/>
              <w:start w:w="70" w:type="dxa"/>
              <w:bottom w:w="70" w:type="dxa"/>
              <w:end w:w="70" w:type="dxa"/>
            </w:tcMar>
          </w:tcPr>
          <w:p>
            <w:r/>
            <w:r>
              <w:rPr>
                <w:rFonts w:ascii="Aptos" w:hAnsi="Aptos"/>
                <w:b w:val="0"/>
                <w:color w:val="000000"/>
                <w:sz w:val="16"/>
              </w:rPr>
              <w:t>Recovery</w:t>
            </w:r>
          </w:p>
        </w:tc>
        <w:tc>
          <w:tcPr>
            <w:tcW w:type="dxa" w:w="6768"/>
            <w:vAlign w:val="center"/>
            <w:shd w:fill="F8FAFC"/>
            <w:tcMar>
              <w:top w:w="70" w:type="dxa"/>
              <w:start w:w="70" w:type="dxa"/>
              <w:bottom w:w="70" w:type="dxa"/>
              <w:end w:w="70" w:type="dxa"/>
            </w:tcMar>
          </w:tcPr>
          <w:p>
            <w:r/>
            <w:r>
              <w:rPr>
                <w:rFonts w:ascii="Aptos" w:hAnsi="Aptos"/>
                <w:b w:val="0"/>
                <w:color w:val="000000"/>
                <w:sz w:val="16"/>
              </w:rPr>
              <w:t>MVP target RTO is best-effort ≤ 4 hours to restore a PostgreSQL backup to a replacement provider and reconfigure the application.</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NFR-PORT-01</w:t>
            </w:r>
          </w:p>
        </w:tc>
        <w:tc>
          <w:tcPr>
            <w:tcW w:type="dxa" w:w="1584"/>
            <w:vAlign w:val="center"/>
            <w:tcMar>
              <w:top w:w="70" w:type="dxa"/>
              <w:start w:w="70" w:type="dxa"/>
              <w:bottom w:w="70" w:type="dxa"/>
              <w:end w:w="70" w:type="dxa"/>
            </w:tcMar>
          </w:tcPr>
          <w:p>
            <w:r/>
            <w:r>
              <w:rPr>
                <w:rFonts w:ascii="Aptos" w:hAnsi="Aptos"/>
                <w:b w:val="0"/>
                <w:color w:val="000000"/>
                <w:sz w:val="16"/>
              </w:rPr>
              <w:t>Portability</w:t>
            </w:r>
          </w:p>
        </w:tc>
        <w:tc>
          <w:tcPr>
            <w:tcW w:type="dxa" w:w="6768"/>
            <w:vAlign w:val="center"/>
            <w:tcMar>
              <w:top w:w="70" w:type="dxa"/>
              <w:start w:w="70" w:type="dxa"/>
              <w:bottom w:w="70" w:type="dxa"/>
              <w:end w:w="70" w:type="dxa"/>
            </w:tcMar>
          </w:tcPr>
          <w:p>
            <w:r/>
            <w:r>
              <w:rPr>
                <w:rFonts w:ascii="Aptos" w:hAnsi="Aptos"/>
                <w:b w:val="0"/>
                <w:color w:val="000000"/>
                <w:sz w:val="16"/>
              </w:rPr>
              <w:t>Core data model and SQL shall be PostgreSQL-standard and avoid essential dependence on a single DB provider.</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NFR-TIME-01</w:t>
            </w:r>
          </w:p>
        </w:tc>
        <w:tc>
          <w:tcPr>
            <w:tcW w:type="dxa" w:w="1584"/>
            <w:vAlign w:val="center"/>
            <w:shd w:fill="F8FAFC"/>
            <w:tcMar>
              <w:top w:w="70" w:type="dxa"/>
              <w:start w:w="70" w:type="dxa"/>
              <w:bottom w:w="70" w:type="dxa"/>
              <w:end w:w="70" w:type="dxa"/>
            </w:tcMar>
          </w:tcPr>
          <w:p>
            <w:r/>
            <w:r>
              <w:rPr>
                <w:rFonts w:ascii="Aptos" w:hAnsi="Aptos"/>
                <w:b w:val="0"/>
                <w:color w:val="000000"/>
                <w:sz w:val="16"/>
              </w:rPr>
              <w:t>Timezone</w:t>
            </w:r>
          </w:p>
        </w:tc>
        <w:tc>
          <w:tcPr>
            <w:tcW w:type="dxa" w:w="6768"/>
            <w:vAlign w:val="center"/>
            <w:shd w:fill="F8FAFC"/>
            <w:tcMar>
              <w:top w:w="70" w:type="dxa"/>
              <w:start w:w="70" w:type="dxa"/>
              <w:bottom w:w="70" w:type="dxa"/>
              <w:end w:w="70" w:type="dxa"/>
            </w:tcMar>
          </w:tcPr>
          <w:p>
            <w:r/>
            <w:r>
              <w:rPr>
                <w:rFonts w:ascii="Aptos" w:hAnsi="Aptos"/>
                <w:b w:val="0"/>
                <w:color w:val="000000"/>
                <w:sz w:val="16"/>
              </w:rPr>
              <w:t>All business scheduling and UI business dates use Asia/Jakarta unless explicitly displayed otherwise.</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NFR-EML-01</w:t>
            </w:r>
          </w:p>
        </w:tc>
        <w:tc>
          <w:tcPr>
            <w:tcW w:type="dxa" w:w="1584"/>
            <w:vAlign w:val="center"/>
            <w:tcMar>
              <w:top w:w="70" w:type="dxa"/>
              <w:start w:w="70" w:type="dxa"/>
              <w:bottom w:w="70" w:type="dxa"/>
              <w:end w:w="70" w:type="dxa"/>
            </w:tcMar>
          </w:tcPr>
          <w:p>
            <w:r/>
            <w:r>
              <w:rPr>
                <w:rFonts w:ascii="Aptos" w:hAnsi="Aptos"/>
                <w:b w:val="0"/>
                <w:color w:val="000000"/>
                <w:sz w:val="16"/>
              </w:rPr>
              <w:t>Scheduling</w:t>
            </w:r>
          </w:p>
        </w:tc>
        <w:tc>
          <w:tcPr>
            <w:tcW w:type="dxa" w:w="6768"/>
            <w:vAlign w:val="center"/>
            <w:tcMar>
              <w:top w:w="70" w:type="dxa"/>
              <w:start w:w="70" w:type="dxa"/>
              <w:bottom w:w="70" w:type="dxa"/>
              <w:end w:w="70" w:type="dxa"/>
            </w:tcMar>
          </w:tcPr>
          <w:p>
            <w:r/>
            <w:r>
              <w:rPr>
                <w:rFonts w:ascii="Aptos" w:hAnsi="Aptos"/>
                <w:b w:val="0"/>
                <w:color w:val="000000"/>
                <w:sz w:val="16"/>
              </w:rPr>
              <w:t>Configurable report-time implementation may have a small tolerance when using free-tier scheduling; intended tolerance should be documented in production setup.</w:t>
            </w:r>
          </w:p>
        </w:tc>
      </w:tr>
      <w:tr>
        <w:trPr>
          <w:cantSplit/>
        </w:trPr>
        <w:tc>
          <w:tcPr>
            <w:tcW w:type="dxa" w:w="1440"/>
            <w:vAlign w:val="center"/>
            <w:shd w:fill="F8FAFC"/>
            <w:tcMar>
              <w:top w:w="70" w:type="dxa"/>
              <w:start w:w="70" w:type="dxa"/>
              <w:bottom w:w="70" w:type="dxa"/>
              <w:end w:w="70" w:type="dxa"/>
            </w:tcMar>
          </w:tcPr>
          <w:p>
            <w:r/>
            <w:r>
              <w:rPr>
                <w:rFonts w:ascii="Aptos" w:hAnsi="Aptos"/>
                <w:b w:val="0"/>
                <w:color w:val="000000"/>
                <w:sz w:val="16"/>
              </w:rPr>
              <w:t>NFR-UX-01</w:t>
            </w:r>
          </w:p>
        </w:tc>
        <w:tc>
          <w:tcPr>
            <w:tcW w:type="dxa" w:w="1584"/>
            <w:vAlign w:val="center"/>
            <w:shd w:fill="F8FAFC"/>
            <w:tcMar>
              <w:top w:w="70" w:type="dxa"/>
              <w:start w:w="70" w:type="dxa"/>
              <w:bottom w:w="70" w:type="dxa"/>
              <w:end w:w="70" w:type="dxa"/>
            </w:tcMar>
          </w:tcPr>
          <w:p>
            <w:r/>
            <w:r>
              <w:rPr>
                <w:rFonts w:ascii="Aptos" w:hAnsi="Aptos"/>
                <w:b w:val="0"/>
                <w:color w:val="000000"/>
                <w:sz w:val="16"/>
              </w:rPr>
              <w:t>Usability</w:t>
            </w:r>
          </w:p>
        </w:tc>
        <w:tc>
          <w:tcPr>
            <w:tcW w:type="dxa" w:w="6768"/>
            <w:vAlign w:val="center"/>
            <w:shd w:fill="F8FAFC"/>
            <w:tcMar>
              <w:top w:w="70" w:type="dxa"/>
              <w:start w:w="70" w:type="dxa"/>
              <w:bottom w:w="70" w:type="dxa"/>
              <w:end w:w="70" w:type="dxa"/>
            </w:tcMar>
          </w:tcPr>
          <w:p>
            <w:r/>
            <w:r>
              <w:rPr>
                <w:rFonts w:ascii="Aptos" w:hAnsi="Aptos"/>
                <w:b w:val="0"/>
                <w:color w:val="000000"/>
                <w:sz w:val="16"/>
              </w:rPr>
              <w:t>Primary dashboard must be usable on desktop and mobile web; detail tables may provide horizontal scrolling on small screens.</w:t>
            </w:r>
          </w:p>
        </w:tc>
      </w:tr>
      <w:tr>
        <w:trPr>
          <w:cantSplit/>
        </w:trPr>
        <w:tc>
          <w:tcPr>
            <w:tcW w:type="dxa" w:w="1440"/>
            <w:vAlign w:val="center"/>
            <w:tcMar>
              <w:top w:w="70" w:type="dxa"/>
              <w:start w:w="70" w:type="dxa"/>
              <w:bottom w:w="70" w:type="dxa"/>
              <w:end w:w="70" w:type="dxa"/>
            </w:tcMar>
          </w:tcPr>
          <w:p>
            <w:r/>
            <w:r>
              <w:rPr>
                <w:rFonts w:ascii="Aptos" w:hAnsi="Aptos"/>
                <w:b w:val="0"/>
                <w:color w:val="000000"/>
                <w:sz w:val="16"/>
              </w:rPr>
              <w:t>NFR-LOG-01</w:t>
            </w:r>
          </w:p>
        </w:tc>
        <w:tc>
          <w:tcPr>
            <w:tcW w:type="dxa" w:w="1584"/>
            <w:vAlign w:val="center"/>
            <w:tcMar>
              <w:top w:w="70" w:type="dxa"/>
              <w:start w:w="70" w:type="dxa"/>
              <w:bottom w:w="70" w:type="dxa"/>
              <w:end w:w="70" w:type="dxa"/>
            </w:tcMar>
          </w:tcPr>
          <w:p>
            <w:r/>
            <w:r>
              <w:rPr>
                <w:rFonts w:ascii="Aptos" w:hAnsi="Aptos"/>
                <w:b w:val="0"/>
                <w:color w:val="000000"/>
                <w:sz w:val="16"/>
              </w:rPr>
              <w:t>Observability</w:t>
            </w:r>
          </w:p>
        </w:tc>
        <w:tc>
          <w:tcPr>
            <w:tcW w:type="dxa" w:w="6768"/>
            <w:vAlign w:val="center"/>
            <w:tcMar>
              <w:top w:w="70" w:type="dxa"/>
              <w:start w:w="70" w:type="dxa"/>
              <w:bottom w:w="70" w:type="dxa"/>
              <w:end w:w="70" w:type="dxa"/>
            </w:tcMar>
          </w:tcPr>
          <w:p>
            <w:r/>
            <w:r>
              <w:rPr>
                <w:rFonts w:ascii="Aptos" w:hAnsi="Aptos"/>
                <w:b w:val="0"/>
                <w:color w:val="000000"/>
                <w:sz w:val="16"/>
              </w:rPr>
              <w:t>Integration failures, scheduled-report failures, and unexpected server errors must be logged with enough context for troubleshooting.</w:t>
            </w:r>
          </w:p>
        </w:tc>
      </w:tr>
    </w:tbl>
    <w:p>
      <w:pPr>
        <w:spacing w:after="20"/>
      </w:pPr>
    </w:p>
    <w:p>
      <w:pPr>
        <w:pStyle w:val="Heading1"/>
      </w:pPr>
      <w:r>
        <w:t>11. Deployment, Backup, and Operations</w:t>
      </w:r>
    </w:p>
    <w:p>
      <w:pPr>
        <w:pStyle w:val="Heading2"/>
      </w:pPr>
      <w:r>
        <w:t>11.1 Deployment Baseline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17365D"/>
            <w:tcMar>
              <w:top w:w="70" w:type="dxa"/>
              <w:start w:w="70" w:type="dxa"/>
              <w:bottom w:w="70" w:type="dxa"/>
              <w:end w:w="70" w:type="dxa"/>
            </w:tcMar>
          </w:tcPr>
          <w:p>
            <w:pPr>
              <w:jc w:val="center"/>
            </w:pPr>
            <w:r/>
            <w:r>
              <w:rPr>
                <w:rFonts w:ascii="Aptos" w:hAnsi="Aptos"/>
                <w:b/>
                <w:color w:val="FFFFFF"/>
                <w:sz w:val="16"/>
              </w:rPr>
              <w:t>Layer</w:t>
            </w:r>
          </w:p>
        </w:tc>
        <w:tc>
          <w:tcPr>
            <w:tcW w:type="dxa" w:w="2880"/>
            <w:vAlign w:val="center"/>
            <w:shd w:fill="17365D"/>
            <w:tcMar>
              <w:top w:w="70" w:type="dxa"/>
              <w:start w:w="70" w:type="dxa"/>
              <w:bottom w:w="70" w:type="dxa"/>
              <w:end w:w="70" w:type="dxa"/>
            </w:tcMar>
          </w:tcPr>
          <w:p>
            <w:pPr>
              <w:jc w:val="center"/>
            </w:pPr>
            <w:r/>
            <w:r>
              <w:rPr>
                <w:rFonts w:ascii="Aptos" w:hAnsi="Aptos"/>
                <w:b/>
                <w:color w:val="FFFFFF"/>
                <w:sz w:val="16"/>
              </w:rPr>
              <w:t>Baseline Choice</w:t>
            </w:r>
          </w:p>
        </w:tc>
        <w:tc>
          <w:tcPr>
            <w:tcW w:type="dxa" w:w="5184"/>
            <w:vAlign w:val="center"/>
            <w:shd w:fill="17365D"/>
            <w:tcMar>
              <w:top w:w="70" w:type="dxa"/>
              <w:start w:w="70" w:type="dxa"/>
              <w:bottom w:w="70" w:type="dxa"/>
              <w:end w:w="70" w:type="dxa"/>
            </w:tcMar>
          </w:tcPr>
          <w:p>
            <w:pPr>
              <w:jc w:val="center"/>
            </w:pPr>
            <w:r/>
            <w:r>
              <w:rPr>
                <w:rFonts w:ascii="Aptos" w:hAnsi="Aptos"/>
                <w:b/>
                <w:color w:val="FFFFFF"/>
                <w:sz w:val="16"/>
              </w:rPr>
              <w:t>Requirement</w:t>
            </w:r>
          </w:p>
        </w:tc>
      </w:tr>
      <w:tr>
        <w:trPr>
          <w:cantSplit/>
        </w:trPr>
        <w:tc>
          <w:tcPr>
            <w:tcW w:type="dxa" w:w="1728"/>
            <w:vAlign w:val="center"/>
            <w:tcMar>
              <w:top w:w="70" w:type="dxa"/>
              <w:start w:w="70" w:type="dxa"/>
              <w:bottom w:w="70" w:type="dxa"/>
              <w:end w:w="70" w:type="dxa"/>
            </w:tcMar>
          </w:tcPr>
          <w:p>
            <w:r/>
            <w:r>
              <w:rPr>
                <w:rFonts w:ascii="Aptos" w:hAnsi="Aptos"/>
                <w:b w:val="0"/>
                <w:color w:val="000000"/>
                <w:sz w:val="16"/>
              </w:rPr>
              <w:t>Application</w:t>
            </w:r>
          </w:p>
        </w:tc>
        <w:tc>
          <w:tcPr>
            <w:tcW w:type="dxa" w:w="2880"/>
            <w:vAlign w:val="center"/>
            <w:tcMar>
              <w:top w:w="70" w:type="dxa"/>
              <w:start w:w="70" w:type="dxa"/>
              <w:bottom w:w="70" w:type="dxa"/>
              <w:end w:w="70" w:type="dxa"/>
            </w:tcMar>
          </w:tcPr>
          <w:p>
            <w:r/>
            <w:r>
              <w:rPr>
                <w:rFonts w:ascii="Aptos" w:hAnsi="Aptos"/>
                <w:b w:val="0"/>
                <w:color w:val="000000"/>
                <w:sz w:val="16"/>
              </w:rPr>
              <w:t>Next.js full-stack</w:t>
            </w:r>
          </w:p>
        </w:tc>
        <w:tc>
          <w:tcPr>
            <w:tcW w:type="dxa" w:w="5184"/>
            <w:vAlign w:val="center"/>
            <w:tcMar>
              <w:top w:w="70" w:type="dxa"/>
              <w:start w:w="70" w:type="dxa"/>
              <w:bottom w:w="70" w:type="dxa"/>
              <w:end w:w="70" w:type="dxa"/>
            </w:tcMar>
          </w:tcPr>
          <w:p>
            <w:r/>
            <w:r>
              <w:rPr>
                <w:rFonts w:ascii="Aptos" w:hAnsi="Aptos"/>
                <w:b w:val="0"/>
                <w:color w:val="000000"/>
                <w:sz w:val="16"/>
              </w:rPr>
              <w:t>Frontend and backend APIs in one deployable application.</w:t>
            </w:r>
          </w:p>
        </w:tc>
      </w:tr>
      <w:tr>
        <w:trPr>
          <w:cantSplit/>
        </w:trPr>
        <w:tc>
          <w:tcPr>
            <w:tcW w:type="dxa" w:w="1728"/>
            <w:vAlign w:val="center"/>
            <w:shd w:fill="F8FAFC"/>
            <w:tcMar>
              <w:top w:w="70" w:type="dxa"/>
              <w:start w:w="70" w:type="dxa"/>
              <w:bottom w:w="70" w:type="dxa"/>
              <w:end w:w="70" w:type="dxa"/>
            </w:tcMar>
          </w:tcPr>
          <w:p>
            <w:r/>
            <w:r>
              <w:rPr>
                <w:rFonts w:ascii="Aptos" w:hAnsi="Aptos"/>
                <w:b w:val="0"/>
                <w:color w:val="000000"/>
                <w:sz w:val="16"/>
              </w:rPr>
              <w:t>Hosting</w:t>
            </w:r>
          </w:p>
        </w:tc>
        <w:tc>
          <w:tcPr>
            <w:tcW w:type="dxa" w:w="2880"/>
            <w:vAlign w:val="center"/>
            <w:shd w:fill="F8FAFC"/>
            <w:tcMar>
              <w:top w:w="70" w:type="dxa"/>
              <w:start w:w="70" w:type="dxa"/>
              <w:bottom w:w="70" w:type="dxa"/>
              <w:end w:w="70" w:type="dxa"/>
            </w:tcMar>
          </w:tcPr>
          <w:p>
            <w:r/>
            <w:r>
              <w:rPr>
                <w:rFonts w:ascii="Aptos" w:hAnsi="Aptos"/>
                <w:b w:val="0"/>
                <w:color w:val="000000"/>
                <w:sz w:val="16"/>
              </w:rPr>
              <w:t>Vercel initially</w:t>
            </w:r>
          </w:p>
        </w:tc>
        <w:tc>
          <w:tcPr>
            <w:tcW w:type="dxa" w:w="5184"/>
            <w:vAlign w:val="center"/>
            <w:shd w:fill="F8FAFC"/>
            <w:tcMar>
              <w:top w:w="70" w:type="dxa"/>
              <w:start w:w="70" w:type="dxa"/>
              <w:bottom w:w="70" w:type="dxa"/>
              <w:end w:w="70" w:type="dxa"/>
            </w:tcMar>
          </w:tcPr>
          <w:p>
            <w:r/>
            <w:r>
              <w:rPr>
                <w:rFonts w:ascii="Aptos" w:hAnsi="Aptos"/>
                <w:b w:val="0"/>
                <w:color w:val="000000"/>
                <w:sz w:val="16"/>
              </w:rPr>
              <w:t>Deployment target may change without redesigning business logic.</w:t>
            </w:r>
          </w:p>
        </w:tc>
      </w:tr>
      <w:tr>
        <w:trPr>
          <w:cantSplit/>
        </w:trPr>
        <w:tc>
          <w:tcPr>
            <w:tcW w:type="dxa" w:w="1728"/>
            <w:vAlign w:val="center"/>
            <w:tcMar>
              <w:top w:w="70" w:type="dxa"/>
              <w:start w:w="70" w:type="dxa"/>
              <w:bottom w:w="70" w:type="dxa"/>
              <w:end w:w="70" w:type="dxa"/>
            </w:tcMar>
          </w:tcPr>
          <w:p>
            <w:r/>
            <w:r>
              <w:rPr>
                <w:rFonts w:ascii="Aptos" w:hAnsi="Aptos"/>
                <w:b w:val="0"/>
                <w:color w:val="000000"/>
                <w:sz w:val="16"/>
              </w:rPr>
              <w:t>Database</w:t>
            </w:r>
          </w:p>
        </w:tc>
        <w:tc>
          <w:tcPr>
            <w:tcW w:type="dxa" w:w="2880"/>
            <w:vAlign w:val="center"/>
            <w:tcMar>
              <w:top w:w="70" w:type="dxa"/>
              <w:start w:w="70" w:type="dxa"/>
              <w:bottom w:w="70" w:type="dxa"/>
              <w:end w:w="70" w:type="dxa"/>
            </w:tcMar>
          </w:tcPr>
          <w:p>
            <w:r/>
            <w:r>
              <w:rPr>
                <w:rFonts w:ascii="Aptos" w:hAnsi="Aptos"/>
                <w:b w:val="0"/>
                <w:color w:val="000000"/>
                <w:sz w:val="16"/>
              </w:rPr>
              <w:t>PostgreSQL; Neon is acceptable initial provider</w:t>
            </w:r>
          </w:p>
        </w:tc>
        <w:tc>
          <w:tcPr>
            <w:tcW w:type="dxa" w:w="5184"/>
            <w:vAlign w:val="center"/>
            <w:tcMar>
              <w:top w:w="70" w:type="dxa"/>
              <w:start w:w="70" w:type="dxa"/>
              <w:bottom w:w="70" w:type="dxa"/>
              <w:end w:w="70" w:type="dxa"/>
            </w:tcMar>
          </w:tcPr>
          <w:p>
            <w:r/>
            <w:r>
              <w:rPr>
                <w:rFonts w:ascii="Aptos" w:hAnsi="Aptos"/>
                <w:b w:val="0"/>
                <w:color w:val="000000"/>
                <w:sz w:val="16"/>
              </w:rPr>
              <w:t>Provider-independent schema; migration/restore must be possible.</w:t>
            </w:r>
          </w:p>
        </w:tc>
      </w:tr>
      <w:tr>
        <w:trPr>
          <w:cantSplit/>
        </w:trPr>
        <w:tc>
          <w:tcPr>
            <w:tcW w:type="dxa" w:w="1728"/>
            <w:vAlign w:val="center"/>
            <w:shd w:fill="F8FAFC"/>
            <w:tcMar>
              <w:top w:w="70" w:type="dxa"/>
              <w:start w:w="70" w:type="dxa"/>
              <w:bottom w:w="70" w:type="dxa"/>
              <w:end w:w="70" w:type="dxa"/>
            </w:tcMar>
          </w:tcPr>
          <w:p>
            <w:r/>
            <w:r>
              <w:rPr>
                <w:rFonts w:ascii="Aptos" w:hAnsi="Aptos"/>
                <w:b w:val="0"/>
                <w:color w:val="000000"/>
                <w:sz w:val="16"/>
              </w:rPr>
              <w:t>Raw Input</w:t>
            </w:r>
          </w:p>
        </w:tc>
        <w:tc>
          <w:tcPr>
            <w:tcW w:type="dxa" w:w="2880"/>
            <w:vAlign w:val="center"/>
            <w:shd w:fill="F8FAFC"/>
            <w:tcMar>
              <w:top w:w="70" w:type="dxa"/>
              <w:start w:w="70" w:type="dxa"/>
              <w:bottom w:w="70" w:type="dxa"/>
              <w:end w:w="70" w:type="dxa"/>
            </w:tcMar>
          </w:tcPr>
          <w:p>
            <w:r/>
            <w:r>
              <w:rPr>
                <w:rFonts w:ascii="Aptos" w:hAnsi="Aptos"/>
                <w:b w:val="0"/>
                <w:color w:val="000000"/>
                <w:sz w:val="16"/>
              </w:rPr>
              <w:t>Google Forms + Google Sheets</w:t>
            </w:r>
          </w:p>
        </w:tc>
        <w:tc>
          <w:tcPr>
            <w:tcW w:type="dxa" w:w="5184"/>
            <w:vAlign w:val="center"/>
            <w:shd w:fill="F8FAFC"/>
            <w:tcMar>
              <w:top w:w="70" w:type="dxa"/>
              <w:start w:w="70" w:type="dxa"/>
              <w:bottom w:w="70" w:type="dxa"/>
              <w:end w:w="70" w:type="dxa"/>
            </w:tcMar>
          </w:tcPr>
          <w:p>
            <w:r/>
            <w:r>
              <w:rPr>
                <w:rFonts w:ascii="Aptos" w:hAnsi="Aptos"/>
                <w:b w:val="0"/>
                <w:color w:val="000000"/>
                <w:sz w:val="16"/>
              </w:rPr>
              <w:t>Remain staff input and raw operational evidence.</w:t>
            </w:r>
          </w:p>
        </w:tc>
      </w:tr>
      <w:tr>
        <w:trPr>
          <w:cantSplit/>
        </w:trPr>
        <w:tc>
          <w:tcPr>
            <w:tcW w:type="dxa" w:w="1728"/>
            <w:vAlign w:val="center"/>
            <w:tcMar>
              <w:top w:w="70" w:type="dxa"/>
              <w:start w:w="70" w:type="dxa"/>
              <w:bottom w:w="70" w:type="dxa"/>
              <w:end w:w="70" w:type="dxa"/>
            </w:tcMar>
          </w:tcPr>
          <w:p>
            <w:r/>
            <w:r>
              <w:rPr>
                <w:rFonts w:ascii="Aptos" w:hAnsi="Aptos"/>
                <w:b w:val="0"/>
                <w:color w:val="000000"/>
                <w:sz w:val="16"/>
              </w:rPr>
              <w:t>Scheduler / Integration</w:t>
            </w:r>
          </w:p>
        </w:tc>
        <w:tc>
          <w:tcPr>
            <w:tcW w:type="dxa" w:w="2880"/>
            <w:vAlign w:val="center"/>
            <w:tcMar>
              <w:top w:w="70" w:type="dxa"/>
              <w:start w:w="70" w:type="dxa"/>
              <w:bottom w:w="70" w:type="dxa"/>
              <w:end w:w="70" w:type="dxa"/>
            </w:tcMar>
          </w:tcPr>
          <w:p>
            <w:r/>
            <w:r>
              <w:rPr>
                <w:rFonts w:ascii="Aptos" w:hAnsi="Aptos"/>
                <w:b w:val="0"/>
                <w:color w:val="000000"/>
                <w:sz w:val="16"/>
              </w:rPr>
              <w:t>Google Apps Script and/or production scheduler</w:t>
            </w:r>
          </w:p>
        </w:tc>
        <w:tc>
          <w:tcPr>
            <w:tcW w:type="dxa" w:w="5184"/>
            <w:vAlign w:val="center"/>
            <w:tcMar>
              <w:top w:w="70" w:type="dxa"/>
              <w:start w:w="70" w:type="dxa"/>
              <w:bottom w:w="70" w:type="dxa"/>
              <w:end w:w="70" w:type="dxa"/>
            </w:tcMar>
          </w:tcPr>
          <w:p>
            <w:r/>
            <w:r>
              <w:rPr>
                <w:rFonts w:ascii="Aptos" w:hAnsi="Aptos"/>
                <w:b w:val="0"/>
                <w:color w:val="000000"/>
                <w:sz w:val="16"/>
              </w:rPr>
              <w:t>Handles ingestion trigger and scheduled reporting.</w:t>
            </w:r>
          </w:p>
        </w:tc>
      </w:tr>
      <w:tr>
        <w:trPr>
          <w:cantSplit/>
        </w:trPr>
        <w:tc>
          <w:tcPr>
            <w:tcW w:type="dxa" w:w="1728"/>
            <w:vAlign w:val="center"/>
            <w:shd w:fill="F8FAFC"/>
            <w:tcMar>
              <w:top w:w="70" w:type="dxa"/>
              <w:start w:w="70" w:type="dxa"/>
              <w:bottom w:w="70" w:type="dxa"/>
              <w:end w:w="70" w:type="dxa"/>
            </w:tcMar>
          </w:tcPr>
          <w:p>
            <w:r/>
            <w:r>
              <w:rPr>
                <w:rFonts w:ascii="Aptos" w:hAnsi="Aptos"/>
                <w:b w:val="0"/>
                <w:color w:val="000000"/>
                <w:sz w:val="16"/>
              </w:rPr>
              <w:t>File/Receipt</w:t>
            </w:r>
          </w:p>
        </w:tc>
        <w:tc>
          <w:tcPr>
            <w:tcW w:type="dxa" w:w="2880"/>
            <w:vAlign w:val="center"/>
            <w:shd w:fill="F8FAFC"/>
            <w:tcMar>
              <w:top w:w="70" w:type="dxa"/>
              <w:start w:w="70" w:type="dxa"/>
              <w:bottom w:w="70" w:type="dxa"/>
              <w:end w:w="70" w:type="dxa"/>
            </w:tcMar>
          </w:tcPr>
          <w:p>
            <w:r/>
            <w:r>
              <w:rPr>
                <w:rFonts w:ascii="Aptos" w:hAnsi="Aptos"/>
                <w:b w:val="0"/>
                <w:color w:val="000000"/>
                <w:sz w:val="16"/>
              </w:rPr>
              <w:t>Google Drive/reference links in MVP</w:t>
            </w:r>
          </w:p>
        </w:tc>
        <w:tc>
          <w:tcPr>
            <w:tcW w:type="dxa" w:w="5184"/>
            <w:vAlign w:val="center"/>
            <w:shd w:fill="F8FAFC"/>
            <w:tcMar>
              <w:top w:w="70" w:type="dxa"/>
              <w:start w:w="70" w:type="dxa"/>
              <w:bottom w:w="70" w:type="dxa"/>
              <w:end w:w="70" w:type="dxa"/>
            </w:tcMar>
          </w:tcPr>
          <w:p>
            <w:r/>
            <w:r>
              <w:rPr>
                <w:rFonts w:ascii="Aptos" w:hAnsi="Aptos"/>
                <w:b w:val="0"/>
                <w:color w:val="000000"/>
                <w:sz w:val="16"/>
              </w:rPr>
              <w:t>Do not store large receipt files directly in PostgreSQL.</w:t>
            </w:r>
          </w:p>
        </w:tc>
      </w:tr>
    </w:tbl>
    <w:p>
      <w:pPr>
        <w:spacing w:after="20"/>
      </w:pPr>
    </w:p>
    <w:p>
      <w:pPr>
        <w:pStyle w:val="Heading2"/>
      </w:pPr>
      <w:r>
        <w:t>11.2 Backup Strategy</w:t>
      </w:r>
    </w:p>
    <w:p>
      <w:pPr>
        <w:pStyle w:val="ListBullet"/>
        <w:spacing w:after="40"/>
      </w:pPr>
      <w:r>
        <w:t>Daily logical backup of PostgreSQL to external storage separate from the database provider.</w:t>
      </w:r>
    </w:p>
    <w:p>
      <w:pPr>
        <w:pStyle w:val="ListBullet"/>
        <w:spacing w:after="40"/>
      </w:pPr>
      <w:r>
        <w:t>Retention target: 30 daily, 12 weekly, and 12 monthly backup points where storage/quota allows.</w:t>
      </w:r>
    </w:p>
    <w:p>
      <w:pPr>
        <w:pStyle w:val="ListBullet"/>
        <w:spacing w:after="40"/>
      </w:pPr>
      <w:r>
        <w:t>Backup restore test must be performed before declaring production readiness.</w:t>
      </w:r>
    </w:p>
    <w:p>
      <w:pPr>
        <w:pStyle w:val="ListBullet"/>
        <w:spacing w:after="40"/>
      </w:pPr>
      <w:r>
        <w:t>Raw Google Form/Sheet data is never destructively rewritten by the application.</w:t>
      </w:r>
    </w:p>
    <w:p>
      <w:pPr>
        <w:pStyle w:val="ListBullet"/>
        <w:spacing w:after="40"/>
      </w:pPr>
      <w:r>
        <w:t>Application-native records not present in Google Sheets (Housebank funding, approval decisions, settings, corrections, audit logs) are included in DB backup.</w:t>
      </w:r>
    </w:p>
    <w:p>
      <w:pPr>
        <w:pStyle w:val="Heading2"/>
      </w:pPr>
      <w:r>
        <w:t>11.3 Operational Health</w:t>
      </w:r>
    </w:p>
    <w:p>
      <w:pPr>
        <w:pStyle w:val="ListBullet"/>
        <w:spacing w:after="40"/>
      </w:pPr>
      <w:r>
        <w:t>Admin/Owner should be able to see last successful data sync, last daily report run, and integration errors.</w:t>
      </w:r>
    </w:p>
    <w:p>
      <w:pPr>
        <w:pStyle w:val="ListBullet"/>
        <w:spacing w:after="40"/>
      </w:pPr>
      <w:r>
        <w:t>Failed ingestion records must remain visible with retry/reprocess capability.</w:t>
      </w:r>
    </w:p>
    <w:p>
      <w:pPr>
        <w:pStyle w:val="ListBullet"/>
        <w:spacing w:after="40"/>
      </w:pPr>
      <w:r>
        <w:t>Scheduled email run must record delivery outcome per run.</w:t>
      </w:r>
    </w:p>
    <w:p>
      <w:pPr>
        <w:pStyle w:val="Heading1"/>
      </w:pPr>
      <w:r>
        <w:t>12. MVP Scope, Out-of-Scope, and Future Phase</w:t>
      </w:r>
    </w:p>
    <w:p>
      <w:pPr>
        <w:pStyle w:val="Heading2"/>
      </w:pPr>
      <w:r>
        <w:t>12.1 MVP In Scope</w:t>
      </w:r>
    </w:p>
    <w:p>
      <w:pPr>
        <w:pStyle w:val="ListBullet"/>
        <w:spacing w:after="40"/>
      </w:pPr>
      <w:r>
        <w:t>Google Form/Sheet ingestion and raw-data retention.</w:t>
      </w:r>
    </w:p>
    <w:p>
      <w:pPr>
        <w:pStyle w:val="ListBullet"/>
        <w:spacing w:after="40"/>
      </w:pPr>
      <w:r>
        <w:t>Cashier income/outflow, payment-method reporting, petty cash and closing reconciliation.</w:t>
      </w:r>
    </w:p>
    <w:p>
      <w:pPr>
        <w:pStyle w:val="ListBullet"/>
        <w:spacing w:after="40"/>
      </w:pPr>
      <w:r>
        <w:t>Kitchen and Beverage quantity-based sales reporting with menu price history.</w:t>
      </w:r>
    </w:p>
    <w:p>
      <w:pPr>
        <w:pStyle w:val="ListBullet"/>
        <w:spacing w:after="40"/>
      </w:pPr>
      <w:r>
        <w:t>Housebank funding, transfer, operational expenses, and running balance.</w:t>
      </w:r>
    </w:p>
    <w:p>
      <w:pPr>
        <w:pStyle w:val="ListBullet"/>
        <w:spacing w:after="40"/>
      </w:pPr>
      <w:r>
        <w:t>Purchase Request workflow and weekly recap.</w:t>
      </w:r>
    </w:p>
    <w:p>
      <w:pPr>
        <w:pStyle w:val="ListBullet"/>
        <w:spacing w:after="40"/>
      </w:pPr>
      <w:r>
        <w:t>Stock opname and variance.</w:t>
      </w:r>
    </w:p>
    <w:p>
      <w:pPr>
        <w:pStyle w:val="ListBullet"/>
        <w:spacing w:after="40"/>
      </w:pPr>
      <w:r>
        <w:t>Owner/Director complete dashboard and detailed drill-down.</w:t>
      </w:r>
    </w:p>
    <w:p>
      <w:pPr>
        <w:pStyle w:val="ListBullet"/>
        <w:spacing w:after="40"/>
      </w:pPr>
      <w:r>
        <w:t>Configurable daily email report with BELUM LENGKAP state.</w:t>
      </w:r>
    </w:p>
    <w:p>
      <w:pPr>
        <w:pStyle w:val="ListBullet"/>
        <w:spacing w:after="40"/>
      </w:pPr>
      <w:r>
        <w:t>Corrections, void semantics, report revision snapshots, and detailed append-only audit trail.</w:t>
      </w:r>
    </w:p>
    <w:p>
      <w:pPr>
        <w:pStyle w:val="ListBullet"/>
        <w:spacing w:after="40"/>
      </w:pPr>
      <w:r>
        <w:t>Daily external DB backup and provider portability.</w:t>
      </w:r>
    </w:p>
    <w:p>
      <w:pPr>
        <w:pStyle w:val="Heading2"/>
      </w:pPr>
      <w:r>
        <w:t>12.2 Explicitly Out of MVP</w:t>
      </w:r>
    </w:p>
    <w:p>
      <w:pPr>
        <w:pStyle w:val="ListBullet"/>
        <w:spacing w:after="40"/>
      </w:pPr>
      <w:r>
        <w:t>Direct Moka POS API integration.</w:t>
      </w:r>
    </w:p>
    <w:p>
      <w:pPr>
        <w:pStyle w:val="ListBullet"/>
        <w:spacing w:after="40"/>
      </w:pPr>
      <w:r>
        <w:t>Different prices by Dine-In / GoFood / GrabFood / channel.</w:t>
      </w:r>
    </w:p>
    <w:p>
      <w:pPr>
        <w:pStyle w:val="ListBullet"/>
        <w:spacing w:after="40"/>
      </w:pPr>
      <w:r>
        <w:t>Recipe/BOM and automatic theoretical ingredient consumption.</w:t>
      </w:r>
    </w:p>
    <w:p>
      <w:pPr>
        <w:pStyle w:val="ListBullet"/>
        <w:spacing w:after="40"/>
      </w:pPr>
      <w:r>
        <w:t>Automated COGS from recipes and purchase-cost layers.</w:t>
      </w:r>
    </w:p>
    <w:p>
      <w:pPr>
        <w:pStyle w:val="ListBullet"/>
        <w:spacing w:after="40"/>
      </w:pPr>
      <w:r>
        <w:t>Full enterprise accounting suite / taxation / payroll.</w:t>
      </w:r>
    </w:p>
    <w:p>
      <w:pPr>
        <w:pStyle w:val="ListBullet"/>
        <w:spacing w:after="40"/>
      </w:pPr>
      <w:r>
        <w:t>Native mobile applications.</w:t>
      </w:r>
    </w:p>
    <w:p>
      <w:pPr>
        <w:pStyle w:val="Heading2"/>
      </w:pPr>
      <w:r>
        <w:t>12.3 Likely Phase 2</w:t>
      </w:r>
    </w:p>
    <w:p>
      <w:pPr>
        <w:pStyle w:val="ListBullet"/>
        <w:spacing w:after="40"/>
      </w:pPr>
      <w:r>
        <w:t>Moka integration for transaction-level sales and payment reconciliation.</w:t>
      </w:r>
    </w:p>
    <w:p>
      <w:pPr>
        <w:pStyle w:val="ListBullet"/>
        <w:spacing w:after="40"/>
      </w:pPr>
      <w:r>
        <w:t>Recipe/BOM, theoretical stock, waste, food cost, and COGS analysis.</w:t>
      </w:r>
    </w:p>
    <w:p>
      <w:pPr>
        <w:pStyle w:val="ListBullet"/>
        <w:spacing w:after="40"/>
      </w:pPr>
      <w:r>
        <w:t>More formal general ledger, P&amp;L, cash-flow, and balance-sheet reporting.</w:t>
      </w:r>
    </w:p>
    <w:p>
      <w:pPr>
        <w:pStyle w:val="ListBullet"/>
        <w:spacing w:after="40"/>
      </w:pPr>
      <w:r>
        <w:t>Low-stock alerts and purchase suggestions.</w:t>
      </w:r>
    </w:p>
    <w:p>
      <w:pPr>
        <w:pStyle w:val="ListBullet"/>
        <w:spacing w:after="40"/>
      </w:pPr>
      <w:r>
        <w:t>Multi-branch support if business scope expands.</w:t>
      </w:r>
    </w:p>
    <w:p>
      <w:pPr>
        <w:pStyle w:val="Heading1"/>
      </w:pPr>
      <w:r>
        <w:t>13. Acceptance Criteria / UAT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296"/>
            <w:vAlign w:val="center"/>
            <w:shd w:fill="17365D"/>
            <w:tcMar>
              <w:top w:w="70" w:type="dxa"/>
              <w:start w:w="70" w:type="dxa"/>
              <w:bottom w:w="70" w:type="dxa"/>
              <w:end w:w="70" w:type="dxa"/>
            </w:tcMar>
          </w:tcPr>
          <w:p>
            <w:pPr>
              <w:jc w:val="center"/>
            </w:pPr>
            <w:r/>
            <w:r>
              <w:rPr>
                <w:rFonts w:ascii="Aptos" w:hAnsi="Aptos"/>
                <w:b/>
                <w:color w:val="FFFFFF"/>
                <w:sz w:val="16"/>
              </w:rPr>
              <w:t>ID</w:t>
            </w:r>
          </w:p>
        </w:tc>
        <w:tc>
          <w:tcPr>
            <w:tcW w:type="dxa" w:w="8496"/>
            <w:vAlign w:val="center"/>
            <w:shd w:fill="17365D"/>
            <w:tcMar>
              <w:top w:w="70" w:type="dxa"/>
              <w:start w:w="70" w:type="dxa"/>
              <w:bottom w:w="70" w:type="dxa"/>
              <w:end w:w="70" w:type="dxa"/>
            </w:tcMar>
          </w:tcPr>
          <w:p>
            <w:pPr>
              <w:jc w:val="center"/>
            </w:pPr>
            <w:r/>
            <w:r>
              <w:rPr>
                <w:rFonts w:ascii="Aptos" w:hAnsi="Aptos"/>
                <w:b/>
                <w:color w:val="FFFFFF"/>
                <w:sz w:val="16"/>
              </w:rPr>
              <w:t>Acceptance Scenario</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UAT-01</w:t>
            </w:r>
          </w:p>
        </w:tc>
        <w:tc>
          <w:tcPr>
            <w:tcW w:type="dxa" w:w="8496"/>
            <w:vAlign w:val="center"/>
            <w:tcMar>
              <w:top w:w="70" w:type="dxa"/>
              <w:start w:w="70" w:type="dxa"/>
              <w:bottom w:w="70" w:type="dxa"/>
              <w:end w:w="70" w:type="dxa"/>
            </w:tcMar>
          </w:tcPr>
          <w:p>
            <w:r/>
            <w:r>
              <w:rPr>
                <w:rFonts w:ascii="Aptos" w:hAnsi="Aptos"/>
                <w:b w:val="0"/>
                <w:color w:val="000000"/>
                <w:sz w:val="16"/>
              </w:rPr>
              <w:t>A valid Cashier Google Form submission is ingested once, appears under correct Business Date, and can be traced to raw source.</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UAT-02</w:t>
            </w:r>
          </w:p>
        </w:tc>
        <w:tc>
          <w:tcPr>
            <w:tcW w:type="dxa" w:w="8496"/>
            <w:vAlign w:val="center"/>
            <w:shd w:fill="F8FAFC"/>
            <w:tcMar>
              <w:top w:w="70" w:type="dxa"/>
              <w:start w:w="70" w:type="dxa"/>
              <w:bottom w:w="70" w:type="dxa"/>
              <w:end w:w="70" w:type="dxa"/>
            </w:tcMar>
          </w:tcPr>
          <w:p>
            <w:r/>
            <w:r>
              <w:rPr>
                <w:rFonts w:ascii="Aptos" w:hAnsi="Aptos"/>
                <w:b w:val="0"/>
                <w:color w:val="000000"/>
                <w:sz w:val="16"/>
              </w:rPr>
              <w:t>Cash/QRIS/Transfer and other payment fields are normalized without double counting duplicated branch columns.</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UAT-03</w:t>
            </w:r>
          </w:p>
        </w:tc>
        <w:tc>
          <w:tcPr>
            <w:tcW w:type="dxa" w:w="8496"/>
            <w:vAlign w:val="center"/>
            <w:tcMar>
              <w:top w:w="70" w:type="dxa"/>
              <w:start w:w="70" w:type="dxa"/>
              <w:bottom w:w="70" w:type="dxa"/>
              <w:end w:w="70" w:type="dxa"/>
            </w:tcMar>
          </w:tcPr>
          <w:p>
            <w:r/>
            <w:r>
              <w:rPr>
                <w:rFonts w:ascii="Aptos" w:hAnsi="Aptos"/>
                <w:b w:val="0"/>
                <w:color w:val="000000"/>
                <w:sz w:val="16"/>
              </w:rPr>
              <w:t>A malformed or implausible cashier value is flagged and can be corrected with mandatory reason while original value remains visible.</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UAT-04</w:t>
            </w:r>
          </w:p>
        </w:tc>
        <w:tc>
          <w:tcPr>
            <w:tcW w:type="dxa" w:w="8496"/>
            <w:vAlign w:val="center"/>
            <w:shd w:fill="F8FAFC"/>
            <w:tcMar>
              <w:top w:w="70" w:type="dxa"/>
              <w:start w:w="70" w:type="dxa"/>
              <w:bottom w:w="70" w:type="dxa"/>
              <w:end w:w="70" w:type="dxa"/>
            </w:tcMar>
          </w:tcPr>
          <w:p>
            <w:r/>
            <w:r>
              <w:rPr>
                <w:rFonts w:ascii="Aptos" w:hAnsi="Aptos"/>
                <w:b w:val="0"/>
                <w:color w:val="000000"/>
                <w:sz w:val="16"/>
              </w:rPr>
              <w:t>Kitchen quantity × effective price produces correct historical Food revenue.</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UAT-05</w:t>
            </w:r>
          </w:p>
        </w:tc>
        <w:tc>
          <w:tcPr>
            <w:tcW w:type="dxa" w:w="8496"/>
            <w:vAlign w:val="center"/>
            <w:tcMar>
              <w:top w:w="70" w:type="dxa"/>
              <w:start w:w="70" w:type="dxa"/>
              <w:bottom w:w="70" w:type="dxa"/>
              <w:end w:w="70" w:type="dxa"/>
            </w:tcMar>
          </w:tcPr>
          <w:p>
            <w:r/>
            <w:r>
              <w:rPr>
                <w:rFonts w:ascii="Aptos" w:hAnsi="Aptos"/>
                <w:b w:val="0"/>
                <w:color w:val="000000"/>
                <w:sz w:val="16"/>
              </w:rPr>
              <w:t>Beverage report uses explicit Business Date and calculates Beverage revenue using effective price.</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UAT-06</w:t>
            </w:r>
          </w:p>
        </w:tc>
        <w:tc>
          <w:tcPr>
            <w:tcW w:type="dxa" w:w="8496"/>
            <w:vAlign w:val="center"/>
            <w:shd w:fill="F8FAFC"/>
            <w:tcMar>
              <w:top w:w="70" w:type="dxa"/>
              <w:start w:w="70" w:type="dxa"/>
              <w:bottom w:w="70" w:type="dxa"/>
              <w:end w:w="70" w:type="dxa"/>
            </w:tcMar>
          </w:tcPr>
          <w:p>
            <w:r/>
            <w:r>
              <w:rPr>
                <w:rFonts w:ascii="Aptos" w:hAnsi="Aptos"/>
                <w:b w:val="0"/>
                <w:color w:val="000000"/>
                <w:sz w:val="16"/>
              </w:rPr>
              <w:t>Company → Housebank increases Housebank balance but does not increase cafe revenue.</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UAT-07</w:t>
            </w:r>
          </w:p>
        </w:tc>
        <w:tc>
          <w:tcPr>
            <w:tcW w:type="dxa" w:w="8496"/>
            <w:vAlign w:val="center"/>
            <w:tcMar>
              <w:top w:w="70" w:type="dxa"/>
              <w:start w:w="70" w:type="dxa"/>
              <w:bottom w:w="70" w:type="dxa"/>
              <w:end w:w="70" w:type="dxa"/>
            </w:tcMar>
          </w:tcPr>
          <w:p>
            <w:r/>
            <w:r>
              <w:rPr>
                <w:rFonts w:ascii="Aptos" w:hAnsi="Aptos"/>
                <w:b w:val="0"/>
                <w:color w:val="000000"/>
                <w:sz w:val="16"/>
              </w:rPr>
              <w:t>Housebank → Cashier changes both account balances but does not create revenue/expense.</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UAT-08</w:t>
            </w:r>
          </w:p>
        </w:tc>
        <w:tc>
          <w:tcPr>
            <w:tcW w:type="dxa" w:w="8496"/>
            <w:vAlign w:val="center"/>
            <w:shd w:fill="F8FAFC"/>
            <w:tcMar>
              <w:top w:w="70" w:type="dxa"/>
              <w:start w:w="70" w:type="dxa"/>
              <w:bottom w:w="70" w:type="dxa"/>
              <w:end w:w="70" w:type="dxa"/>
            </w:tcMar>
          </w:tcPr>
          <w:p>
            <w:r/>
            <w:r>
              <w:rPr>
                <w:rFonts w:ascii="Aptos" w:hAnsi="Aptos"/>
                <w:b w:val="0"/>
                <w:color w:val="000000"/>
                <w:sz w:val="16"/>
              </w:rPr>
              <w:t>Cashier or Housebank expenses reduce the correct account and appear in daily/period reports.</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UAT-09</w:t>
            </w:r>
          </w:p>
        </w:tc>
        <w:tc>
          <w:tcPr>
            <w:tcW w:type="dxa" w:w="8496"/>
            <w:vAlign w:val="center"/>
            <w:tcMar>
              <w:top w:w="70" w:type="dxa"/>
              <w:start w:w="70" w:type="dxa"/>
              <w:bottom w:w="70" w:type="dxa"/>
              <w:end w:w="70" w:type="dxa"/>
            </w:tcMar>
          </w:tcPr>
          <w:p>
            <w:r/>
            <w:r>
              <w:rPr>
                <w:rFonts w:ascii="Aptos" w:hAnsi="Aptos"/>
                <w:b w:val="0"/>
                <w:color w:val="000000"/>
                <w:sz w:val="16"/>
              </w:rPr>
              <w:t>A Manager Purchase Request can be approved, revised, or rejected with complete decision history.</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UAT-10</w:t>
            </w:r>
          </w:p>
        </w:tc>
        <w:tc>
          <w:tcPr>
            <w:tcW w:type="dxa" w:w="8496"/>
            <w:vAlign w:val="center"/>
            <w:shd w:fill="F8FAFC"/>
            <w:tcMar>
              <w:top w:w="70" w:type="dxa"/>
              <w:start w:w="70" w:type="dxa"/>
              <w:bottom w:w="70" w:type="dxa"/>
              <w:end w:w="70" w:type="dxa"/>
            </w:tcMar>
          </w:tcPr>
          <w:p>
            <w:r/>
            <w:r>
              <w:rPr>
                <w:rFonts w:ascii="Aptos" w:hAnsi="Aptos"/>
                <w:b w:val="0"/>
                <w:color w:val="000000"/>
                <w:sz w:val="16"/>
              </w:rPr>
              <w:t>Stock opname calculates variance and restricts input/view by role as specified.</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UAT-11</w:t>
            </w:r>
          </w:p>
        </w:tc>
        <w:tc>
          <w:tcPr>
            <w:tcW w:type="dxa" w:w="8496"/>
            <w:vAlign w:val="center"/>
            <w:tcMar>
              <w:top w:w="70" w:type="dxa"/>
              <w:start w:w="70" w:type="dxa"/>
              <w:bottom w:w="70" w:type="dxa"/>
              <w:end w:w="70" w:type="dxa"/>
            </w:tcMar>
          </w:tcPr>
          <w:p>
            <w:r/>
            <w:r>
              <w:rPr>
                <w:rFonts w:ascii="Aptos" w:hAnsi="Aptos"/>
                <w:b w:val="0"/>
                <w:color w:val="000000"/>
                <w:sz w:val="16"/>
              </w:rPr>
              <w:t>Daily email time and recipients can be changed from settings without source-code change.</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UAT-12</w:t>
            </w:r>
          </w:p>
        </w:tc>
        <w:tc>
          <w:tcPr>
            <w:tcW w:type="dxa" w:w="8496"/>
            <w:vAlign w:val="center"/>
            <w:shd w:fill="F8FAFC"/>
            <w:tcMar>
              <w:top w:w="70" w:type="dxa"/>
              <w:start w:w="70" w:type="dxa"/>
              <w:bottom w:w="70" w:type="dxa"/>
              <w:end w:w="70" w:type="dxa"/>
            </w:tcMar>
          </w:tcPr>
          <w:p>
            <w:r/>
            <w:r>
              <w:rPr>
                <w:rFonts w:ascii="Aptos" w:hAnsi="Aptos"/>
                <w:b w:val="0"/>
                <w:color w:val="000000"/>
                <w:sz w:val="16"/>
              </w:rPr>
              <w:t>At send time with missing Beverage data, email still sends as BELUM LENGKAP and identifies Beverage as missing.</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UAT-13</w:t>
            </w:r>
          </w:p>
        </w:tc>
        <w:tc>
          <w:tcPr>
            <w:tcW w:type="dxa" w:w="8496"/>
            <w:vAlign w:val="center"/>
            <w:tcMar>
              <w:top w:w="70" w:type="dxa"/>
              <w:start w:w="70" w:type="dxa"/>
              <w:bottom w:w="70" w:type="dxa"/>
              <w:end w:w="70" w:type="dxa"/>
            </w:tcMar>
          </w:tcPr>
          <w:p>
            <w:r/>
            <w:r>
              <w:rPr>
                <w:rFonts w:ascii="Aptos" w:hAnsi="Aptos"/>
                <w:b w:val="0"/>
                <w:color w:val="000000"/>
                <w:sz w:val="16"/>
              </w:rPr>
              <w:t>After late data/correction, authorized user can generate a revised daily report without overwriting the original report snapshot.</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UAT-14</w:t>
            </w:r>
          </w:p>
        </w:tc>
        <w:tc>
          <w:tcPr>
            <w:tcW w:type="dxa" w:w="8496"/>
            <w:vAlign w:val="center"/>
            <w:shd w:fill="F8FAFC"/>
            <w:tcMar>
              <w:top w:w="70" w:type="dxa"/>
              <w:start w:w="70" w:type="dxa"/>
              <w:bottom w:w="70" w:type="dxa"/>
              <w:end w:w="70" w:type="dxa"/>
            </w:tcMar>
          </w:tcPr>
          <w:p>
            <w:r/>
            <w:r>
              <w:rPr>
                <w:rFonts w:ascii="Aptos" w:hAnsi="Aptos"/>
                <w:b w:val="0"/>
                <w:color w:val="000000"/>
                <w:sz w:val="16"/>
              </w:rPr>
              <w:t>Owner/Director can drill from KPI to underlying transactions.</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UAT-15</w:t>
            </w:r>
          </w:p>
        </w:tc>
        <w:tc>
          <w:tcPr>
            <w:tcW w:type="dxa" w:w="8496"/>
            <w:vAlign w:val="center"/>
            <w:tcMar>
              <w:top w:w="70" w:type="dxa"/>
              <w:start w:w="70" w:type="dxa"/>
              <w:bottom w:w="70" w:type="dxa"/>
              <w:end w:w="70" w:type="dxa"/>
            </w:tcMar>
          </w:tcPr>
          <w:p>
            <w:r/>
            <w:r>
              <w:rPr>
                <w:rFonts w:ascii="Aptos" w:hAnsi="Aptos"/>
                <w:b w:val="0"/>
                <w:color w:val="000000"/>
                <w:sz w:val="16"/>
              </w:rPr>
              <w:t>Audit screen shows before/after values for a financial correction and the actor/reason/timestamp.</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UAT-16</w:t>
            </w:r>
          </w:p>
        </w:tc>
        <w:tc>
          <w:tcPr>
            <w:tcW w:type="dxa" w:w="8496"/>
            <w:vAlign w:val="center"/>
            <w:shd w:fill="F8FAFC"/>
            <w:tcMar>
              <w:top w:w="70" w:type="dxa"/>
              <w:start w:w="70" w:type="dxa"/>
              <w:bottom w:w="70" w:type="dxa"/>
              <w:end w:w="70" w:type="dxa"/>
            </w:tcMar>
          </w:tcPr>
          <w:p>
            <w:r/>
            <w:r>
              <w:rPr>
                <w:rFonts w:ascii="Aptos" w:hAnsi="Aptos"/>
                <w:b w:val="0"/>
                <w:color w:val="000000"/>
                <w:sz w:val="16"/>
              </w:rPr>
              <w:t>Attempting to edit a derived balance directly is impossible.</w:t>
            </w:r>
          </w:p>
        </w:tc>
      </w:tr>
      <w:tr>
        <w:trPr>
          <w:cantSplit/>
        </w:trPr>
        <w:tc>
          <w:tcPr>
            <w:tcW w:type="dxa" w:w="1296"/>
            <w:vAlign w:val="center"/>
            <w:tcMar>
              <w:top w:w="70" w:type="dxa"/>
              <w:start w:w="70" w:type="dxa"/>
              <w:bottom w:w="70" w:type="dxa"/>
              <w:end w:w="70" w:type="dxa"/>
            </w:tcMar>
          </w:tcPr>
          <w:p>
            <w:r/>
            <w:r>
              <w:rPr>
                <w:rFonts w:ascii="Aptos" w:hAnsi="Aptos"/>
                <w:b w:val="0"/>
                <w:color w:val="000000"/>
                <w:sz w:val="16"/>
              </w:rPr>
              <w:t>UAT-17</w:t>
            </w:r>
          </w:p>
        </w:tc>
        <w:tc>
          <w:tcPr>
            <w:tcW w:type="dxa" w:w="8496"/>
            <w:vAlign w:val="center"/>
            <w:tcMar>
              <w:top w:w="70" w:type="dxa"/>
              <w:start w:w="70" w:type="dxa"/>
              <w:bottom w:w="70" w:type="dxa"/>
              <w:end w:w="70" w:type="dxa"/>
            </w:tcMar>
          </w:tcPr>
          <w:p>
            <w:r/>
            <w:r>
              <w:rPr>
                <w:rFonts w:ascii="Aptos" w:hAnsi="Aptos"/>
                <w:b w:val="0"/>
                <w:color w:val="000000"/>
                <w:sz w:val="16"/>
              </w:rPr>
              <w:t>Attempting to physically delete a financial record from UI is impossible; VOID/reversal is used instead.</w:t>
            </w:r>
          </w:p>
        </w:tc>
      </w:tr>
      <w:tr>
        <w:trPr>
          <w:cantSplit/>
        </w:trPr>
        <w:tc>
          <w:tcPr>
            <w:tcW w:type="dxa" w:w="1296"/>
            <w:vAlign w:val="center"/>
            <w:shd w:fill="F8FAFC"/>
            <w:tcMar>
              <w:top w:w="70" w:type="dxa"/>
              <w:start w:w="70" w:type="dxa"/>
              <w:bottom w:w="70" w:type="dxa"/>
              <w:end w:w="70" w:type="dxa"/>
            </w:tcMar>
          </w:tcPr>
          <w:p>
            <w:r/>
            <w:r>
              <w:rPr>
                <w:rFonts w:ascii="Aptos" w:hAnsi="Aptos"/>
                <w:b w:val="0"/>
                <w:color w:val="000000"/>
                <w:sz w:val="16"/>
              </w:rPr>
              <w:t>UAT-18</w:t>
            </w:r>
          </w:p>
        </w:tc>
        <w:tc>
          <w:tcPr>
            <w:tcW w:type="dxa" w:w="8496"/>
            <w:vAlign w:val="center"/>
            <w:shd w:fill="F8FAFC"/>
            <w:tcMar>
              <w:top w:w="70" w:type="dxa"/>
              <w:start w:w="70" w:type="dxa"/>
              <w:bottom w:w="70" w:type="dxa"/>
              <w:end w:w="70" w:type="dxa"/>
            </w:tcMar>
          </w:tcPr>
          <w:p>
            <w:r/>
            <w:r>
              <w:rPr>
                <w:rFonts w:ascii="Aptos" w:hAnsi="Aptos"/>
                <w:b w:val="0"/>
                <w:color w:val="000000"/>
                <w:sz w:val="16"/>
              </w:rPr>
              <w:t>A PostgreSQL backup can be restored to a clean replacement database and the application can reconnect by changing configuration.</w:t>
            </w:r>
          </w:p>
        </w:tc>
      </w:tr>
    </w:tbl>
    <w:p>
      <w:pPr>
        <w:spacing w:after="20"/>
      </w:pPr>
    </w:p>
    <w:p>
      <w:pPr>
        <w:pStyle w:val="Heading1"/>
      </w:pPr>
      <w:r>
        <w:t>14. Assumptions and Items to Validate</w:t>
      </w:r>
    </w:p>
    <w:p>
      <w:pPr>
        <w:pStyle w:val="Heading2"/>
      </w:pPr>
      <w:r>
        <w:t>14.1 Baseline Assumptions Used in This SRS</w:t>
      </w:r>
    </w:p>
    <w:p>
      <w:pPr>
        <w:pStyle w:val="ListBullet"/>
        <w:spacing w:after="40"/>
      </w:pPr>
      <w:r>
        <w:t>Owner and Director have equivalent application-wide access; Director is the primary operational user for Company → Housebank funding.</w:t>
      </w:r>
    </w:p>
    <w:p>
      <w:pPr>
        <w:pStyle w:val="ListBullet"/>
        <w:spacing w:after="40"/>
      </w:pPr>
      <w:r>
        <w:t>Purchase Requests are created by Manager and approval decisions are performed by authorized leadership (Owner/Director) in MVP.</w:t>
      </w:r>
    </w:p>
    <w:p>
      <w:pPr>
        <w:pStyle w:val="ListBullet"/>
        <w:spacing w:after="40"/>
      </w:pPr>
      <w:r>
        <w:t>Cashier includes the beverage/barista operational function.</w:t>
      </w:r>
    </w:p>
    <w:p>
      <w:pPr>
        <w:pStyle w:val="ListBullet"/>
        <w:spacing w:after="40"/>
      </w:pPr>
      <w:r>
        <w:t>Manager owns/consolidates the “Other” stock category in the absence of a separate Captain role.</w:t>
      </w:r>
    </w:p>
    <w:p>
      <w:pPr>
        <w:pStyle w:val="ListBullet"/>
        <w:spacing w:after="40"/>
      </w:pPr>
      <w:r>
        <w:t>Food/Beverage selling price is identical across channels for MVP.</w:t>
      </w:r>
    </w:p>
    <w:p>
      <w:pPr>
        <w:pStyle w:val="ListBullet"/>
        <w:spacing w:after="40"/>
      </w:pPr>
      <w:r>
        <w:t>Google Forms remain the primary operational input for Cashier, Kitchen, and Beverage during MVP.</w:t>
      </w:r>
    </w:p>
    <w:p>
      <w:pPr>
        <w:pStyle w:val="Heading2"/>
      </w:pPr>
      <w:r>
        <w:t>14.2 Items to Finalize During ERD/UI Design (Non-Blocking)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17365D"/>
            <w:tcMar>
              <w:top w:w="70" w:type="dxa"/>
              <w:start w:w="70" w:type="dxa"/>
              <w:bottom w:w="70" w:type="dxa"/>
              <w:end w:w="70" w:type="dxa"/>
            </w:tcMar>
          </w:tcPr>
          <w:p>
            <w:pPr>
              <w:jc w:val="center"/>
            </w:pPr>
            <w:r/>
            <w:r>
              <w:rPr>
                <w:rFonts w:ascii="Aptos" w:hAnsi="Aptos"/>
                <w:b/>
                <w:color w:val="FFFFFF"/>
                <w:sz w:val="16"/>
              </w:rPr>
              <w:t>Item</w:t>
            </w:r>
          </w:p>
        </w:tc>
        <w:tc>
          <w:tcPr>
            <w:tcW w:type="dxa" w:w="7200"/>
            <w:vAlign w:val="center"/>
            <w:shd w:fill="17365D"/>
            <w:tcMar>
              <w:top w:w="70" w:type="dxa"/>
              <w:start w:w="70" w:type="dxa"/>
              <w:bottom w:w="70" w:type="dxa"/>
              <w:end w:w="70" w:type="dxa"/>
            </w:tcMar>
          </w:tcPr>
          <w:p>
            <w:pPr>
              <w:jc w:val="center"/>
            </w:pPr>
            <w:r/>
            <w:r>
              <w:rPr>
                <w:rFonts w:ascii="Aptos" w:hAnsi="Aptos"/>
                <w:b/>
                <w:color w:val="FFFFFF"/>
                <w:sz w:val="16"/>
              </w:rPr>
              <w:t>Decision Needed Before Implementation Detail</w:t>
            </w:r>
          </w:p>
        </w:tc>
      </w:tr>
      <w:tr>
        <w:trPr>
          <w:cantSplit/>
        </w:trPr>
        <w:tc>
          <w:tcPr>
            <w:tcW w:type="dxa" w:w="2592"/>
            <w:vAlign w:val="center"/>
            <w:tcMar>
              <w:top w:w="70" w:type="dxa"/>
              <w:start w:w="70" w:type="dxa"/>
              <w:bottom w:w="70" w:type="dxa"/>
              <w:end w:w="70" w:type="dxa"/>
            </w:tcMar>
          </w:tcPr>
          <w:p>
            <w:r/>
            <w:r>
              <w:rPr>
                <w:rFonts w:ascii="Aptos" w:hAnsi="Aptos"/>
                <w:b w:val="0"/>
                <w:color w:val="000000"/>
                <w:sz w:val="16"/>
              </w:rPr>
              <w:t>Shift model</w:t>
            </w:r>
          </w:p>
        </w:tc>
        <w:tc>
          <w:tcPr>
            <w:tcW w:type="dxa" w:w="7200"/>
            <w:vAlign w:val="center"/>
            <w:tcMar>
              <w:top w:w="70" w:type="dxa"/>
              <w:start w:w="70" w:type="dxa"/>
              <w:bottom w:w="70" w:type="dxa"/>
              <w:end w:w="70" w:type="dxa"/>
            </w:tcMar>
          </w:tcPr>
          <w:p>
            <w:r/>
            <w:r>
              <w:rPr>
                <w:rFonts w:ascii="Aptos" w:hAnsi="Aptos"/>
                <w:b w:val="0"/>
                <w:color w:val="000000"/>
                <w:sz w:val="16"/>
              </w:rPr>
              <w:t>Whether Cashier uses only Siang/Malam or any additional shift/status rules.</w:t>
            </w:r>
          </w:p>
        </w:tc>
      </w:tr>
      <w:tr>
        <w:trPr>
          <w:cantSplit/>
        </w:trPr>
        <w:tc>
          <w:tcPr>
            <w:tcW w:type="dxa" w:w="2592"/>
            <w:vAlign w:val="center"/>
            <w:shd w:fill="F8FAFC"/>
            <w:tcMar>
              <w:top w:w="70" w:type="dxa"/>
              <w:start w:w="70" w:type="dxa"/>
              <w:bottom w:w="70" w:type="dxa"/>
              <w:end w:w="70" w:type="dxa"/>
            </w:tcMar>
          </w:tcPr>
          <w:p>
            <w:r/>
            <w:r>
              <w:rPr>
                <w:rFonts w:ascii="Aptos" w:hAnsi="Aptos"/>
                <w:b w:val="0"/>
                <w:color w:val="000000"/>
                <w:sz w:val="16"/>
              </w:rPr>
              <w:t>Required-source completeness</w:t>
            </w:r>
          </w:p>
        </w:tc>
        <w:tc>
          <w:tcPr>
            <w:tcW w:type="dxa" w:w="7200"/>
            <w:vAlign w:val="center"/>
            <w:shd w:fill="F8FAFC"/>
            <w:tcMar>
              <w:top w:w="70" w:type="dxa"/>
              <w:start w:w="70" w:type="dxa"/>
              <w:bottom w:w="70" w:type="dxa"/>
              <w:end w:w="70" w:type="dxa"/>
            </w:tcMar>
          </w:tcPr>
          <w:p>
            <w:r/>
            <w:r>
              <w:rPr>
                <w:rFonts w:ascii="Aptos" w:hAnsi="Aptos"/>
                <w:b w:val="0"/>
                <w:color w:val="000000"/>
                <w:sz w:val="16"/>
              </w:rPr>
              <w:t>Exact set of forms that define LENGKAP for each business date.</w:t>
            </w:r>
          </w:p>
        </w:tc>
      </w:tr>
      <w:tr>
        <w:trPr>
          <w:cantSplit/>
        </w:trPr>
        <w:tc>
          <w:tcPr>
            <w:tcW w:type="dxa" w:w="2592"/>
            <w:vAlign w:val="center"/>
            <w:tcMar>
              <w:top w:w="70" w:type="dxa"/>
              <w:start w:w="70" w:type="dxa"/>
              <w:bottom w:w="70" w:type="dxa"/>
              <w:end w:w="70" w:type="dxa"/>
            </w:tcMar>
          </w:tcPr>
          <w:p>
            <w:r/>
            <w:r>
              <w:rPr>
                <w:rFonts w:ascii="Aptos" w:hAnsi="Aptos"/>
                <w:b w:val="0"/>
                <w:color w:val="000000"/>
                <w:sz w:val="16"/>
              </w:rPr>
              <w:t>Cash reconciliation formula</w:t>
            </w:r>
          </w:p>
        </w:tc>
        <w:tc>
          <w:tcPr>
            <w:tcW w:type="dxa" w:w="7200"/>
            <w:vAlign w:val="center"/>
            <w:tcMar>
              <w:top w:w="70" w:type="dxa"/>
              <w:start w:w="70" w:type="dxa"/>
              <w:bottom w:w="70" w:type="dxa"/>
              <w:end w:w="70" w:type="dxa"/>
            </w:tcMar>
          </w:tcPr>
          <w:p>
            <w:r/>
            <w:r>
              <w:rPr>
                <w:rFonts w:ascii="Aptos" w:hAnsi="Aptos"/>
                <w:b w:val="0"/>
                <w:color w:val="000000"/>
                <w:sz w:val="16"/>
              </w:rPr>
              <w:t>Confirm opening/petty-cash treatment and exact handling of cash expenses/transfers in expected-cash formula.</w:t>
            </w:r>
          </w:p>
        </w:tc>
      </w:tr>
      <w:tr>
        <w:trPr>
          <w:cantSplit/>
        </w:trPr>
        <w:tc>
          <w:tcPr>
            <w:tcW w:type="dxa" w:w="2592"/>
            <w:vAlign w:val="center"/>
            <w:shd w:fill="F8FAFC"/>
            <w:tcMar>
              <w:top w:w="70" w:type="dxa"/>
              <w:start w:w="70" w:type="dxa"/>
              <w:bottom w:w="70" w:type="dxa"/>
              <w:end w:w="70" w:type="dxa"/>
            </w:tcMar>
          </w:tcPr>
          <w:p>
            <w:r/>
            <w:r>
              <w:rPr>
                <w:rFonts w:ascii="Aptos" w:hAnsi="Aptos"/>
                <w:b w:val="0"/>
                <w:color w:val="000000"/>
                <w:sz w:val="16"/>
              </w:rPr>
              <w:t>Expense taxonomy</w:t>
            </w:r>
          </w:p>
        </w:tc>
        <w:tc>
          <w:tcPr>
            <w:tcW w:type="dxa" w:w="7200"/>
            <w:vAlign w:val="center"/>
            <w:shd w:fill="F8FAFC"/>
            <w:tcMar>
              <w:top w:w="70" w:type="dxa"/>
              <w:start w:w="70" w:type="dxa"/>
              <w:bottom w:w="70" w:type="dxa"/>
              <w:end w:w="70" w:type="dxa"/>
            </w:tcMar>
          </w:tcPr>
          <w:p>
            <w:r/>
            <w:r>
              <w:rPr>
                <w:rFonts w:ascii="Aptos" w:hAnsi="Aptos"/>
                <w:b w:val="0"/>
                <w:color w:val="000000"/>
                <w:sz w:val="16"/>
              </w:rPr>
              <w:t>Final controlled categories for cashier and Housebank expenses.</w:t>
            </w:r>
          </w:p>
        </w:tc>
      </w:tr>
      <w:tr>
        <w:trPr>
          <w:cantSplit/>
        </w:trPr>
        <w:tc>
          <w:tcPr>
            <w:tcW w:type="dxa" w:w="2592"/>
            <w:vAlign w:val="center"/>
            <w:tcMar>
              <w:top w:w="70" w:type="dxa"/>
              <w:start w:w="70" w:type="dxa"/>
              <w:bottom w:w="70" w:type="dxa"/>
              <w:end w:w="70" w:type="dxa"/>
            </w:tcMar>
          </w:tcPr>
          <w:p>
            <w:r/>
            <w:r>
              <w:rPr>
                <w:rFonts w:ascii="Aptos" w:hAnsi="Aptos"/>
                <w:b w:val="0"/>
                <w:color w:val="000000"/>
                <w:sz w:val="16"/>
              </w:rPr>
              <w:t>Purchase Request fields</w:t>
            </w:r>
          </w:p>
        </w:tc>
        <w:tc>
          <w:tcPr>
            <w:tcW w:type="dxa" w:w="7200"/>
            <w:vAlign w:val="center"/>
            <w:tcMar>
              <w:top w:w="70" w:type="dxa"/>
              <w:start w:w="70" w:type="dxa"/>
              <w:bottom w:w="70" w:type="dxa"/>
              <w:end w:w="70" w:type="dxa"/>
            </w:tcMar>
          </w:tcPr>
          <w:p>
            <w:r/>
            <w:r>
              <w:rPr>
                <w:rFonts w:ascii="Aptos" w:hAnsi="Aptos"/>
                <w:b w:val="0"/>
                <w:color w:val="000000"/>
                <w:sz w:val="16"/>
              </w:rPr>
              <w:t>Exact item/amount/vendor fields and whether multi-item request is needed in first UI.</w:t>
            </w:r>
          </w:p>
        </w:tc>
      </w:tr>
      <w:tr>
        <w:trPr>
          <w:cantSplit/>
        </w:trPr>
        <w:tc>
          <w:tcPr>
            <w:tcW w:type="dxa" w:w="2592"/>
            <w:vAlign w:val="center"/>
            <w:shd w:fill="F8FAFC"/>
            <w:tcMar>
              <w:top w:w="70" w:type="dxa"/>
              <w:start w:w="70" w:type="dxa"/>
              <w:bottom w:w="70" w:type="dxa"/>
              <w:end w:w="70" w:type="dxa"/>
            </w:tcMar>
          </w:tcPr>
          <w:p>
            <w:r/>
            <w:r>
              <w:rPr>
                <w:rFonts w:ascii="Aptos" w:hAnsi="Aptos"/>
                <w:b w:val="0"/>
                <w:color w:val="000000"/>
                <w:sz w:val="16"/>
              </w:rPr>
              <w:t>Receipt storage</w:t>
            </w:r>
          </w:p>
        </w:tc>
        <w:tc>
          <w:tcPr>
            <w:tcW w:type="dxa" w:w="7200"/>
            <w:vAlign w:val="center"/>
            <w:shd w:fill="F8FAFC"/>
            <w:tcMar>
              <w:top w:w="70" w:type="dxa"/>
              <w:start w:w="70" w:type="dxa"/>
              <w:bottom w:w="70" w:type="dxa"/>
              <w:end w:w="70" w:type="dxa"/>
            </w:tcMar>
          </w:tcPr>
          <w:p>
            <w:r/>
            <w:r>
              <w:rPr>
                <w:rFonts w:ascii="Aptos" w:hAnsi="Aptos"/>
                <w:b w:val="0"/>
                <w:color w:val="000000"/>
                <w:sz w:val="16"/>
              </w:rPr>
              <w:t>Whether receipts remain Google Drive links or need direct upload later.</w:t>
            </w:r>
          </w:p>
        </w:tc>
      </w:tr>
      <w:tr>
        <w:trPr>
          <w:cantSplit/>
        </w:trPr>
        <w:tc>
          <w:tcPr>
            <w:tcW w:type="dxa" w:w="2592"/>
            <w:vAlign w:val="center"/>
            <w:tcMar>
              <w:top w:w="70" w:type="dxa"/>
              <w:start w:w="70" w:type="dxa"/>
              <w:bottom w:w="70" w:type="dxa"/>
              <w:end w:w="70" w:type="dxa"/>
            </w:tcMar>
          </w:tcPr>
          <w:p>
            <w:r/>
            <w:r>
              <w:rPr>
                <w:rFonts w:ascii="Aptos" w:hAnsi="Aptos"/>
                <w:b w:val="0"/>
                <w:color w:val="000000"/>
                <w:sz w:val="16"/>
              </w:rPr>
              <w:t>Email content branding</w:t>
            </w:r>
          </w:p>
        </w:tc>
        <w:tc>
          <w:tcPr>
            <w:tcW w:type="dxa" w:w="7200"/>
            <w:vAlign w:val="center"/>
            <w:tcMar>
              <w:top w:w="70" w:type="dxa"/>
              <w:start w:w="70" w:type="dxa"/>
              <w:bottom w:w="70" w:type="dxa"/>
              <w:end w:w="70" w:type="dxa"/>
            </w:tcMar>
          </w:tcPr>
          <w:p>
            <w:r/>
            <w:r>
              <w:rPr>
                <w:rFonts w:ascii="Aptos" w:hAnsi="Aptos"/>
                <w:b w:val="0"/>
                <w:color w:val="000000"/>
                <w:sz w:val="16"/>
              </w:rPr>
              <w:t>Final sender name, subject, layout, and whether attachment (PDF/XLSX) is required.</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D9EAF7"/>
            <w:vAlign w:val="center"/>
            <w:tcMar>
              <w:top w:w="100" w:type="dxa"/>
              <w:start w:w="120" w:type="dxa"/>
              <w:bottom w:w="100" w:type="dxa"/>
              <w:end w:w="120" w:type="dxa"/>
            </w:tcMar>
          </w:tcPr>
          <w:p>
            <w:r/>
            <w:r>
              <w:rPr>
                <w:rFonts w:ascii="Aptos" w:hAnsi="Aptos"/>
                <w:b w:val="0"/>
                <w:color w:val="000000"/>
                <w:sz w:val="17"/>
              </w:rPr>
              <w:t>These items do not block the architecture or data-model direction. They should be closed during the next ERD + screen specification phase.</w:t>
            </w:r>
          </w:p>
        </w:tc>
      </w:tr>
    </w:tbl>
    <w:p>
      <w:pPr>
        <w:spacing w:after="20"/>
      </w:pPr>
    </w:p>
    <w:p>
      <w:r>
        <w:br w:type="page"/>
      </w:r>
    </w:p>
    <w:p>
      <w:pPr>
        <w:pStyle w:val="Heading1"/>
      </w:pPr>
      <w:r>
        <w:t>Appendix A. Current Process Flow References</w:t>
      </w:r>
    </w:p>
    <w:p>
      <w:pPr>
        <w:pStyle w:val="Heading2"/>
      </w:pPr>
      <w:r>
        <w:t>A.1 Alur Pemesanan dan Pembayaran Tamu</w:t>
      </w:r>
    </w:p>
    <w:p>
      <w:pPr>
        <w:jc w:val="center"/>
      </w:pPr>
      <w:r>
        <w:drawing>
          <wp:inline xmlns:a="http://schemas.openxmlformats.org/drawingml/2006/main" xmlns:pic="http://schemas.openxmlformats.org/drawingml/2006/picture">
            <wp:extent cx="5943600" cy="5489890"/>
            <wp:docPr id="1" name="Picture 1"/>
            <wp:cNvGraphicFramePr>
              <a:graphicFrameLocks noChangeAspect="1"/>
            </wp:cNvGraphicFramePr>
            <a:graphic>
              <a:graphicData uri="http://schemas.openxmlformats.org/drawingml/2006/picture">
                <pic:pic>
                  <pic:nvPicPr>
                    <pic:cNvPr id="0" name="546c5adf-ad9d-4a49-bef5-4758022b39e7.png"/>
                    <pic:cNvPicPr/>
                  </pic:nvPicPr>
                  <pic:blipFill>
                    <a:blip r:embed="rId11"/>
                    <a:stretch>
                      <a:fillRect/>
                    </a:stretch>
                  </pic:blipFill>
                  <pic:spPr>
                    <a:xfrm>
                      <a:off x="0" y="0"/>
                      <a:ext cx="5943600" cy="5489890"/>
                    </a:xfrm>
                    <a:prstGeom prst="rect"/>
                  </pic:spPr>
                </pic:pic>
              </a:graphicData>
            </a:graphic>
          </wp:inline>
        </w:drawing>
      </w:r>
    </w:p>
    <w:p>
      <w:pPr>
        <w:pStyle w:val="SRSSmall"/>
      </w:pPr>
      <w:r>
        <w:t>Reference supplied by stakeholder; the SRS translates this flow into system requirements and audit states.</w:t>
      </w:r>
    </w:p>
    <w:p>
      <w:pPr>
        <w:pStyle w:val="Heading2"/>
      </w:pPr>
      <w:r>
        <w:t>A.2 Alur Pengajuan Dana Belanja / Operasional</w:t>
      </w:r>
    </w:p>
    <w:p>
      <w:pPr>
        <w:jc w:val="center"/>
      </w:pPr>
      <w:r>
        <w:drawing>
          <wp:inline xmlns:a="http://schemas.openxmlformats.org/drawingml/2006/main" xmlns:pic="http://schemas.openxmlformats.org/drawingml/2006/picture">
            <wp:extent cx="5943600" cy="7290321"/>
            <wp:docPr id="2" name="Picture 2"/>
            <wp:cNvGraphicFramePr>
              <a:graphicFrameLocks noChangeAspect="1"/>
            </wp:cNvGraphicFramePr>
            <a:graphic>
              <a:graphicData uri="http://schemas.openxmlformats.org/drawingml/2006/picture">
                <pic:pic>
                  <pic:nvPicPr>
                    <pic:cNvPr id="0" name="e817ca00-2f0f-43a4-9f98-825fb8973123.png"/>
                    <pic:cNvPicPr/>
                  </pic:nvPicPr>
                  <pic:blipFill>
                    <a:blip r:embed="rId12"/>
                    <a:stretch>
                      <a:fillRect/>
                    </a:stretch>
                  </pic:blipFill>
                  <pic:spPr>
                    <a:xfrm>
                      <a:off x="0" y="0"/>
                      <a:ext cx="5943600" cy="7290321"/>
                    </a:xfrm>
                    <a:prstGeom prst="rect"/>
                  </pic:spPr>
                </pic:pic>
              </a:graphicData>
            </a:graphic>
          </wp:inline>
        </w:drawing>
      </w:r>
    </w:p>
    <w:p>
      <w:pPr>
        <w:pStyle w:val="SRSSmall"/>
      </w:pPr>
      <w:r>
        <w:t>Reference supplied by stakeholder; the SRS translates this flow into system requirements and audit states.</w:t>
      </w:r>
    </w:p>
    <w:p>
      <w:pPr>
        <w:pStyle w:val="Heading2"/>
      </w:pPr>
      <w:r>
        <w:t>A.3 Stock Opname</w:t>
      </w:r>
    </w:p>
    <w:p>
      <w:pPr>
        <w:jc w:val="center"/>
      </w:pPr>
      <w:r>
        <w:drawing>
          <wp:inline xmlns:a="http://schemas.openxmlformats.org/drawingml/2006/main" xmlns:pic="http://schemas.openxmlformats.org/drawingml/2006/picture">
            <wp:extent cx="5943600" cy="3328644"/>
            <wp:docPr id="3" name="Picture 3"/>
            <wp:cNvGraphicFramePr>
              <a:graphicFrameLocks noChangeAspect="1"/>
            </wp:cNvGraphicFramePr>
            <a:graphic>
              <a:graphicData uri="http://schemas.openxmlformats.org/drawingml/2006/picture">
                <pic:pic>
                  <pic:nvPicPr>
                    <pic:cNvPr id="0" name="e55a9627-c1d9-45f6-81fa-6c2bb30e0151.png"/>
                    <pic:cNvPicPr/>
                  </pic:nvPicPr>
                  <pic:blipFill>
                    <a:blip r:embed="rId13"/>
                    <a:stretch>
                      <a:fillRect/>
                    </a:stretch>
                  </pic:blipFill>
                  <pic:spPr>
                    <a:xfrm>
                      <a:off x="0" y="0"/>
                      <a:ext cx="5943600" cy="3328644"/>
                    </a:xfrm>
                    <a:prstGeom prst="rect"/>
                  </pic:spPr>
                </pic:pic>
              </a:graphicData>
            </a:graphic>
          </wp:inline>
        </w:drawing>
      </w:r>
    </w:p>
    <w:p>
      <w:pPr>
        <w:pStyle w:val="SRSSmall"/>
      </w:pPr>
      <w:r>
        <w:t>Reference supplied by stakeholder; the SRS translates this flow into system requirements and audit states.</w:t>
      </w:r>
    </w:p>
    <w:p>
      <w:r>
        <w:br w:type="page"/>
      </w:r>
    </w:p>
    <w:p>
      <w:pPr>
        <w:pStyle w:val="Heading1"/>
      </w:pPr>
      <w:r>
        <w:t>Appendix B. Spreadsheet-to-System Mapping</w:t>
      </w:r>
    </w:p>
    <w:p>
      <w:pPr>
        <w:pStyle w:val="Heading2"/>
      </w:pPr>
      <w:r>
        <w:t>B.1 Cashier Report (Responses)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168"/>
            <w:vAlign w:val="center"/>
            <w:shd w:fill="17365D"/>
            <w:tcMar>
              <w:top w:w="70" w:type="dxa"/>
              <w:start w:w="70" w:type="dxa"/>
              <w:bottom w:w="70" w:type="dxa"/>
              <w:end w:w="70" w:type="dxa"/>
            </w:tcMar>
          </w:tcPr>
          <w:p>
            <w:pPr>
              <w:jc w:val="center"/>
            </w:pPr>
            <w:r/>
            <w:r>
              <w:rPr>
                <w:rFonts w:ascii="Aptos" w:hAnsi="Aptos"/>
                <w:b/>
                <w:color w:val="FFFFFF"/>
                <w:sz w:val="16"/>
              </w:rPr>
              <w:t>Source Column/Group</w:t>
            </w:r>
          </w:p>
        </w:tc>
        <w:tc>
          <w:tcPr>
            <w:tcW w:type="dxa" w:w="3312"/>
            <w:vAlign w:val="center"/>
            <w:shd w:fill="17365D"/>
            <w:tcMar>
              <w:top w:w="70" w:type="dxa"/>
              <w:start w:w="70" w:type="dxa"/>
              <w:bottom w:w="70" w:type="dxa"/>
              <w:end w:w="70" w:type="dxa"/>
            </w:tcMar>
          </w:tcPr>
          <w:p>
            <w:pPr>
              <w:jc w:val="center"/>
            </w:pPr>
            <w:r/>
            <w:r>
              <w:rPr>
                <w:rFonts w:ascii="Aptos" w:hAnsi="Aptos"/>
                <w:b/>
                <w:color w:val="FFFFFF"/>
                <w:sz w:val="16"/>
              </w:rPr>
              <w:t>Target Concept</w:t>
            </w:r>
          </w:p>
        </w:tc>
        <w:tc>
          <w:tcPr>
            <w:tcW w:type="dxa" w:w="3312"/>
            <w:vAlign w:val="center"/>
            <w:shd w:fill="17365D"/>
            <w:tcMar>
              <w:top w:w="70" w:type="dxa"/>
              <w:start w:w="70" w:type="dxa"/>
              <w:bottom w:w="70" w:type="dxa"/>
              <w:end w:w="70" w:type="dxa"/>
            </w:tcMar>
          </w:tcPr>
          <w:p>
            <w:pPr>
              <w:jc w:val="center"/>
            </w:pPr>
            <w:r/>
            <w:r>
              <w:rPr>
                <w:rFonts w:ascii="Aptos" w:hAnsi="Aptos"/>
                <w:b/>
                <w:color w:val="FFFFFF"/>
                <w:sz w:val="16"/>
              </w:rPr>
              <w:t>Rule</w:t>
            </w:r>
          </w:p>
        </w:tc>
      </w:tr>
      <w:tr>
        <w:trPr>
          <w:cantSplit/>
        </w:trPr>
        <w:tc>
          <w:tcPr>
            <w:tcW w:type="dxa" w:w="3168"/>
            <w:vAlign w:val="center"/>
            <w:tcMar>
              <w:top w:w="70" w:type="dxa"/>
              <w:start w:w="70" w:type="dxa"/>
              <w:bottom w:w="70" w:type="dxa"/>
              <w:end w:w="70" w:type="dxa"/>
            </w:tcMar>
          </w:tcPr>
          <w:p>
            <w:r/>
            <w:r>
              <w:rPr>
                <w:rFonts w:ascii="Aptos" w:hAnsi="Aptos"/>
                <w:b w:val="0"/>
                <w:color w:val="000000"/>
                <w:sz w:val="14"/>
              </w:rPr>
              <w:t>Timestamp</w:t>
            </w:r>
          </w:p>
        </w:tc>
        <w:tc>
          <w:tcPr>
            <w:tcW w:type="dxa" w:w="3312"/>
            <w:vAlign w:val="center"/>
            <w:tcMar>
              <w:top w:w="70" w:type="dxa"/>
              <w:start w:w="70" w:type="dxa"/>
              <w:bottom w:w="70" w:type="dxa"/>
              <w:end w:w="70" w:type="dxa"/>
            </w:tcMar>
          </w:tcPr>
          <w:p>
            <w:r/>
            <w:r>
              <w:rPr>
                <w:rFonts w:ascii="Aptos" w:hAnsi="Aptos"/>
                <w:b w:val="0"/>
                <w:color w:val="000000"/>
                <w:sz w:val="14"/>
              </w:rPr>
              <w:t>raw_form_submissions.submitted_at</w:t>
            </w:r>
          </w:p>
        </w:tc>
        <w:tc>
          <w:tcPr>
            <w:tcW w:type="dxa" w:w="3312"/>
            <w:vAlign w:val="center"/>
            <w:tcMar>
              <w:top w:w="70" w:type="dxa"/>
              <w:start w:w="70" w:type="dxa"/>
              <w:bottom w:w="70" w:type="dxa"/>
              <w:end w:w="70" w:type="dxa"/>
            </w:tcMar>
          </w:tcPr>
          <w:p>
            <w:r/>
            <w:r>
              <w:rPr>
                <w:rFonts w:ascii="Aptos" w:hAnsi="Aptos"/>
                <w:b w:val="0"/>
                <w:color w:val="000000"/>
                <w:sz w:val="14"/>
              </w:rPr>
              <w:t>Source submission time; not Business Date.</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4"/>
              </w:rPr>
              <w:t>Tanggal Pelaporan</w:t>
            </w:r>
          </w:p>
        </w:tc>
        <w:tc>
          <w:tcPr>
            <w:tcW w:type="dxa" w:w="3312"/>
            <w:vAlign w:val="center"/>
            <w:shd w:fill="F8FAFC"/>
            <w:tcMar>
              <w:top w:w="70" w:type="dxa"/>
              <w:start w:w="70" w:type="dxa"/>
              <w:bottom w:w="70" w:type="dxa"/>
              <w:end w:w="70" w:type="dxa"/>
            </w:tcMar>
          </w:tcPr>
          <w:p>
            <w:r/>
            <w:r>
              <w:rPr>
                <w:rFonts w:ascii="Aptos" w:hAnsi="Aptos"/>
                <w:b w:val="0"/>
                <w:color w:val="000000"/>
                <w:sz w:val="14"/>
              </w:rPr>
              <w:t>cashier_reports.business_date</w:t>
            </w:r>
          </w:p>
        </w:tc>
        <w:tc>
          <w:tcPr>
            <w:tcW w:type="dxa" w:w="3312"/>
            <w:vAlign w:val="center"/>
            <w:shd w:fill="F8FAFC"/>
            <w:tcMar>
              <w:top w:w="70" w:type="dxa"/>
              <w:start w:w="70" w:type="dxa"/>
              <w:bottom w:w="70" w:type="dxa"/>
              <w:end w:w="70" w:type="dxa"/>
            </w:tcMar>
          </w:tcPr>
          <w:p>
            <w:r/>
            <w:r>
              <w:rPr>
                <w:rFonts w:ascii="Aptos" w:hAnsi="Aptos"/>
                <w:b w:val="0"/>
                <w:color w:val="000000"/>
                <w:sz w:val="14"/>
              </w:rPr>
              <w:t>Primary business/reporting date.</w:t>
            </w:r>
          </w:p>
        </w:tc>
      </w:tr>
      <w:tr>
        <w:trPr>
          <w:cantSplit/>
        </w:trPr>
        <w:tc>
          <w:tcPr>
            <w:tcW w:type="dxa" w:w="3168"/>
            <w:vAlign w:val="center"/>
            <w:tcMar>
              <w:top w:w="70" w:type="dxa"/>
              <w:start w:w="70" w:type="dxa"/>
              <w:bottom w:w="70" w:type="dxa"/>
              <w:end w:w="70" w:type="dxa"/>
            </w:tcMar>
          </w:tcPr>
          <w:p>
            <w:r/>
            <w:r>
              <w:rPr>
                <w:rFonts w:ascii="Aptos" w:hAnsi="Aptos"/>
                <w:b w:val="0"/>
                <w:color w:val="000000"/>
                <w:sz w:val="14"/>
              </w:rPr>
              <w:t>Nama Cashier</w:t>
            </w:r>
          </w:p>
        </w:tc>
        <w:tc>
          <w:tcPr>
            <w:tcW w:type="dxa" w:w="3312"/>
            <w:vAlign w:val="center"/>
            <w:tcMar>
              <w:top w:w="70" w:type="dxa"/>
              <w:start w:w="70" w:type="dxa"/>
              <w:bottom w:w="70" w:type="dxa"/>
              <w:end w:w="70" w:type="dxa"/>
            </w:tcMar>
          </w:tcPr>
          <w:p>
            <w:r/>
            <w:r>
              <w:rPr>
                <w:rFonts w:ascii="Aptos" w:hAnsi="Aptos"/>
                <w:b w:val="0"/>
                <w:color w:val="000000"/>
                <w:sz w:val="14"/>
              </w:rPr>
              <w:t>cashier_reports.cashier_user/name</w:t>
            </w:r>
          </w:p>
        </w:tc>
        <w:tc>
          <w:tcPr>
            <w:tcW w:type="dxa" w:w="3312"/>
            <w:vAlign w:val="center"/>
            <w:tcMar>
              <w:top w:w="70" w:type="dxa"/>
              <w:start w:w="70" w:type="dxa"/>
              <w:bottom w:w="70" w:type="dxa"/>
              <w:end w:w="70" w:type="dxa"/>
            </w:tcMar>
          </w:tcPr>
          <w:p>
            <w:r/>
            <w:r>
              <w:rPr>
                <w:rFonts w:ascii="Aptos" w:hAnsi="Aptos"/>
                <w:b w:val="0"/>
                <w:color w:val="000000"/>
                <w:sz w:val="14"/>
              </w:rPr>
              <w:t>Cashier identity; may require mapping to application user.</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4"/>
              </w:rPr>
              <w:t>Waktu Shift</w:t>
            </w:r>
          </w:p>
        </w:tc>
        <w:tc>
          <w:tcPr>
            <w:tcW w:type="dxa" w:w="3312"/>
            <w:vAlign w:val="center"/>
            <w:shd w:fill="F8FAFC"/>
            <w:tcMar>
              <w:top w:w="70" w:type="dxa"/>
              <w:start w:w="70" w:type="dxa"/>
              <w:bottom w:w="70" w:type="dxa"/>
              <w:end w:w="70" w:type="dxa"/>
            </w:tcMar>
          </w:tcPr>
          <w:p>
            <w:r/>
            <w:r>
              <w:rPr>
                <w:rFonts w:ascii="Aptos" w:hAnsi="Aptos"/>
                <w:b w:val="0"/>
                <w:color w:val="000000"/>
                <w:sz w:val="14"/>
              </w:rPr>
              <w:t>cashier_reports.shift</w:t>
            </w:r>
          </w:p>
        </w:tc>
        <w:tc>
          <w:tcPr>
            <w:tcW w:type="dxa" w:w="3312"/>
            <w:vAlign w:val="center"/>
            <w:shd w:fill="F8FAFC"/>
            <w:tcMar>
              <w:top w:w="70" w:type="dxa"/>
              <w:start w:w="70" w:type="dxa"/>
              <w:bottom w:w="70" w:type="dxa"/>
              <w:end w:w="70" w:type="dxa"/>
            </w:tcMar>
          </w:tcPr>
          <w:p>
            <w:r/>
            <w:r>
              <w:rPr>
                <w:rFonts w:ascii="Aptos" w:hAnsi="Aptos"/>
                <w:b w:val="0"/>
                <w:color w:val="000000"/>
                <w:sz w:val="14"/>
              </w:rPr>
              <w:t>Shift label.</w:t>
            </w:r>
          </w:p>
        </w:tc>
      </w:tr>
      <w:tr>
        <w:trPr>
          <w:cantSplit/>
        </w:trPr>
        <w:tc>
          <w:tcPr>
            <w:tcW w:type="dxa" w:w="3168"/>
            <w:vAlign w:val="center"/>
            <w:tcMar>
              <w:top w:w="70" w:type="dxa"/>
              <w:start w:w="70" w:type="dxa"/>
              <w:bottom w:w="70" w:type="dxa"/>
              <w:end w:w="70" w:type="dxa"/>
            </w:tcMar>
          </w:tcPr>
          <w:p>
            <w:r/>
            <w:r>
              <w:rPr>
                <w:rFonts w:ascii="Aptos" w:hAnsi="Aptos"/>
                <w:b w:val="0"/>
                <w:color w:val="000000"/>
                <w:sz w:val="14"/>
              </w:rPr>
              <w:t>Transaksi / Transaksi 2</w:t>
            </w:r>
          </w:p>
        </w:tc>
        <w:tc>
          <w:tcPr>
            <w:tcW w:type="dxa" w:w="3312"/>
            <w:vAlign w:val="center"/>
            <w:tcMar>
              <w:top w:w="70" w:type="dxa"/>
              <w:start w:w="70" w:type="dxa"/>
              <w:bottom w:w="70" w:type="dxa"/>
              <w:end w:w="70" w:type="dxa"/>
            </w:tcMar>
          </w:tcPr>
          <w:p>
            <w:r/>
            <w:r>
              <w:rPr>
                <w:rFonts w:ascii="Aptos" w:hAnsi="Aptos"/>
                <w:b w:val="0"/>
                <w:color w:val="000000"/>
                <w:sz w:val="14"/>
              </w:rPr>
              <w:t>cashier_reports / expense classification</w:t>
            </w:r>
          </w:p>
        </w:tc>
        <w:tc>
          <w:tcPr>
            <w:tcW w:type="dxa" w:w="3312"/>
            <w:vAlign w:val="center"/>
            <w:tcMar>
              <w:top w:w="70" w:type="dxa"/>
              <w:start w:w="70" w:type="dxa"/>
              <w:bottom w:w="70" w:type="dxa"/>
              <w:end w:w="70" w:type="dxa"/>
            </w:tcMar>
          </w:tcPr>
          <w:p>
            <w:r/>
            <w:r>
              <w:rPr>
                <w:rFonts w:ascii="Aptos" w:hAnsi="Aptos"/>
                <w:b w:val="0"/>
                <w:color w:val="000000"/>
                <w:sz w:val="14"/>
              </w:rPr>
              <w:t>Branch/control data; normalize meaningful transaction type.</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4"/>
              </w:rPr>
              <w:t>Jumlah belanja lainnya + staff</w:t>
            </w:r>
          </w:p>
        </w:tc>
        <w:tc>
          <w:tcPr>
            <w:tcW w:type="dxa" w:w="3312"/>
            <w:vAlign w:val="center"/>
            <w:shd w:fill="F8FAFC"/>
            <w:tcMar>
              <w:top w:w="70" w:type="dxa"/>
              <w:start w:w="70" w:type="dxa"/>
              <w:bottom w:w="70" w:type="dxa"/>
              <w:end w:w="70" w:type="dxa"/>
            </w:tcMar>
          </w:tcPr>
          <w:p>
            <w:r/>
            <w:r>
              <w:rPr>
                <w:rFonts w:ascii="Aptos" w:hAnsi="Aptos"/>
                <w:b w:val="0"/>
                <w:color w:val="000000"/>
                <w:sz w:val="14"/>
              </w:rPr>
              <w:t>cashier_expense_lines</w:t>
            </w:r>
          </w:p>
        </w:tc>
        <w:tc>
          <w:tcPr>
            <w:tcW w:type="dxa" w:w="3312"/>
            <w:vAlign w:val="center"/>
            <w:shd w:fill="F8FAFC"/>
            <w:tcMar>
              <w:top w:w="70" w:type="dxa"/>
              <w:start w:w="70" w:type="dxa"/>
              <w:bottom w:w="70" w:type="dxa"/>
              <w:end w:w="70" w:type="dxa"/>
            </w:tcMar>
          </w:tcPr>
          <w:p>
            <w:r/>
            <w:r>
              <w:rPr>
                <w:rFonts w:ascii="Aptos" w:hAnsi="Aptos"/>
                <w:b w:val="0"/>
                <w:color w:val="000000"/>
                <w:sz w:val="14"/>
              </w:rPr>
              <w:t>Expense category: Other.</w:t>
            </w:r>
          </w:p>
        </w:tc>
      </w:tr>
      <w:tr>
        <w:trPr>
          <w:cantSplit/>
        </w:trPr>
        <w:tc>
          <w:tcPr>
            <w:tcW w:type="dxa" w:w="3168"/>
            <w:vAlign w:val="center"/>
            <w:tcMar>
              <w:top w:w="70" w:type="dxa"/>
              <w:start w:w="70" w:type="dxa"/>
              <w:bottom w:w="70" w:type="dxa"/>
              <w:end w:w="70" w:type="dxa"/>
            </w:tcMar>
          </w:tcPr>
          <w:p>
            <w:r/>
            <w:r>
              <w:rPr>
                <w:rFonts w:ascii="Aptos" w:hAnsi="Aptos"/>
                <w:b w:val="0"/>
                <w:color w:val="000000"/>
                <w:sz w:val="14"/>
              </w:rPr>
              <w:t>Jumlah makan karyawan + staff</w:t>
            </w:r>
          </w:p>
        </w:tc>
        <w:tc>
          <w:tcPr>
            <w:tcW w:type="dxa" w:w="3312"/>
            <w:vAlign w:val="center"/>
            <w:tcMar>
              <w:top w:w="70" w:type="dxa"/>
              <w:start w:w="70" w:type="dxa"/>
              <w:bottom w:w="70" w:type="dxa"/>
              <w:end w:w="70" w:type="dxa"/>
            </w:tcMar>
          </w:tcPr>
          <w:p>
            <w:r/>
            <w:r>
              <w:rPr>
                <w:rFonts w:ascii="Aptos" w:hAnsi="Aptos"/>
                <w:b w:val="0"/>
                <w:color w:val="000000"/>
                <w:sz w:val="14"/>
              </w:rPr>
              <w:t>cashier_expense_lines</w:t>
            </w:r>
          </w:p>
        </w:tc>
        <w:tc>
          <w:tcPr>
            <w:tcW w:type="dxa" w:w="3312"/>
            <w:vAlign w:val="center"/>
            <w:tcMar>
              <w:top w:w="70" w:type="dxa"/>
              <w:start w:w="70" w:type="dxa"/>
              <w:bottom w:w="70" w:type="dxa"/>
              <w:end w:w="70" w:type="dxa"/>
            </w:tcMar>
          </w:tcPr>
          <w:p>
            <w:r/>
            <w:r>
              <w:rPr>
                <w:rFonts w:ascii="Aptos" w:hAnsi="Aptos"/>
                <w:b w:val="0"/>
                <w:color w:val="000000"/>
                <w:sz w:val="14"/>
              </w:rPr>
              <w:t>Expense category: Employee Meal.</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4"/>
              </w:rPr>
              <w:t>Jumlah belanja transportasi + staff</w:t>
            </w:r>
          </w:p>
        </w:tc>
        <w:tc>
          <w:tcPr>
            <w:tcW w:type="dxa" w:w="3312"/>
            <w:vAlign w:val="center"/>
            <w:shd w:fill="F8FAFC"/>
            <w:tcMar>
              <w:top w:w="70" w:type="dxa"/>
              <w:start w:w="70" w:type="dxa"/>
              <w:bottom w:w="70" w:type="dxa"/>
              <w:end w:w="70" w:type="dxa"/>
            </w:tcMar>
          </w:tcPr>
          <w:p>
            <w:r/>
            <w:r>
              <w:rPr>
                <w:rFonts w:ascii="Aptos" w:hAnsi="Aptos"/>
                <w:b w:val="0"/>
                <w:color w:val="000000"/>
                <w:sz w:val="14"/>
              </w:rPr>
              <w:t>cashier_expense_lines</w:t>
            </w:r>
          </w:p>
        </w:tc>
        <w:tc>
          <w:tcPr>
            <w:tcW w:type="dxa" w:w="3312"/>
            <w:vAlign w:val="center"/>
            <w:shd w:fill="F8FAFC"/>
            <w:tcMar>
              <w:top w:w="70" w:type="dxa"/>
              <w:start w:w="70" w:type="dxa"/>
              <w:bottom w:w="70" w:type="dxa"/>
              <w:end w:w="70" w:type="dxa"/>
            </w:tcMar>
          </w:tcPr>
          <w:p>
            <w:r/>
            <w:r>
              <w:rPr>
                <w:rFonts w:ascii="Aptos" w:hAnsi="Aptos"/>
                <w:b w:val="0"/>
                <w:color w:val="000000"/>
                <w:sz w:val="14"/>
              </w:rPr>
              <w:t>Expense category: Transport.</w:t>
            </w:r>
          </w:p>
        </w:tc>
      </w:tr>
      <w:tr>
        <w:trPr>
          <w:cantSplit/>
        </w:trPr>
        <w:tc>
          <w:tcPr>
            <w:tcW w:type="dxa" w:w="3168"/>
            <w:vAlign w:val="center"/>
            <w:tcMar>
              <w:top w:w="70" w:type="dxa"/>
              <w:start w:w="70" w:type="dxa"/>
              <w:bottom w:w="70" w:type="dxa"/>
              <w:end w:w="70" w:type="dxa"/>
            </w:tcMar>
          </w:tcPr>
          <w:p>
            <w:r/>
            <w:r>
              <w:rPr>
                <w:rFonts w:ascii="Aptos" w:hAnsi="Aptos"/>
                <w:b w:val="0"/>
                <w:color w:val="000000"/>
                <w:sz w:val="14"/>
              </w:rPr>
              <w:t>Jumlah belanja peralatan/perlengkapan + staff</w:t>
            </w:r>
          </w:p>
        </w:tc>
        <w:tc>
          <w:tcPr>
            <w:tcW w:type="dxa" w:w="3312"/>
            <w:vAlign w:val="center"/>
            <w:tcMar>
              <w:top w:w="70" w:type="dxa"/>
              <w:start w:w="70" w:type="dxa"/>
              <w:bottom w:w="70" w:type="dxa"/>
              <w:end w:w="70" w:type="dxa"/>
            </w:tcMar>
          </w:tcPr>
          <w:p>
            <w:r/>
            <w:r>
              <w:rPr>
                <w:rFonts w:ascii="Aptos" w:hAnsi="Aptos"/>
                <w:b w:val="0"/>
                <w:color w:val="000000"/>
                <w:sz w:val="14"/>
              </w:rPr>
              <w:t>cashier_expense_lines</w:t>
            </w:r>
          </w:p>
        </w:tc>
        <w:tc>
          <w:tcPr>
            <w:tcW w:type="dxa" w:w="3312"/>
            <w:vAlign w:val="center"/>
            <w:tcMar>
              <w:top w:w="70" w:type="dxa"/>
              <w:start w:w="70" w:type="dxa"/>
              <w:bottom w:w="70" w:type="dxa"/>
              <w:end w:w="70" w:type="dxa"/>
            </w:tcMar>
          </w:tcPr>
          <w:p>
            <w:r/>
            <w:r>
              <w:rPr>
                <w:rFonts w:ascii="Aptos" w:hAnsi="Aptos"/>
                <w:b w:val="0"/>
                <w:color w:val="000000"/>
                <w:sz w:val="14"/>
              </w:rPr>
              <w:t>Expense category: Equipment/Supplies.</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4"/>
              </w:rPr>
              <w:t>Jumlah belanja bahan baku + staff</w:t>
            </w:r>
          </w:p>
        </w:tc>
        <w:tc>
          <w:tcPr>
            <w:tcW w:type="dxa" w:w="3312"/>
            <w:vAlign w:val="center"/>
            <w:shd w:fill="F8FAFC"/>
            <w:tcMar>
              <w:top w:w="70" w:type="dxa"/>
              <w:start w:w="70" w:type="dxa"/>
              <w:bottom w:w="70" w:type="dxa"/>
              <w:end w:w="70" w:type="dxa"/>
            </w:tcMar>
          </w:tcPr>
          <w:p>
            <w:r/>
            <w:r>
              <w:rPr>
                <w:rFonts w:ascii="Aptos" w:hAnsi="Aptos"/>
                <w:b w:val="0"/>
                <w:color w:val="000000"/>
                <w:sz w:val="14"/>
              </w:rPr>
              <w:t>cashier_expense_lines</w:t>
            </w:r>
          </w:p>
        </w:tc>
        <w:tc>
          <w:tcPr>
            <w:tcW w:type="dxa" w:w="3312"/>
            <w:vAlign w:val="center"/>
            <w:shd w:fill="F8FAFC"/>
            <w:tcMar>
              <w:top w:w="70" w:type="dxa"/>
              <w:start w:w="70" w:type="dxa"/>
              <w:bottom w:w="70" w:type="dxa"/>
              <w:end w:w="70" w:type="dxa"/>
            </w:tcMar>
          </w:tcPr>
          <w:p>
            <w:r/>
            <w:r>
              <w:rPr>
                <w:rFonts w:ascii="Aptos" w:hAnsi="Aptos"/>
                <w:b w:val="0"/>
                <w:color w:val="000000"/>
                <w:sz w:val="14"/>
              </w:rPr>
              <w:t>Expense category: Raw Material.</w:t>
            </w:r>
          </w:p>
        </w:tc>
      </w:tr>
      <w:tr>
        <w:trPr>
          <w:cantSplit/>
        </w:trPr>
        <w:tc>
          <w:tcPr>
            <w:tcW w:type="dxa" w:w="3168"/>
            <w:vAlign w:val="center"/>
            <w:tcMar>
              <w:top w:w="70" w:type="dxa"/>
              <w:start w:w="70" w:type="dxa"/>
              <w:bottom w:w="70" w:type="dxa"/>
              <w:end w:w="70" w:type="dxa"/>
            </w:tcMar>
          </w:tcPr>
          <w:p>
            <w:r/>
            <w:r>
              <w:rPr>
                <w:rFonts w:ascii="Aptos" w:hAnsi="Aptos"/>
                <w:b w:val="0"/>
                <w:color w:val="000000"/>
                <w:sz w:val="14"/>
              </w:rPr>
              <w:t>Pembayaran Cash / Cash 2</w:t>
            </w:r>
          </w:p>
        </w:tc>
        <w:tc>
          <w:tcPr>
            <w:tcW w:type="dxa" w:w="3312"/>
            <w:vAlign w:val="center"/>
            <w:tcMar>
              <w:top w:w="70" w:type="dxa"/>
              <w:start w:w="70" w:type="dxa"/>
              <w:bottom w:w="70" w:type="dxa"/>
              <w:end w:w="70" w:type="dxa"/>
            </w:tcMar>
          </w:tcPr>
          <w:p>
            <w:r/>
            <w:r>
              <w:rPr>
                <w:rFonts w:ascii="Aptos" w:hAnsi="Aptos"/>
                <w:b w:val="0"/>
                <w:color w:val="000000"/>
                <w:sz w:val="14"/>
              </w:rPr>
              <w:t>payment_lines(CASH)</w:t>
            </w:r>
          </w:p>
        </w:tc>
        <w:tc>
          <w:tcPr>
            <w:tcW w:type="dxa" w:w="3312"/>
            <w:vAlign w:val="center"/>
            <w:tcMar>
              <w:top w:w="70" w:type="dxa"/>
              <w:start w:w="70" w:type="dxa"/>
              <w:bottom w:w="70" w:type="dxa"/>
              <w:end w:w="70" w:type="dxa"/>
            </w:tcMar>
          </w:tcPr>
          <w:p>
            <w:r/>
            <w:r>
              <w:rPr>
                <w:rFonts w:ascii="Aptos" w:hAnsi="Aptos"/>
                <w:b w:val="0"/>
                <w:color w:val="000000"/>
                <w:sz w:val="14"/>
              </w:rPr>
              <w:t>Consolidate non-null branch values.</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4"/>
              </w:rPr>
              <w:t>Pembayaran QRIS / QRIS 2</w:t>
            </w:r>
          </w:p>
        </w:tc>
        <w:tc>
          <w:tcPr>
            <w:tcW w:type="dxa" w:w="3312"/>
            <w:vAlign w:val="center"/>
            <w:shd w:fill="F8FAFC"/>
            <w:tcMar>
              <w:top w:w="70" w:type="dxa"/>
              <w:start w:w="70" w:type="dxa"/>
              <w:bottom w:w="70" w:type="dxa"/>
              <w:end w:w="70" w:type="dxa"/>
            </w:tcMar>
          </w:tcPr>
          <w:p>
            <w:r/>
            <w:r>
              <w:rPr>
                <w:rFonts w:ascii="Aptos" w:hAnsi="Aptos"/>
                <w:b w:val="0"/>
                <w:color w:val="000000"/>
                <w:sz w:val="14"/>
              </w:rPr>
              <w:t>payment_lines(QRIS)</w:t>
            </w:r>
          </w:p>
        </w:tc>
        <w:tc>
          <w:tcPr>
            <w:tcW w:type="dxa" w:w="3312"/>
            <w:vAlign w:val="center"/>
            <w:shd w:fill="F8FAFC"/>
            <w:tcMar>
              <w:top w:w="70" w:type="dxa"/>
              <w:start w:w="70" w:type="dxa"/>
              <w:bottom w:w="70" w:type="dxa"/>
              <w:end w:w="70" w:type="dxa"/>
            </w:tcMar>
          </w:tcPr>
          <w:p>
            <w:r/>
            <w:r>
              <w:rPr>
                <w:rFonts w:ascii="Aptos" w:hAnsi="Aptos"/>
                <w:b w:val="0"/>
                <w:color w:val="000000"/>
                <w:sz w:val="14"/>
              </w:rPr>
              <w:t>Consolidate non-null branch values.</w:t>
            </w:r>
          </w:p>
        </w:tc>
      </w:tr>
      <w:tr>
        <w:trPr>
          <w:cantSplit/>
        </w:trPr>
        <w:tc>
          <w:tcPr>
            <w:tcW w:type="dxa" w:w="3168"/>
            <w:vAlign w:val="center"/>
            <w:tcMar>
              <w:top w:w="70" w:type="dxa"/>
              <w:start w:w="70" w:type="dxa"/>
              <w:bottom w:w="70" w:type="dxa"/>
              <w:end w:w="70" w:type="dxa"/>
            </w:tcMar>
          </w:tcPr>
          <w:p>
            <w:r/>
            <w:r>
              <w:rPr>
                <w:rFonts w:ascii="Aptos" w:hAnsi="Aptos"/>
                <w:b w:val="0"/>
                <w:color w:val="000000"/>
                <w:sz w:val="14"/>
              </w:rPr>
              <w:t>Pembayaran Transfer / Transfer 2</w:t>
            </w:r>
          </w:p>
        </w:tc>
        <w:tc>
          <w:tcPr>
            <w:tcW w:type="dxa" w:w="3312"/>
            <w:vAlign w:val="center"/>
            <w:tcMar>
              <w:top w:w="70" w:type="dxa"/>
              <w:start w:w="70" w:type="dxa"/>
              <w:bottom w:w="70" w:type="dxa"/>
              <w:end w:w="70" w:type="dxa"/>
            </w:tcMar>
          </w:tcPr>
          <w:p>
            <w:r/>
            <w:r>
              <w:rPr>
                <w:rFonts w:ascii="Aptos" w:hAnsi="Aptos"/>
                <w:b w:val="0"/>
                <w:color w:val="000000"/>
                <w:sz w:val="14"/>
              </w:rPr>
              <w:t>payment_lines(TRANSFER)</w:t>
            </w:r>
          </w:p>
        </w:tc>
        <w:tc>
          <w:tcPr>
            <w:tcW w:type="dxa" w:w="3312"/>
            <w:vAlign w:val="center"/>
            <w:tcMar>
              <w:top w:w="70" w:type="dxa"/>
              <w:start w:w="70" w:type="dxa"/>
              <w:bottom w:w="70" w:type="dxa"/>
              <w:end w:w="70" w:type="dxa"/>
            </w:tcMar>
          </w:tcPr>
          <w:p>
            <w:r/>
            <w:r>
              <w:rPr>
                <w:rFonts w:ascii="Aptos" w:hAnsi="Aptos"/>
                <w:b w:val="0"/>
                <w:color w:val="000000"/>
                <w:sz w:val="14"/>
              </w:rPr>
              <w:t>Consolidate non-null branch values.</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4"/>
              </w:rPr>
              <w:t>Pembayaran Piutang / City Ledger</w:t>
            </w:r>
          </w:p>
        </w:tc>
        <w:tc>
          <w:tcPr>
            <w:tcW w:type="dxa" w:w="3312"/>
            <w:vAlign w:val="center"/>
            <w:shd w:fill="F8FAFC"/>
            <w:tcMar>
              <w:top w:w="70" w:type="dxa"/>
              <w:start w:w="70" w:type="dxa"/>
              <w:bottom w:w="70" w:type="dxa"/>
              <w:end w:w="70" w:type="dxa"/>
            </w:tcMar>
          </w:tcPr>
          <w:p>
            <w:r/>
            <w:r>
              <w:rPr>
                <w:rFonts w:ascii="Aptos" w:hAnsi="Aptos"/>
                <w:b w:val="0"/>
                <w:color w:val="000000"/>
                <w:sz w:val="14"/>
              </w:rPr>
              <w:t>payment_lines(RECEIVABLE)</w:t>
            </w:r>
          </w:p>
        </w:tc>
        <w:tc>
          <w:tcPr>
            <w:tcW w:type="dxa" w:w="3312"/>
            <w:vAlign w:val="center"/>
            <w:shd w:fill="F8FAFC"/>
            <w:tcMar>
              <w:top w:w="70" w:type="dxa"/>
              <w:start w:w="70" w:type="dxa"/>
              <w:bottom w:w="70" w:type="dxa"/>
              <w:end w:w="70" w:type="dxa"/>
            </w:tcMar>
          </w:tcPr>
          <w:p>
            <w:r/>
            <w:r>
              <w:rPr>
                <w:rFonts w:ascii="Aptos" w:hAnsi="Aptos"/>
                <w:b w:val="0"/>
                <w:color w:val="000000"/>
                <w:sz w:val="14"/>
              </w:rPr>
              <w:t>Keep distinct code if business requires.</w:t>
            </w:r>
          </w:p>
        </w:tc>
      </w:tr>
      <w:tr>
        <w:trPr>
          <w:cantSplit/>
        </w:trPr>
        <w:tc>
          <w:tcPr>
            <w:tcW w:type="dxa" w:w="3168"/>
            <w:vAlign w:val="center"/>
            <w:tcMar>
              <w:top w:w="70" w:type="dxa"/>
              <w:start w:w="70" w:type="dxa"/>
              <w:bottom w:w="70" w:type="dxa"/>
              <w:end w:w="70" w:type="dxa"/>
            </w:tcMar>
          </w:tcPr>
          <w:p>
            <w:r/>
            <w:r>
              <w:rPr>
                <w:rFonts w:ascii="Aptos" w:hAnsi="Aptos"/>
                <w:b w:val="0"/>
                <w:color w:val="000000"/>
                <w:sz w:val="14"/>
              </w:rPr>
              <w:t>Pembayaran di Muka (DP)</w:t>
            </w:r>
          </w:p>
        </w:tc>
        <w:tc>
          <w:tcPr>
            <w:tcW w:type="dxa" w:w="3312"/>
            <w:vAlign w:val="center"/>
            <w:tcMar>
              <w:top w:w="70" w:type="dxa"/>
              <w:start w:w="70" w:type="dxa"/>
              <w:bottom w:w="70" w:type="dxa"/>
              <w:end w:w="70" w:type="dxa"/>
            </w:tcMar>
          </w:tcPr>
          <w:p>
            <w:r/>
            <w:r>
              <w:rPr>
                <w:rFonts w:ascii="Aptos" w:hAnsi="Aptos"/>
                <w:b w:val="0"/>
                <w:color w:val="000000"/>
                <w:sz w:val="14"/>
              </w:rPr>
              <w:t>payment_lines(DP)</w:t>
            </w:r>
          </w:p>
        </w:tc>
        <w:tc>
          <w:tcPr>
            <w:tcW w:type="dxa" w:w="3312"/>
            <w:vAlign w:val="center"/>
            <w:tcMar>
              <w:top w:w="70" w:type="dxa"/>
              <w:start w:w="70" w:type="dxa"/>
              <w:bottom w:w="70" w:type="dxa"/>
              <w:end w:w="70" w:type="dxa"/>
            </w:tcMar>
          </w:tcPr>
          <w:p>
            <w:r/>
            <w:r>
              <w:rPr>
                <w:rFonts w:ascii="Aptos" w:hAnsi="Aptos"/>
                <w:b w:val="0"/>
                <w:color w:val="000000"/>
                <w:sz w:val="14"/>
              </w:rPr>
              <w:t>Do not automatically treat as normal cash sales without accounting rule.</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4"/>
              </w:rPr>
              <w:t>Pembayaran Promosi / Kerjasama Promosi</w:t>
            </w:r>
          </w:p>
        </w:tc>
        <w:tc>
          <w:tcPr>
            <w:tcW w:type="dxa" w:w="3312"/>
            <w:vAlign w:val="center"/>
            <w:shd w:fill="F8FAFC"/>
            <w:tcMar>
              <w:top w:w="70" w:type="dxa"/>
              <w:start w:w="70" w:type="dxa"/>
              <w:bottom w:w="70" w:type="dxa"/>
              <w:end w:w="70" w:type="dxa"/>
            </w:tcMar>
          </w:tcPr>
          <w:p>
            <w:r/>
            <w:r>
              <w:rPr>
                <w:rFonts w:ascii="Aptos" w:hAnsi="Aptos"/>
                <w:b w:val="0"/>
                <w:color w:val="000000"/>
                <w:sz w:val="14"/>
              </w:rPr>
              <w:t>payment_lines(PROMOTION)</w:t>
            </w:r>
          </w:p>
        </w:tc>
        <w:tc>
          <w:tcPr>
            <w:tcW w:type="dxa" w:w="3312"/>
            <w:vAlign w:val="center"/>
            <w:shd w:fill="F8FAFC"/>
            <w:tcMar>
              <w:top w:w="70" w:type="dxa"/>
              <w:start w:w="70" w:type="dxa"/>
              <w:bottom w:w="70" w:type="dxa"/>
              <w:end w:w="70" w:type="dxa"/>
            </w:tcMar>
          </w:tcPr>
          <w:p>
            <w:r/>
            <w:r>
              <w:rPr>
                <w:rFonts w:ascii="Aptos" w:hAnsi="Aptos"/>
                <w:b w:val="0"/>
                <w:color w:val="000000"/>
                <w:sz w:val="14"/>
              </w:rPr>
              <w:t>Controlled payment/settlement classification.</w:t>
            </w:r>
          </w:p>
        </w:tc>
      </w:tr>
      <w:tr>
        <w:trPr>
          <w:cantSplit/>
        </w:trPr>
        <w:tc>
          <w:tcPr>
            <w:tcW w:type="dxa" w:w="3168"/>
            <w:vAlign w:val="center"/>
            <w:tcMar>
              <w:top w:w="70" w:type="dxa"/>
              <w:start w:w="70" w:type="dxa"/>
              <w:bottom w:w="70" w:type="dxa"/>
              <w:end w:w="70" w:type="dxa"/>
            </w:tcMar>
          </w:tcPr>
          <w:p>
            <w:r/>
            <w:r>
              <w:rPr>
                <w:rFonts w:ascii="Aptos" w:hAnsi="Aptos"/>
                <w:b w:val="0"/>
                <w:color w:val="000000"/>
                <w:sz w:val="14"/>
              </w:rPr>
              <w:t>Debit / Credit Visa / Mastercard</w:t>
            </w:r>
          </w:p>
        </w:tc>
        <w:tc>
          <w:tcPr>
            <w:tcW w:type="dxa" w:w="3312"/>
            <w:vAlign w:val="center"/>
            <w:tcMar>
              <w:top w:w="70" w:type="dxa"/>
              <w:start w:w="70" w:type="dxa"/>
              <w:bottom w:w="70" w:type="dxa"/>
              <w:end w:w="70" w:type="dxa"/>
            </w:tcMar>
          </w:tcPr>
          <w:p>
            <w:r/>
            <w:r>
              <w:rPr>
                <w:rFonts w:ascii="Aptos" w:hAnsi="Aptos"/>
                <w:b w:val="0"/>
                <w:color w:val="000000"/>
                <w:sz w:val="14"/>
              </w:rPr>
              <w:t>payment_lines(CARD_*)</w:t>
            </w:r>
          </w:p>
        </w:tc>
        <w:tc>
          <w:tcPr>
            <w:tcW w:type="dxa" w:w="3312"/>
            <w:vAlign w:val="center"/>
            <w:tcMar>
              <w:top w:w="70" w:type="dxa"/>
              <w:start w:w="70" w:type="dxa"/>
              <w:bottom w:w="70" w:type="dxa"/>
              <w:end w:w="70" w:type="dxa"/>
            </w:tcMar>
          </w:tcPr>
          <w:p>
            <w:r/>
            <w:r>
              <w:rPr>
                <w:rFonts w:ascii="Aptos" w:hAnsi="Aptos"/>
                <w:b w:val="0"/>
                <w:color w:val="000000"/>
                <w:sz w:val="14"/>
              </w:rPr>
              <w:t>Normalize payment method.</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4"/>
              </w:rPr>
              <w:t>Opening &amp; Closing Status</w:t>
            </w:r>
          </w:p>
        </w:tc>
        <w:tc>
          <w:tcPr>
            <w:tcW w:type="dxa" w:w="3312"/>
            <w:vAlign w:val="center"/>
            <w:shd w:fill="F8FAFC"/>
            <w:tcMar>
              <w:top w:w="70" w:type="dxa"/>
              <w:start w:w="70" w:type="dxa"/>
              <w:bottom w:w="70" w:type="dxa"/>
              <w:end w:w="70" w:type="dxa"/>
            </w:tcMar>
          </w:tcPr>
          <w:p>
            <w:r/>
            <w:r>
              <w:rPr>
                <w:rFonts w:ascii="Aptos" w:hAnsi="Aptos"/>
                <w:b w:val="0"/>
                <w:color w:val="000000"/>
                <w:sz w:val="14"/>
              </w:rPr>
              <w:t>cashier_reports.status</w:t>
            </w:r>
          </w:p>
        </w:tc>
        <w:tc>
          <w:tcPr>
            <w:tcW w:type="dxa" w:w="3312"/>
            <w:vAlign w:val="center"/>
            <w:shd w:fill="F8FAFC"/>
            <w:tcMar>
              <w:top w:w="70" w:type="dxa"/>
              <w:start w:w="70" w:type="dxa"/>
              <w:bottom w:w="70" w:type="dxa"/>
              <w:end w:w="70" w:type="dxa"/>
            </w:tcMar>
          </w:tcPr>
          <w:p>
            <w:r/>
            <w:r>
              <w:rPr>
                <w:rFonts w:ascii="Aptos" w:hAnsi="Aptos"/>
                <w:b w:val="0"/>
                <w:color w:val="000000"/>
                <w:sz w:val="14"/>
              </w:rPr>
              <w:t>Opening/Closing state.</w:t>
            </w:r>
          </w:p>
        </w:tc>
      </w:tr>
      <w:tr>
        <w:trPr>
          <w:cantSplit/>
        </w:trPr>
        <w:tc>
          <w:tcPr>
            <w:tcW w:type="dxa" w:w="3168"/>
            <w:vAlign w:val="center"/>
            <w:tcMar>
              <w:top w:w="70" w:type="dxa"/>
              <w:start w:w="70" w:type="dxa"/>
              <w:bottom w:w="70" w:type="dxa"/>
              <w:end w:w="70" w:type="dxa"/>
            </w:tcMar>
          </w:tcPr>
          <w:p>
            <w:r/>
            <w:r>
              <w:rPr>
                <w:rFonts w:ascii="Aptos" w:hAnsi="Aptos"/>
                <w:b w:val="0"/>
                <w:color w:val="000000"/>
                <w:sz w:val="14"/>
              </w:rPr>
              <w:t>Jumlah petty cash / petty cash 2</w:t>
            </w:r>
          </w:p>
        </w:tc>
        <w:tc>
          <w:tcPr>
            <w:tcW w:type="dxa" w:w="3312"/>
            <w:vAlign w:val="center"/>
            <w:tcMar>
              <w:top w:w="70" w:type="dxa"/>
              <w:start w:w="70" w:type="dxa"/>
              <w:bottom w:w="70" w:type="dxa"/>
              <w:end w:w="70" w:type="dxa"/>
            </w:tcMar>
          </w:tcPr>
          <w:p>
            <w:r/>
            <w:r>
              <w:rPr>
                <w:rFonts w:ascii="Aptos" w:hAnsi="Aptos"/>
                <w:b w:val="0"/>
                <w:color w:val="000000"/>
                <w:sz w:val="14"/>
              </w:rPr>
              <w:t>cashier_reports.petty_cash</w:t>
            </w:r>
          </w:p>
        </w:tc>
        <w:tc>
          <w:tcPr>
            <w:tcW w:type="dxa" w:w="3312"/>
            <w:vAlign w:val="center"/>
            <w:tcMar>
              <w:top w:w="70" w:type="dxa"/>
              <w:start w:w="70" w:type="dxa"/>
              <w:bottom w:w="70" w:type="dxa"/>
              <w:end w:w="70" w:type="dxa"/>
            </w:tcMar>
          </w:tcPr>
          <w:p>
            <w:r/>
            <w:r>
              <w:rPr>
                <w:rFonts w:ascii="Aptos" w:hAnsi="Aptos"/>
                <w:b w:val="0"/>
                <w:color w:val="000000"/>
                <w:sz w:val="14"/>
              </w:rPr>
              <w:t>Branch variants normalize to one field/history.</w:t>
            </w:r>
          </w:p>
        </w:tc>
      </w:tr>
      <w:tr>
        <w:trPr>
          <w:cantSplit/>
        </w:trPr>
        <w:tc>
          <w:tcPr>
            <w:tcW w:type="dxa" w:w="3168"/>
            <w:vAlign w:val="center"/>
            <w:shd w:fill="F8FAFC"/>
            <w:tcMar>
              <w:top w:w="70" w:type="dxa"/>
              <w:start w:w="70" w:type="dxa"/>
              <w:bottom w:w="70" w:type="dxa"/>
              <w:end w:w="70" w:type="dxa"/>
            </w:tcMar>
          </w:tcPr>
          <w:p>
            <w:r/>
            <w:r>
              <w:rPr>
                <w:rFonts w:ascii="Aptos" w:hAnsi="Aptos"/>
                <w:b w:val="0"/>
                <w:color w:val="000000"/>
                <w:sz w:val="14"/>
              </w:rPr>
              <w:t>Pecahan 100k…500 (+ variants)</w:t>
            </w:r>
          </w:p>
        </w:tc>
        <w:tc>
          <w:tcPr>
            <w:tcW w:type="dxa" w:w="3312"/>
            <w:vAlign w:val="center"/>
            <w:shd w:fill="F8FAFC"/>
            <w:tcMar>
              <w:top w:w="70" w:type="dxa"/>
              <w:start w:w="70" w:type="dxa"/>
              <w:bottom w:w="70" w:type="dxa"/>
              <w:end w:w="70" w:type="dxa"/>
            </w:tcMar>
          </w:tcPr>
          <w:p>
            <w:r/>
            <w:r>
              <w:rPr>
                <w:rFonts w:ascii="Aptos" w:hAnsi="Aptos"/>
                <w:b w:val="0"/>
                <w:color w:val="000000"/>
                <w:sz w:val="14"/>
              </w:rPr>
              <w:t>cash_denominations</w:t>
            </w:r>
          </w:p>
        </w:tc>
        <w:tc>
          <w:tcPr>
            <w:tcW w:type="dxa" w:w="3312"/>
            <w:vAlign w:val="center"/>
            <w:shd w:fill="F8FAFC"/>
            <w:tcMar>
              <w:top w:w="70" w:type="dxa"/>
              <w:start w:w="70" w:type="dxa"/>
              <w:bottom w:w="70" w:type="dxa"/>
              <w:end w:w="70" w:type="dxa"/>
            </w:tcMar>
          </w:tcPr>
          <w:p>
            <w:r/>
            <w:r>
              <w:rPr>
                <w:rFonts w:ascii="Aptos" w:hAnsi="Aptos"/>
                <w:b w:val="0"/>
                <w:color w:val="000000"/>
                <w:sz w:val="14"/>
              </w:rPr>
              <w:t>Store denomination counts and calculate actual cash.</w:t>
            </w:r>
          </w:p>
        </w:tc>
      </w:tr>
      <w:tr>
        <w:trPr>
          <w:cantSplit/>
        </w:trPr>
        <w:tc>
          <w:tcPr>
            <w:tcW w:type="dxa" w:w="3168"/>
            <w:vAlign w:val="center"/>
            <w:tcMar>
              <w:top w:w="70" w:type="dxa"/>
              <w:start w:w="70" w:type="dxa"/>
              <w:bottom w:w="70" w:type="dxa"/>
              <w:end w:w="70" w:type="dxa"/>
            </w:tcMar>
          </w:tcPr>
          <w:p>
            <w:r/>
            <w:r>
              <w:rPr>
                <w:rFonts w:ascii="Aptos" w:hAnsi="Aptos"/>
                <w:b w:val="0"/>
                <w:color w:val="000000"/>
                <w:sz w:val="14"/>
              </w:rPr>
              <w:t>Jumlah cash di luar petty cash (+ variant)</w:t>
            </w:r>
          </w:p>
        </w:tc>
        <w:tc>
          <w:tcPr>
            <w:tcW w:type="dxa" w:w="3312"/>
            <w:vAlign w:val="center"/>
            <w:tcMar>
              <w:top w:w="70" w:type="dxa"/>
              <w:start w:w="70" w:type="dxa"/>
              <w:bottom w:w="70" w:type="dxa"/>
              <w:end w:w="70" w:type="dxa"/>
            </w:tcMar>
          </w:tcPr>
          <w:p>
            <w:r/>
            <w:r>
              <w:rPr>
                <w:rFonts w:ascii="Aptos" w:hAnsi="Aptos"/>
                <w:b w:val="0"/>
                <w:color w:val="000000"/>
                <w:sz w:val="14"/>
              </w:rPr>
              <w:t>cashier_reports.cash_outside_petty</w:t>
            </w:r>
          </w:p>
        </w:tc>
        <w:tc>
          <w:tcPr>
            <w:tcW w:type="dxa" w:w="3312"/>
            <w:vAlign w:val="center"/>
            <w:tcMar>
              <w:top w:w="70" w:type="dxa"/>
              <w:start w:w="70" w:type="dxa"/>
              <w:bottom w:w="70" w:type="dxa"/>
              <w:end w:w="70" w:type="dxa"/>
            </w:tcMar>
          </w:tcPr>
          <w:p>
            <w:r/>
            <w:r>
              <w:rPr>
                <w:rFonts w:ascii="Aptos" w:hAnsi="Aptos"/>
                <w:b w:val="0"/>
                <w:color w:val="000000"/>
                <w:sz w:val="14"/>
              </w:rPr>
              <w:t>Used in cash reconciliation.</w:t>
            </w:r>
          </w:p>
        </w:tc>
      </w:tr>
    </w:tbl>
    <w:p>
      <w:pPr>
        <w:spacing w:after="20"/>
      </w:pPr>
    </w:p>
    <w:p>
      <w:pPr>
        <w:pStyle w:val="Heading2"/>
      </w:pPr>
      <w:r>
        <w:t>B.2 Daily Sales Kitchen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024"/>
            <w:vAlign w:val="center"/>
            <w:shd w:fill="17365D"/>
            <w:tcMar>
              <w:top w:w="70" w:type="dxa"/>
              <w:start w:w="70" w:type="dxa"/>
              <w:bottom w:w="70" w:type="dxa"/>
              <w:end w:w="70" w:type="dxa"/>
            </w:tcMar>
          </w:tcPr>
          <w:p>
            <w:pPr>
              <w:jc w:val="center"/>
            </w:pPr>
            <w:r/>
            <w:r>
              <w:rPr>
                <w:rFonts w:ascii="Aptos" w:hAnsi="Aptos"/>
                <w:b/>
                <w:color w:val="FFFFFF"/>
                <w:sz w:val="16"/>
              </w:rPr>
              <w:t>Source Column/Group</w:t>
            </w:r>
          </w:p>
        </w:tc>
        <w:tc>
          <w:tcPr>
            <w:tcW w:type="dxa" w:w="3312"/>
            <w:vAlign w:val="center"/>
            <w:shd w:fill="17365D"/>
            <w:tcMar>
              <w:top w:w="70" w:type="dxa"/>
              <w:start w:w="70" w:type="dxa"/>
              <w:bottom w:w="70" w:type="dxa"/>
              <w:end w:w="70" w:type="dxa"/>
            </w:tcMar>
          </w:tcPr>
          <w:p>
            <w:pPr>
              <w:jc w:val="center"/>
            </w:pPr>
            <w:r/>
            <w:r>
              <w:rPr>
                <w:rFonts w:ascii="Aptos" w:hAnsi="Aptos"/>
                <w:b/>
                <w:color w:val="FFFFFF"/>
                <w:sz w:val="16"/>
              </w:rPr>
              <w:t>Target Concept</w:t>
            </w:r>
          </w:p>
        </w:tc>
        <w:tc>
          <w:tcPr>
            <w:tcW w:type="dxa" w:w="3456"/>
            <w:vAlign w:val="center"/>
            <w:shd w:fill="17365D"/>
            <w:tcMar>
              <w:top w:w="70" w:type="dxa"/>
              <w:start w:w="70" w:type="dxa"/>
              <w:bottom w:w="70" w:type="dxa"/>
              <w:end w:w="70" w:type="dxa"/>
            </w:tcMar>
          </w:tcPr>
          <w:p>
            <w:pPr>
              <w:jc w:val="center"/>
            </w:pPr>
            <w:r/>
            <w:r>
              <w:rPr>
                <w:rFonts w:ascii="Aptos" w:hAnsi="Aptos"/>
                <w:b/>
                <w:color w:val="FFFFFF"/>
                <w:sz w:val="16"/>
              </w:rPr>
              <w:t>Rule</w:t>
            </w:r>
          </w:p>
        </w:tc>
      </w:tr>
      <w:tr>
        <w:trPr>
          <w:cantSplit/>
        </w:trPr>
        <w:tc>
          <w:tcPr>
            <w:tcW w:type="dxa" w:w="3024"/>
            <w:vAlign w:val="center"/>
            <w:tcMar>
              <w:top w:w="70" w:type="dxa"/>
              <w:start w:w="70" w:type="dxa"/>
              <w:bottom w:w="70" w:type="dxa"/>
              <w:end w:w="70" w:type="dxa"/>
            </w:tcMar>
          </w:tcPr>
          <w:p>
            <w:r/>
            <w:r>
              <w:rPr>
                <w:rFonts w:ascii="Aptos" w:hAnsi="Aptos"/>
                <w:b w:val="0"/>
                <w:color w:val="000000"/>
                <w:sz w:val="15"/>
              </w:rPr>
              <w:t>Timestamp</w:t>
            </w:r>
          </w:p>
        </w:tc>
        <w:tc>
          <w:tcPr>
            <w:tcW w:type="dxa" w:w="3312"/>
            <w:vAlign w:val="center"/>
            <w:tcMar>
              <w:top w:w="70" w:type="dxa"/>
              <w:start w:w="70" w:type="dxa"/>
              <w:bottom w:w="70" w:type="dxa"/>
              <w:end w:w="70" w:type="dxa"/>
            </w:tcMar>
          </w:tcPr>
          <w:p>
            <w:r/>
            <w:r>
              <w:rPr>
                <w:rFonts w:ascii="Aptos" w:hAnsi="Aptos"/>
                <w:b w:val="0"/>
                <w:color w:val="000000"/>
                <w:sz w:val="15"/>
              </w:rPr>
              <w:t>raw_form_submissions.submitted_at</w:t>
            </w:r>
          </w:p>
        </w:tc>
        <w:tc>
          <w:tcPr>
            <w:tcW w:type="dxa" w:w="3456"/>
            <w:vAlign w:val="center"/>
            <w:tcMar>
              <w:top w:w="70" w:type="dxa"/>
              <w:start w:w="70" w:type="dxa"/>
              <w:bottom w:w="70" w:type="dxa"/>
              <w:end w:w="70" w:type="dxa"/>
            </w:tcMar>
          </w:tcPr>
          <w:p>
            <w:r/>
            <w:r>
              <w:rPr>
                <w:rFonts w:ascii="Aptos" w:hAnsi="Aptos"/>
                <w:b w:val="0"/>
                <w:color w:val="000000"/>
                <w:sz w:val="15"/>
              </w:rPr>
              <w:t>Submission timestamp.</w:t>
            </w:r>
          </w:p>
        </w:tc>
      </w:tr>
      <w:tr>
        <w:trPr>
          <w:cantSplit/>
        </w:trPr>
        <w:tc>
          <w:tcPr>
            <w:tcW w:type="dxa" w:w="3024"/>
            <w:vAlign w:val="center"/>
            <w:shd w:fill="F8FAFC"/>
            <w:tcMar>
              <w:top w:w="70" w:type="dxa"/>
              <w:start w:w="70" w:type="dxa"/>
              <w:bottom w:w="70" w:type="dxa"/>
              <w:end w:w="70" w:type="dxa"/>
            </w:tcMar>
          </w:tcPr>
          <w:p>
            <w:r/>
            <w:r>
              <w:rPr>
                <w:rFonts w:ascii="Aptos" w:hAnsi="Aptos"/>
                <w:b w:val="0"/>
                <w:color w:val="000000"/>
                <w:sz w:val="15"/>
              </w:rPr>
              <w:t>Nama Inputer</w:t>
            </w:r>
          </w:p>
        </w:tc>
        <w:tc>
          <w:tcPr>
            <w:tcW w:type="dxa" w:w="3312"/>
            <w:vAlign w:val="center"/>
            <w:shd w:fill="F8FAFC"/>
            <w:tcMar>
              <w:top w:w="70" w:type="dxa"/>
              <w:start w:w="70" w:type="dxa"/>
              <w:bottom w:w="70" w:type="dxa"/>
              <w:end w:w="70" w:type="dxa"/>
            </w:tcMar>
          </w:tcPr>
          <w:p>
            <w:r/>
            <w:r>
              <w:rPr>
                <w:rFonts w:ascii="Aptos" w:hAnsi="Aptos"/>
                <w:b w:val="0"/>
                <w:color w:val="000000"/>
                <w:sz w:val="15"/>
              </w:rPr>
              <w:t>sales_reports.inputter</w:t>
            </w:r>
          </w:p>
        </w:tc>
        <w:tc>
          <w:tcPr>
            <w:tcW w:type="dxa" w:w="3456"/>
            <w:vAlign w:val="center"/>
            <w:shd w:fill="F8FAFC"/>
            <w:tcMar>
              <w:top w:w="70" w:type="dxa"/>
              <w:start w:w="70" w:type="dxa"/>
              <w:bottom w:w="70" w:type="dxa"/>
              <w:end w:w="70" w:type="dxa"/>
            </w:tcMar>
          </w:tcPr>
          <w:p>
            <w:r/>
            <w:r>
              <w:rPr>
                <w:rFonts w:ascii="Aptos" w:hAnsi="Aptos"/>
                <w:b w:val="0"/>
                <w:color w:val="000000"/>
                <w:sz w:val="15"/>
              </w:rPr>
              <w:t>Kitchen inputter.</w:t>
            </w:r>
          </w:p>
        </w:tc>
      </w:tr>
      <w:tr>
        <w:trPr>
          <w:cantSplit/>
        </w:trPr>
        <w:tc>
          <w:tcPr>
            <w:tcW w:type="dxa" w:w="3024"/>
            <w:vAlign w:val="center"/>
            <w:tcMar>
              <w:top w:w="70" w:type="dxa"/>
              <w:start w:w="70" w:type="dxa"/>
              <w:bottom w:w="70" w:type="dxa"/>
              <w:end w:w="70" w:type="dxa"/>
            </w:tcMar>
          </w:tcPr>
          <w:p>
            <w:r/>
            <w:r>
              <w:rPr>
                <w:rFonts w:ascii="Aptos" w:hAnsi="Aptos"/>
                <w:b w:val="0"/>
                <w:color w:val="000000"/>
                <w:sz w:val="15"/>
              </w:rPr>
              <w:t>Tanggal penjualan</w:t>
            </w:r>
          </w:p>
        </w:tc>
        <w:tc>
          <w:tcPr>
            <w:tcW w:type="dxa" w:w="3312"/>
            <w:vAlign w:val="center"/>
            <w:tcMar>
              <w:top w:w="70" w:type="dxa"/>
              <w:start w:w="70" w:type="dxa"/>
              <w:bottom w:w="70" w:type="dxa"/>
              <w:end w:w="70" w:type="dxa"/>
            </w:tcMar>
          </w:tcPr>
          <w:p>
            <w:r/>
            <w:r>
              <w:rPr>
                <w:rFonts w:ascii="Aptos" w:hAnsi="Aptos"/>
                <w:b w:val="0"/>
                <w:color w:val="000000"/>
                <w:sz w:val="15"/>
              </w:rPr>
              <w:t>sales_reports.business_date</w:t>
            </w:r>
          </w:p>
        </w:tc>
        <w:tc>
          <w:tcPr>
            <w:tcW w:type="dxa" w:w="3456"/>
            <w:vAlign w:val="center"/>
            <w:tcMar>
              <w:top w:w="70" w:type="dxa"/>
              <w:start w:w="70" w:type="dxa"/>
              <w:bottom w:w="70" w:type="dxa"/>
              <w:end w:w="70" w:type="dxa"/>
            </w:tcMar>
          </w:tcPr>
          <w:p>
            <w:r/>
            <w:r>
              <w:rPr>
                <w:rFonts w:ascii="Aptos" w:hAnsi="Aptos"/>
                <w:b w:val="0"/>
                <w:color w:val="000000"/>
                <w:sz w:val="15"/>
              </w:rPr>
              <w:t>Authoritative Business Date.</w:t>
            </w:r>
          </w:p>
        </w:tc>
      </w:tr>
      <w:tr>
        <w:trPr>
          <w:cantSplit/>
        </w:trPr>
        <w:tc>
          <w:tcPr>
            <w:tcW w:type="dxa" w:w="3024"/>
            <w:vAlign w:val="center"/>
            <w:shd w:fill="F8FAFC"/>
            <w:tcMar>
              <w:top w:w="70" w:type="dxa"/>
              <w:start w:w="70" w:type="dxa"/>
              <w:bottom w:w="70" w:type="dxa"/>
              <w:end w:w="70" w:type="dxa"/>
            </w:tcMar>
          </w:tcPr>
          <w:p>
            <w:r/>
            <w:r>
              <w:rPr>
                <w:rFonts w:ascii="Aptos" w:hAnsi="Aptos"/>
                <w:b w:val="0"/>
                <w:color w:val="000000"/>
                <w:sz w:val="15"/>
              </w:rPr>
              <w:t>All food menu columns</w:t>
            </w:r>
          </w:p>
        </w:tc>
        <w:tc>
          <w:tcPr>
            <w:tcW w:type="dxa" w:w="3312"/>
            <w:vAlign w:val="center"/>
            <w:shd w:fill="F8FAFC"/>
            <w:tcMar>
              <w:top w:w="70" w:type="dxa"/>
              <w:start w:w="70" w:type="dxa"/>
              <w:bottom w:w="70" w:type="dxa"/>
              <w:end w:w="70" w:type="dxa"/>
            </w:tcMar>
          </w:tcPr>
          <w:p>
            <w:r/>
            <w:r>
              <w:rPr>
                <w:rFonts w:ascii="Aptos" w:hAnsi="Aptos"/>
                <w:b w:val="0"/>
                <w:color w:val="000000"/>
                <w:sz w:val="15"/>
              </w:rPr>
              <w:t>sales_report_items(menu_item, quantity)</w:t>
            </w:r>
          </w:p>
        </w:tc>
        <w:tc>
          <w:tcPr>
            <w:tcW w:type="dxa" w:w="3456"/>
            <w:vAlign w:val="center"/>
            <w:shd w:fill="F8FAFC"/>
            <w:tcMar>
              <w:top w:w="70" w:type="dxa"/>
              <w:start w:w="70" w:type="dxa"/>
              <w:bottom w:w="70" w:type="dxa"/>
              <w:end w:w="70" w:type="dxa"/>
            </w:tcMar>
          </w:tcPr>
          <w:p>
            <w:r/>
            <w:r>
              <w:rPr>
                <w:rFonts w:ascii="Aptos" w:hAnsi="Aptos"/>
                <w:b w:val="0"/>
                <w:color w:val="000000"/>
                <w:sz w:val="15"/>
              </w:rPr>
              <w:t>Unpivot wide columns; null = zero/no sale.</w:t>
            </w:r>
          </w:p>
        </w:tc>
      </w:tr>
      <w:tr>
        <w:trPr>
          <w:cantSplit/>
        </w:trPr>
        <w:tc>
          <w:tcPr>
            <w:tcW w:type="dxa" w:w="3024"/>
            <w:vAlign w:val="center"/>
            <w:tcMar>
              <w:top w:w="70" w:type="dxa"/>
              <w:start w:w="70" w:type="dxa"/>
              <w:bottom w:w="70" w:type="dxa"/>
              <w:end w:w="70" w:type="dxa"/>
            </w:tcMar>
          </w:tcPr>
          <w:p>
            <w:r/>
            <w:r>
              <w:rPr>
                <w:rFonts w:ascii="Aptos" w:hAnsi="Aptos"/>
                <w:b w:val="0"/>
                <w:color w:val="000000"/>
                <w:sz w:val="15"/>
              </w:rPr>
              <w:t>Paket Nugas (food)</w:t>
            </w:r>
          </w:p>
        </w:tc>
        <w:tc>
          <w:tcPr>
            <w:tcW w:type="dxa" w:w="3312"/>
            <w:vAlign w:val="center"/>
            <w:tcMar>
              <w:top w:w="70" w:type="dxa"/>
              <w:start w:w="70" w:type="dxa"/>
              <w:bottom w:w="70" w:type="dxa"/>
              <w:end w:w="70" w:type="dxa"/>
            </w:tcMar>
          </w:tcPr>
          <w:p>
            <w:r/>
            <w:r>
              <w:rPr>
                <w:rFonts w:ascii="Aptos" w:hAnsi="Aptos"/>
                <w:b w:val="0"/>
                <w:color w:val="000000"/>
                <w:sz w:val="15"/>
              </w:rPr>
              <w:t>sales_report_items</w:t>
            </w:r>
          </w:p>
        </w:tc>
        <w:tc>
          <w:tcPr>
            <w:tcW w:type="dxa" w:w="3456"/>
            <w:vAlign w:val="center"/>
            <w:tcMar>
              <w:top w:w="70" w:type="dxa"/>
              <w:start w:w="70" w:type="dxa"/>
              <w:bottom w:w="70" w:type="dxa"/>
              <w:end w:w="70" w:type="dxa"/>
            </w:tcMar>
          </w:tcPr>
          <w:p>
            <w:r/>
            <w:r>
              <w:rPr>
                <w:rFonts w:ascii="Aptos" w:hAnsi="Aptos"/>
                <w:b w:val="0"/>
                <w:color w:val="000000"/>
                <w:sz w:val="15"/>
              </w:rPr>
              <w:t>Treat as Food menu item.</w:t>
            </w:r>
          </w:p>
        </w:tc>
      </w:tr>
    </w:tbl>
    <w:p>
      <w:pPr>
        <w:spacing w:after="20"/>
      </w:pPr>
    </w:p>
    <w:p>
      <w:pPr>
        <w:pStyle w:val="SRSSmall"/>
      </w:pPr>
      <w:r>
        <w:t>Observed food-item columns include Ayam Penyet + Nasi, Chicken Cordon Bleu, Chicken Finger, Chicken Mac and Cheese, Dopamin Mix Platter, Dopamin Pizza, ramen, rice-bowl variants, toast variants, and other listed menu items. Exact master-menu seeding will be produced in the ERD/data-seed phase.</w:t>
      </w:r>
    </w:p>
    <w:p>
      <w:pPr>
        <w:pStyle w:val="Heading2"/>
      </w:pPr>
      <w:r>
        <w:t>B.3 Daily Sales Beverage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024"/>
            <w:vAlign w:val="center"/>
            <w:shd w:fill="17365D"/>
            <w:tcMar>
              <w:top w:w="70" w:type="dxa"/>
              <w:start w:w="70" w:type="dxa"/>
              <w:bottom w:w="70" w:type="dxa"/>
              <w:end w:w="70" w:type="dxa"/>
            </w:tcMar>
          </w:tcPr>
          <w:p>
            <w:pPr>
              <w:jc w:val="center"/>
            </w:pPr>
            <w:r/>
            <w:r>
              <w:rPr>
                <w:rFonts w:ascii="Aptos" w:hAnsi="Aptos"/>
                <w:b/>
                <w:color w:val="FFFFFF"/>
                <w:sz w:val="16"/>
              </w:rPr>
              <w:t>Source Column/Group</w:t>
            </w:r>
          </w:p>
        </w:tc>
        <w:tc>
          <w:tcPr>
            <w:tcW w:type="dxa" w:w="3312"/>
            <w:vAlign w:val="center"/>
            <w:shd w:fill="17365D"/>
            <w:tcMar>
              <w:top w:w="70" w:type="dxa"/>
              <w:start w:w="70" w:type="dxa"/>
              <w:bottom w:w="70" w:type="dxa"/>
              <w:end w:w="70" w:type="dxa"/>
            </w:tcMar>
          </w:tcPr>
          <w:p>
            <w:pPr>
              <w:jc w:val="center"/>
            </w:pPr>
            <w:r/>
            <w:r>
              <w:rPr>
                <w:rFonts w:ascii="Aptos" w:hAnsi="Aptos"/>
                <w:b/>
                <w:color w:val="FFFFFF"/>
                <w:sz w:val="16"/>
              </w:rPr>
              <w:t>Target Concept</w:t>
            </w:r>
          </w:p>
        </w:tc>
        <w:tc>
          <w:tcPr>
            <w:tcW w:type="dxa" w:w="3456"/>
            <w:vAlign w:val="center"/>
            <w:shd w:fill="17365D"/>
            <w:tcMar>
              <w:top w:w="70" w:type="dxa"/>
              <w:start w:w="70" w:type="dxa"/>
              <w:bottom w:w="70" w:type="dxa"/>
              <w:end w:w="70" w:type="dxa"/>
            </w:tcMar>
          </w:tcPr>
          <w:p>
            <w:pPr>
              <w:jc w:val="center"/>
            </w:pPr>
            <w:r/>
            <w:r>
              <w:rPr>
                <w:rFonts w:ascii="Aptos" w:hAnsi="Aptos"/>
                <w:b/>
                <w:color w:val="FFFFFF"/>
                <w:sz w:val="16"/>
              </w:rPr>
              <w:t>Rule</w:t>
            </w:r>
          </w:p>
        </w:tc>
      </w:tr>
      <w:tr>
        <w:trPr>
          <w:cantSplit/>
        </w:trPr>
        <w:tc>
          <w:tcPr>
            <w:tcW w:type="dxa" w:w="3024"/>
            <w:vAlign w:val="center"/>
            <w:tcMar>
              <w:top w:w="70" w:type="dxa"/>
              <w:start w:w="70" w:type="dxa"/>
              <w:bottom w:w="70" w:type="dxa"/>
              <w:end w:w="70" w:type="dxa"/>
            </w:tcMar>
          </w:tcPr>
          <w:p>
            <w:r/>
            <w:r>
              <w:rPr>
                <w:rFonts w:ascii="Aptos" w:hAnsi="Aptos"/>
                <w:b w:val="0"/>
                <w:color w:val="000000"/>
                <w:sz w:val="15"/>
              </w:rPr>
              <w:t>Timestamp</w:t>
            </w:r>
          </w:p>
        </w:tc>
        <w:tc>
          <w:tcPr>
            <w:tcW w:type="dxa" w:w="3312"/>
            <w:vAlign w:val="center"/>
            <w:tcMar>
              <w:top w:w="70" w:type="dxa"/>
              <w:start w:w="70" w:type="dxa"/>
              <w:bottom w:w="70" w:type="dxa"/>
              <w:end w:w="70" w:type="dxa"/>
            </w:tcMar>
          </w:tcPr>
          <w:p>
            <w:r/>
            <w:r>
              <w:rPr>
                <w:rFonts w:ascii="Aptos" w:hAnsi="Aptos"/>
                <w:b w:val="0"/>
                <w:color w:val="000000"/>
                <w:sz w:val="15"/>
              </w:rPr>
              <w:t>raw_form_submissions.submitted_at</w:t>
            </w:r>
          </w:p>
        </w:tc>
        <w:tc>
          <w:tcPr>
            <w:tcW w:type="dxa" w:w="3456"/>
            <w:vAlign w:val="center"/>
            <w:tcMar>
              <w:top w:w="70" w:type="dxa"/>
              <w:start w:w="70" w:type="dxa"/>
              <w:bottom w:w="70" w:type="dxa"/>
              <w:end w:w="70" w:type="dxa"/>
            </w:tcMar>
          </w:tcPr>
          <w:p>
            <w:r/>
            <w:r>
              <w:rPr>
                <w:rFonts w:ascii="Aptos" w:hAnsi="Aptos"/>
                <w:b w:val="0"/>
                <w:color w:val="000000"/>
                <w:sz w:val="15"/>
              </w:rPr>
              <w:t>Submission timestamp.</w:t>
            </w:r>
          </w:p>
        </w:tc>
      </w:tr>
      <w:tr>
        <w:trPr>
          <w:cantSplit/>
        </w:trPr>
        <w:tc>
          <w:tcPr>
            <w:tcW w:type="dxa" w:w="3024"/>
            <w:vAlign w:val="center"/>
            <w:shd w:fill="F8FAFC"/>
            <w:tcMar>
              <w:top w:w="70" w:type="dxa"/>
              <w:start w:w="70" w:type="dxa"/>
              <w:bottom w:w="70" w:type="dxa"/>
              <w:end w:w="70" w:type="dxa"/>
            </w:tcMar>
          </w:tcPr>
          <w:p>
            <w:r/>
            <w:r>
              <w:rPr>
                <w:rFonts w:ascii="Aptos" w:hAnsi="Aptos"/>
                <w:b w:val="0"/>
                <w:color w:val="000000"/>
                <w:sz w:val="15"/>
              </w:rPr>
              <w:t>[NEW] Tanggal Penjualan</w:t>
            </w:r>
          </w:p>
        </w:tc>
        <w:tc>
          <w:tcPr>
            <w:tcW w:type="dxa" w:w="3312"/>
            <w:vAlign w:val="center"/>
            <w:shd w:fill="F8FAFC"/>
            <w:tcMar>
              <w:top w:w="70" w:type="dxa"/>
              <w:start w:w="70" w:type="dxa"/>
              <w:bottom w:w="70" w:type="dxa"/>
              <w:end w:w="70" w:type="dxa"/>
            </w:tcMar>
          </w:tcPr>
          <w:p>
            <w:r/>
            <w:r>
              <w:rPr>
                <w:rFonts w:ascii="Aptos" w:hAnsi="Aptos"/>
                <w:b w:val="0"/>
                <w:color w:val="000000"/>
                <w:sz w:val="15"/>
              </w:rPr>
              <w:t>sales_reports.business_date</w:t>
            </w:r>
          </w:p>
        </w:tc>
        <w:tc>
          <w:tcPr>
            <w:tcW w:type="dxa" w:w="3456"/>
            <w:vAlign w:val="center"/>
            <w:shd w:fill="F8FAFC"/>
            <w:tcMar>
              <w:top w:w="70" w:type="dxa"/>
              <w:start w:w="70" w:type="dxa"/>
              <w:bottom w:w="70" w:type="dxa"/>
              <w:end w:w="70" w:type="dxa"/>
            </w:tcMar>
          </w:tcPr>
          <w:p>
            <w:r/>
            <w:r>
              <w:rPr>
                <w:rFonts w:ascii="Aptos" w:hAnsi="Aptos"/>
                <w:b w:val="0"/>
                <w:color w:val="000000"/>
                <w:sz w:val="15"/>
              </w:rPr>
              <w:t>Must be added to Beverage Form for reliable reporting.</w:t>
            </w:r>
          </w:p>
        </w:tc>
      </w:tr>
      <w:tr>
        <w:trPr>
          <w:cantSplit/>
        </w:trPr>
        <w:tc>
          <w:tcPr>
            <w:tcW w:type="dxa" w:w="3024"/>
            <w:vAlign w:val="center"/>
            <w:tcMar>
              <w:top w:w="70" w:type="dxa"/>
              <w:start w:w="70" w:type="dxa"/>
              <w:bottom w:w="70" w:type="dxa"/>
              <w:end w:w="70" w:type="dxa"/>
            </w:tcMar>
          </w:tcPr>
          <w:p>
            <w:r/>
            <w:r>
              <w:rPr>
                <w:rFonts w:ascii="Aptos" w:hAnsi="Aptos"/>
                <w:b w:val="0"/>
                <w:color w:val="000000"/>
                <w:sz w:val="15"/>
              </w:rPr>
              <w:t>Barista</w:t>
            </w:r>
          </w:p>
        </w:tc>
        <w:tc>
          <w:tcPr>
            <w:tcW w:type="dxa" w:w="3312"/>
            <w:vAlign w:val="center"/>
            <w:tcMar>
              <w:top w:w="70" w:type="dxa"/>
              <w:start w:w="70" w:type="dxa"/>
              <w:bottom w:w="70" w:type="dxa"/>
              <w:end w:w="70" w:type="dxa"/>
            </w:tcMar>
          </w:tcPr>
          <w:p>
            <w:r/>
            <w:r>
              <w:rPr>
                <w:rFonts w:ascii="Aptos" w:hAnsi="Aptos"/>
                <w:b w:val="0"/>
                <w:color w:val="000000"/>
                <w:sz w:val="15"/>
              </w:rPr>
              <w:t>sales_reports.inputter</w:t>
            </w:r>
          </w:p>
        </w:tc>
        <w:tc>
          <w:tcPr>
            <w:tcW w:type="dxa" w:w="3456"/>
            <w:vAlign w:val="center"/>
            <w:tcMar>
              <w:top w:w="70" w:type="dxa"/>
              <w:start w:w="70" w:type="dxa"/>
              <w:bottom w:w="70" w:type="dxa"/>
              <w:end w:w="70" w:type="dxa"/>
            </w:tcMar>
          </w:tcPr>
          <w:p>
            <w:r/>
            <w:r>
              <w:rPr>
                <w:rFonts w:ascii="Aptos" w:hAnsi="Aptos"/>
                <w:b w:val="0"/>
                <w:color w:val="000000"/>
                <w:sz w:val="15"/>
              </w:rPr>
              <w:t>Cashier/barista identity.</w:t>
            </w:r>
          </w:p>
        </w:tc>
      </w:tr>
      <w:tr>
        <w:trPr>
          <w:cantSplit/>
        </w:trPr>
        <w:tc>
          <w:tcPr>
            <w:tcW w:type="dxa" w:w="3024"/>
            <w:vAlign w:val="center"/>
            <w:shd w:fill="F8FAFC"/>
            <w:tcMar>
              <w:top w:w="70" w:type="dxa"/>
              <w:start w:w="70" w:type="dxa"/>
              <w:bottom w:w="70" w:type="dxa"/>
              <w:end w:w="70" w:type="dxa"/>
            </w:tcMar>
          </w:tcPr>
          <w:p>
            <w:r/>
            <w:r>
              <w:rPr>
                <w:rFonts w:ascii="Aptos" w:hAnsi="Aptos"/>
                <w:b w:val="0"/>
                <w:color w:val="000000"/>
                <w:sz w:val="15"/>
              </w:rPr>
              <w:t>All beverage menu columns</w:t>
            </w:r>
          </w:p>
        </w:tc>
        <w:tc>
          <w:tcPr>
            <w:tcW w:type="dxa" w:w="3312"/>
            <w:vAlign w:val="center"/>
            <w:shd w:fill="F8FAFC"/>
            <w:tcMar>
              <w:top w:w="70" w:type="dxa"/>
              <w:start w:w="70" w:type="dxa"/>
              <w:bottom w:w="70" w:type="dxa"/>
              <w:end w:w="70" w:type="dxa"/>
            </w:tcMar>
          </w:tcPr>
          <w:p>
            <w:r/>
            <w:r>
              <w:rPr>
                <w:rFonts w:ascii="Aptos" w:hAnsi="Aptos"/>
                <w:b w:val="0"/>
                <w:color w:val="000000"/>
                <w:sz w:val="15"/>
              </w:rPr>
              <w:t>sales_report_items(menu_item, quantity)</w:t>
            </w:r>
          </w:p>
        </w:tc>
        <w:tc>
          <w:tcPr>
            <w:tcW w:type="dxa" w:w="3456"/>
            <w:vAlign w:val="center"/>
            <w:shd w:fill="F8FAFC"/>
            <w:tcMar>
              <w:top w:w="70" w:type="dxa"/>
              <w:start w:w="70" w:type="dxa"/>
              <w:bottom w:w="70" w:type="dxa"/>
              <w:end w:w="70" w:type="dxa"/>
            </w:tcMar>
          </w:tcPr>
          <w:p>
            <w:r/>
            <w:r>
              <w:rPr>
                <w:rFonts w:ascii="Aptos" w:hAnsi="Aptos"/>
                <w:b w:val="0"/>
                <w:color w:val="000000"/>
                <w:sz w:val="15"/>
              </w:rPr>
              <w:t>Unpivot wide columns; null = zero/no sale.</w:t>
            </w:r>
          </w:p>
        </w:tc>
      </w:tr>
      <w:tr>
        <w:trPr>
          <w:cantSplit/>
        </w:trPr>
        <w:tc>
          <w:tcPr>
            <w:tcW w:type="dxa" w:w="3024"/>
            <w:vAlign w:val="center"/>
            <w:tcMar>
              <w:top w:w="70" w:type="dxa"/>
              <w:start w:w="70" w:type="dxa"/>
              <w:bottom w:w="70" w:type="dxa"/>
              <w:end w:w="70" w:type="dxa"/>
            </w:tcMar>
          </w:tcPr>
          <w:p>
            <w:r/>
            <w:r>
              <w:rPr>
                <w:rFonts w:ascii="Aptos" w:hAnsi="Aptos"/>
                <w:b w:val="0"/>
                <w:color w:val="000000"/>
                <w:sz w:val="15"/>
              </w:rPr>
              <w:t>Paket Nugas (beverage)</w:t>
            </w:r>
          </w:p>
        </w:tc>
        <w:tc>
          <w:tcPr>
            <w:tcW w:type="dxa" w:w="3312"/>
            <w:vAlign w:val="center"/>
            <w:tcMar>
              <w:top w:w="70" w:type="dxa"/>
              <w:start w:w="70" w:type="dxa"/>
              <w:bottom w:w="70" w:type="dxa"/>
              <w:end w:w="70" w:type="dxa"/>
            </w:tcMar>
          </w:tcPr>
          <w:p>
            <w:r/>
            <w:r>
              <w:rPr>
                <w:rFonts w:ascii="Aptos" w:hAnsi="Aptos"/>
                <w:b w:val="0"/>
                <w:color w:val="000000"/>
                <w:sz w:val="15"/>
              </w:rPr>
              <w:t>sales_report_items</w:t>
            </w:r>
          </w:p>
        </w:tc>
        <w:tc>
          <w:tcPr>
            <w:tcW w:type="dxa" w:w="3456"/>
            <w:vAlign w:val="center"/>
            <w:tcMar>
              <w:top w:w="70" w:type="dxa"/>
              <w:start w:w="70" w:type="dxa"/>
              <w:bottom w:w="70" w:type="dxa"/>
              <w:end w:w="70" w:type="dxa"/>
            </w:tcMar>
          </w:tcPr>
          <w:p>
            <w:r/>
            <w:r>
              <w:rPr>
                <w:rFonts w:ascii="Aptos" w:hAnsi="Aptos"/>
                <w:b w:val="0"/>
                <w:color w:val="000000"/>
                <w:sz w:val="15"/>
              </w:rPr>
              <w:t>Treat as Beverage menu item.</w:t>
            </w:r>
          </w:p>
        </w:tc>
      </w:tr>
    </w:tbl>
    <w:p>
      <w:pPr>
        <w:spacing w:after="20"/>
      </w:pPr>
    </w:p>
    <w:p>
      <w:pPr>
        <w:pStyle w:val="SRSSmall"/>
      </w:pPr>
      <w:r>
        <w:t>Observed beverage-item columns include Americano, Cappucino, Espresso, Kopi Susu Gula Aren, Long Black, teas, squashes, smoothies, cream-cheese beverages, V-60, Vietnam Drip, and other listed items.</w:t>
      </w:r>
    </w:p>
    <w:p>
      <w:pPr>
        <w:pStyle w:val="Heading2"/>
      </w:pPr>
      <w:r>
        <w:t>B.4 OPEX Report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17365D"/>
            <w:tcMar>
              <w:top w:w="70" w:type="dxa"/>
              <w:start w:w="70" w:type="dxa"/>
              <w:bottom w:w="70" w:type="dxa"/>
              <w:end w:w="70" w:type="dxa"/>
            </w:tcMar>
          </w:tcPr>
          <w:p>
            <w:pPr>
              <w:jc w:val="center"/>
            </w:pPr>
            <w:r/>
            <w:r>
              <w:rPr>
                <w:rFonts w:ascii="Aptos" w:hAnsi="Aptos"/>
                <w:b/>
                <w:color w:val="FFFFFF"/>
                <w:sz w:val="16"/>
              </w:rPr>
              <w:t>Source Column</w:t>
            </w:r>
          </w:p>
        </w:tc>
        <w:tc>
          <w:tcPr>
            <w:tcW w:type="dxa" w:w="3456"/>
            <w:vAlign w:val="center"/>
            <w:shd w:fill="17365D"/>
            <w:tcMar>
              <w:top w:w="70" w:type="dxa"/>
              <w:start w:w="70" w:type="dxa"/>
              <w:bottom w:w="70" w:type="dxa"/>
              <w:end w:w="70" w:type="dxa"/>
            </w:tcMar>
          </w:tcPr>
          <w:p>
            <w:pPr>
              <w:jc w:val="center"/>
            </w:pPr>
            <w:r/>
            <w:r>
              <w:rPr>
                <w:rFonts w:ascii="Aptos" w:hAnsi="Aptos"/>
                <w:b/>
                <w:color w:val="FFFFFF"/>
                <w:sz w:val="16"/>
              </w:rPr>
              <w:t>Target Concept</w:t>
            </w:r>
          </w:p>
        </w:tc>
        <w:tc>
          <w:tcPr>
            <w:tcW w:type="dxa" w:w="4608"/>
            <w:vAlign w:val="center"/>
            <w:shd w:fill="17365D"/>
            <w:tcMar>
              <w:top w:w="70" w:type="dxa"/>
              <w:start w:w="70" w:type="dxa"/>
              <w:bottom w:w="70" w:type="dxa"/>
              <w:end w:w="70" w:type="dxa"/>
            </w:tcMar>
          </w:tcPr>
          <w:p>
            <w:pPr>
              <w:jc w:val="center"/>
            </w:pPr>
            <w:r/>
            <w:r>
              <w:rPr>
                <w:rFonts w:ascii="Aptos" w:hAnsi="Aptos"/>
                <w:b/>
                <w:color w:val="FFFFFF"/>
                <w:sz w:val="16"/>
              </w:rPr>
              <w:t>Rule</w:t>
            </w:r>
          </w:p>
        </w:tc>
      </w:tr>
      <w:tr>
        <w:trPr>
          <w:cantSplit/>
        </w:trPr>
        <w:tc>
          <w:tcPr>
            <w:tcW w:type="dxa" w:w="1728"/>
            <w:vAlign w:val="center"/>
            <w:tcMar>
              <w:top w:w="70" w:type="dxa"/>
              <w:start w:w="70" w:type="dxa"/>
              <w:bottom w:w="70" w:type="dxa"/>
              <w:end w:w="70" w:type="dxa"/>
            </w:tcMar>
          </w:tcPr>
          <w:p>
            <w:r/>
            <w:r>
              <w:rPr>
                <w:rFonts w:ascii="Aptos" w:hAnsi="Aptos"/>
                <w:b w:val="0"/>
                <w:color w:val="000000"/>
                <w:sz w:val="15"/>
              </w:rPr>
              <w:t>No</w:t>
            </w:r>
          </w:p>
        </w:tc>
        <w:tc>
          <w:tcPr>
            <w:tcW w:type="dxa" w:w="3456"/>
            <w:vAlign w:val="center"/>
            <w:tcMar>
              <w:top w:w="70" w:type="dxa"/>
              <w:start w:w="70" w:type="dxa"/>
              <w:bottom w:w="70" w:type="dxa"/>
              <w:end w:w="70" w:type="dxa"/>
            </w:tcMar>
          </w:tcPr>
          <w:p>
            <w:r/>
            <w:r>
              <w:rPr>
                <w:rFonts w:ascii="Aptos" w:hAnsi="Aptos"/>
                <w:b w:val="0"/>
                <w:color w:val="000000"/>
                <w:sz w:val="15"/>
              </w:rPr>
              <w:t>source reference</w:t>
            </w:r>
          </w:p>
        </w:tc>
        <w:tc>
          <w:tcPr>
            <w:tcW w:type="dxa" w:w="4608"/>
            <w:vAlign w:val="center"/>
            <w:tcMar>
              <w:top w:w="70" w:type="dxa"/>
              <w:start w:w="70" w:type="dxa"/>
              <w:bottom w:w="70" w:type="dxa"/>
              <w:end w:w="70" w:type="dxa"/>
            </w:tcMar>
          </w:tcPr>
          <w:p>
            <w:r/>
            <w:r>
              <w:rPr>
                <w:rFonts w:ascii="Aptos" w:hAnsi="Aptos"/>
                <w:b w:val="0"/>
                <w:color w:val="000000"/>
                <w:sz w:val="15"/>
              </w:rPr>
              <w:t>Historical sequence/reference only.</w:t>
            </w:r>
          </w:p>
        </w:tc>
      </w:tr>
      <w:tr>
        <w:trPr>
          <w:cantSplit/>
        </w:trPr>
        <w:tc>
          <w:tcPr>
            <w:tcW w:type="dxa" w:w="1728"/>
            <w:vAlign w:val="center"/>
            <w:shd w:fill="F8FAFC"/>
            <w:tcMar>
              <w:top w:w="70" w:type="dxa"/>
              <w:start w:w="70" w:type="dxa"/>
              <w:bottom w:w="70" w:type="dxa"/>
              <w:end w:w="70" w:type="dxa"/>
            </w:tcMar>
          </w:tcPr>
          <w:p>
            <w:r/>
            <w:r>
              <w:rPr>
                <w:rFonts w:ascii="Aptos" w:hAnsi="Aptos"/>
                <w:b w:val="0"/>
                <w:color w:val="000000"/>
                <w:sz w:val="15"/>
              </w:rPr>
              <w:t>Tanggal</w:t>
            </w:r>
          </w:p>
        </w:tc>
        <w:tc>
          <w:tcPr>
            <w:tcW w:type="dxa" w:w="3456"/>
            <w:vAlign w:val="center"/>
            <w:shd w:fill="F8FAFC"/>
            <w:tcMar>
              <w:top w:w="70" w:type="dxa"/>
              <w:start w:w="70" w:type="dxa"/>
              <w:bottom w:w="70" w:type="dxa"/>
              <w:end w:w="70" w:type="dxa"/>
            </w:tcMar>
          </w:tcPr>
          <w:p>
            <w:r/>
            <w:r>
              <w:rPr>
                <w:rFonts w:ascii="Aptos" w:hAnsi="Aptos"/>
                <w:b w:val="0"/>
                <w:color w:val="000000"/>
                <w:sz w:val="15"/>
              </w:rPr>
              <w:t>fund_transactions.business_date/date</w:t>
            </w:r>
          </w:p>
        </w:tc>
        <w:tc>
          <w:tcPr>
            <w:tcW w:type="dxa" w:w="4608"/>
            <w:vAlign w:val="center"/>
            <w:shd w:fill="F8FAFC"/>
            <w:tcMar>
              <w:top w:w="70" w:type="dxa"/>
              <w:start w:w="70" w:type="dxa"/>
              <w:bottom w:w="70" w:type="dxa"/>
              <w:end w:w="70" w:type="dxa"/>
            </w:tcMar>
          </w:tcPr>
          <w:p>
            <w:r/>
            <w:r>
              <w:rPr>
                <w:rFonts w:ascii="Aptos" w:hAnsi="Aptos"/>
                <w:b w:val="0"/>
                <w:color w:val="000000"/>
                <w:sz w:val="15"/>
              </w:rPr>
              <w:t>Transaction date.</w:t>
            </w:r>
          </w:p>
        </w:tc>
      </w:tr>
      <w:tr>
        <w:trPr>
          <w:cantSplit/>
        </w:trPr>
        <w:tc>
          <w:tcPr>
            <w:tcW w:type="dxa" w:w="1728"/>
            <w:vAlign w:val="center"/>
            <w:tcMar>
              <w:top w:w="70" w:type="dxa"/>
              <w:start w:w="70" w:type="dxa"/>
              <w:bottom w:w="70" w:type="dxa"/>
              <w:end w:w="70" w:type="dxa"/>
            </w:tcMar>
          </w:tcPr>
          <w:p>
            <w:r/>
            <w:r>
              <w:rPr>
                <w:rFonts w:ascii="Aptos" w:hAnsi="Aptos"/>
                <w:b w:val="0"/>
                <w:color w:val="000000"/>
                <w:sz w:val="15"/>
              </w:rPr>
              <w:t>Transaksi</w:t>
            </w:r>
          </w:p>
        </w:tc>
        <w:tc>
          <w:tcPr>
            <w:tcW w:type="dxa" w:w="3456"/>
            <w:vAlign w:val="center"/>
            <w:tcMar>
              <w:top w:w="70" w:type="dxa"/>
              <w:start w:w="70" w:type="dxa"/>
              <w:bottom w:w="70" w:type="dxa"/>
              <w:end w:w="70" w:type="dxa"/>
            </w:tcMar>
          </w:tcPr>
          <w:p>
            <w:r/>
            <w:r>
              <w:rPr>
                <w:rFonts w:ascii="Aptos" w:hAnsi="Aptos"/>
                <w:b w:val="0"/>
                <w:color w:val="000000"/>
                <w:sz w:val="15"/>
              </w:rPr>
              <w:t>fund_transactions.description / party</w:t>
            </w:r>
          </w:p>
        </w:tc>
        <w:tc>
          <w:tcPr>
            <w:tcW w:type="dxa" w:w="4608"/>
            <w:vAlign w:val="center"/>
            <w:tcMar>
              <w:top w:w="70" w:type="dxa"/>
              <w:start w:w="70" w:type="dxa"/>
              <w:bottom w:w="70" w:type="dxa"/>
              <w:end w:w="70" w:type="dxa"/>
            </w:tcMar>
          </w:tcPr>
          <w:p>
            <w:r/>
            <w:r>
              <w:rPr>
                <w:rFonts w:ascii="Aptos" w:hAnsi="Aptos"/>
                <w:b w:val="0"/>
                <w:color w:val="000000"/>
                <w:sz w:val="15"/>
              </w:rPr>
              <w:t>Description retained for audit/mapping.</w:t>
            </w:r>
          </w:p>
        </w:tc>
      </w:tr>
      <w:tr>
        <w:trPr>
          <w:cantSplit/>
        </w:trPr>
        <w:tc>
          <w:tcPr>
            <w:tcW w:type="dxa" w:w="1728"/>
            <w:vAlign w:val="center"/>
            <w:shd w:fill="F8FAFC"/>
            <w:tcMar>
              <w:top w:w="70" w:type="dxa"/>
              <w:start w:w="70" w:type="dxa"/>
              <w:bottom w:w="70" w:type="dxa"/>
              <w:end w:w="70" w:type="dxa"/>
            </w:tcMar>
          </w:tcPr>
          <w:p>
            <w:r/>
            <w:r>
              <w:rPr>
                <w:rFonts w:ascii="Aptos" w:hAnsi="Aptos"/>
                <w:b w:val="0"/>
                <w:color w:val="000000"/>
                <w:sz w:val="15"/>
              </w:rPr>
              <w:t>Debit</w:t>
            </w:r>
          </w:p>
        </w:tc>
        <w:tc>
          <w:tcPr>
            <w:tcW w:type="dxa" w:w="3456"/>
            <w:vAlign w:val="center"/>
            <w:shd w:fill="F8FAFC"/>
            <w:tcMar>
              <w:top w:w="70" w:type="dxa"/>
              <w:start w:w="70" w:type="dxa"/>
              <w:bottom w:w="70" w:type="dxa"/>
              <w:end w:w="70" w:type="dxa"/>
            </w:tcMar>
          </w:tcPr>
          <w:p>
            <w:r/>
            <w:r>
              <w:rPr>
                <w:rFonts w:ascii="Aptos" w:hAnsi="Aptos"/>
                <w:b w:val="0"/>
                <w:color w:val="000000"/>
                <w:sz w:val="15"/>
              </w:rPr>
              <w:t>fund_transactions amount / direction IN</w:t>
            </w:r>
          </w:p>
        </w:tc>
        <w:tc>
          <w:tcPr>
            <w:tcW w:type="dxa" w:w="4608"/>
            <w:vAlign w:val="center"/>
            <w:shd w:fill="F8FAFC"/>
            <w:tcMar>
              <w:top w:w="70" w:type="dxa"/>
              <w:start w:w="70" w:type="dxa"/>
              <w:bottom w:w="70" w:type="dxa"/>
              <w:end w:w="70" w:type="dxa"/>
            </w:tcMar>
          </w:tcPr>
          <w:p>
            <w:r/>
            <w:r>
              <w:rPr>
                <w:rFonts w:ascii="Aptos" w:hAnsi="Aptos"/>
                <w:b w:val="0"/>
                <w:color w:val="000000"/>
                <w:sz w:val="15"/>
              </w:rPr>
              <w:t>Company funding or other inbound to Housebank.</w:t>
            </w:r>
          </w:p>
        </w:tc>
      </w:tr>
      <w:tr>
        <w:trPr>
          <w:cantSplit/>
        </w:trPr>
        <w:tc>
          <w:tcPr>
            <w:tcW w:type="dxa" w:w="1728"/>
            <w:vAlign w:val="center"/>
            <w:tcMar>
              <w:top w:w="70" w:type="dxa"/>
              <w:start w:w="70" w:type="dxa"/>
              <w:bottom w:w="70" w:type="dxa"/>
              <w:end w:w="70" w:type="dxa"/>
            </w:tcMar>
          </w:tcPr>
          <w:p>
            <w:r/>
            <w:r>
              <w:rPr>
                <w:rFonts w:ascii="Aptos" w:hAnsi="Aptos"/>
                <w:b w:val="0"/>
                <w:color w:val="000000"/>
                <w:sz w:val="15"/>
              </w:rPr>
              <w:t>Kredit</w:t>
            </w:r>
          </w:p>
        </w:tc>
        <w:tc>
          <w:tcPr>
            <w:tcW w:type="dxa" w:w="3456"/>
            <w:vAlign w:val="center"/>
            <w:tcMar>
              <w:top w:w="70" w:type="dxa"/>
              <w:start w:w="70" w:type="dxa"/>
              <w:bottom w:w="70" w:type="dxa"/>
              <w:end w:w="70" w:type="dxa"/>
            </w:tcMar>
          </w:tcPr>
          <w:p>
            <w:r/>
            <w:r>
              <w:rPr>
                <w:rFonts w:ascii="Aptos" w:hAnsi="Aptos"/>
                <w:b w:val="0"/>
                <w:color w:val="000000"/>
                <w:sz w:val="15"/>
              </w:rPr>
              <w:t>fund_transactions amount / direction OUT</w:t>
            </w:r>
          </w:p>
        </w:tc>
        <w:tc>
          <w:tcPr>
            <w:tcW w:type="dxa" w:w="4608"/>
            <w:vAlign w:val="center"/>
            <w:tcMar>
              <w:top w:w="70" w:type="dxa"/>
              <w:start w:w="70" w:type="dxa"/>
              <w:bottom w:w="70" w:type="dxa"/>
              <w:end w:w="70" w:type="dxa"/>
            </w:tcMar>
          </w:tcPr>
          <w:p>
            <w:r/>
            <w:r>
              <w:rPr>
                <w:rFonts w:ascii="Aptos" w:hAnsi="Aptos"/>
                <w:b w:val="0"/>
                <w:color w:val="000000"/>
                <w:sz w:val="15"/>
              </w:rPr>
              <w:t>Operational expense/outflow.</w:t>
            </w:r>
          </w:p>
        </w:tc>
      </w:tr>
      <w:tr>
        <w:trPr>
          <w:cantSplit/>
        </w:trPr>
        <w:tc>
          <w:tcPr>
            <w:tcW w:type="dxa" w:w="1728"/>
            <w:vAlign w:val="center"/>
            <w:shd w:fill="F8FAFC"/>
            <w:tcMar>
              <w:top w:w="70" w:type="dxa"/>
              <w:start w:w="70" w:type="dxa"/>
              <w:bottom w:w="70" w:type="dxa"/>
              <w:end w:w="70" w:type="dxa"/>
            </w:tcMar>
          </w:tcPr>
          <w:p>
            <w:r/>
            <w:r>
              <w:rPr>
                <w:rFonts w:ascii="Aptos" w:hAnsi="Aptos"/>
                <w:b w:val="0"/>
                <w:color w:val="000000"/>
                <w:sz w:val="15"/>
              </w:rPr>
              <w:t>Balance</w:t>
            </w:r>
          </w:p>
        </w:tc>
        <w:tc>
          <w:tcPr>
            <w:tcW w:type="dxa" w:w="3456"/>
            <w:vAlign w:val="center"/>
            <w:shd w:fill="F8FAFC"/>
            <w:tcMar>
              <w:top w:w="70" w:type="dxa"/>
              <w:start w:w="70" w:type="dxa"/>
              <w:bottom w:w="70" w:type="dxa"/>
              <w:end w:w="70" w:type="dxa"/>
            </w:tcMar>
          </w:tcPr>
          <w:p>
            <w:r/>
            <w:r>
              <w:rPr>
                <w:rFonts w:ascii="Aptos" w:hAnsi="Aptos"/>
                <w:b w:val="0"/>
                <w:color w:val="000000"/>
                <w:sz w:val="15"/>
              </w:rPr>
              <w:t>Derived only</w:t>
            </w:r>
          </w:p>
        </w:tc>
        <w:tc>
          <w:tcPr>
            <w:tcW w:type="dxa" w:w="4608"/>
            <w:vAlign w:val="center"/>
            <w:shd w:fill="F8FAFC"/>
            <w:tcMar>
              <w:top w:w="70" w:type="dxa"/>
              <w:start w:w="70" w:type="dxa"/>
              <w:bottom w:w="70" w:type="dxa"/>
              <w:end w:w="70" w:type="dxa"/>
            </w:tcMar>
          </w:tcPr>
          <w:p>
            <w:r/>
            <w:r>
              <w:rPr>
                <w:rFonts w:ascii="Aptos" w:hAnsi="Aptos"/>
                <w:b w:val="0"/>
                <w:color w:val="000000"/>
                <w:sz w:val="15"/>
              </w:rPr>
              <w:t>Use for import validation/reconciliation; application balance is recomputed from transactions.</w:t>
            </w:r>
          </w:p>
        </w:tc>
      </w:tr>
    </w:tbl>
    <w:p>
      <w:pPr>
        <w:spacing w:after="20"/>
      </w:pPr>
    </w:p>
    <w:p>
      <w:pPr>
        <w:pStyle w:val="Heading2"/>
      </w:pPr>
      <w:r>
        <w:t>B.5 Required Google Form Adjustments</w:t>
      </w:r>
    </w:p>
    <w:p>
      <w:pPr>
        <w:pStyle w:val="ListBullet"/>
        <w:spacing w:after="40"/>
      </w:pPr>
      <w:r>
        <w:t>Add Tanggal Penjualan / Business Date to Beverage Form.</w:t>
      </w:r>
    </w:p>
    <w:p>
      <w:pPr>
        <w:pStyle w:val="ListBullet"/>
        <w:spacing w:after="40"/>
      </w:pPr>
      <w:r>
        <w:t>Prefer controlled numeric validation for monetary and quantity fields.</w:t>
      </w:r>
    </w:p>
    <w:p>
      <w:pPr>
        <w:pStyle w:val="ListBullet"/>
        <w:spacing w:after="40"/>
      </w:pPr>
      <w:r>
        <w:t>Avoid helper/navigation text being captured as business data.</w:t>
      </w:r>
    </w:p>
    <w:p>
      <w:pPr>
        <w:pStyle w:val="ListBullet"/>
        <w:spacing w:after="40"/>
      </w:pPr>
      <w:r>
        <w:t>Maintain stable column/question identifiers or mapping keys when forms are changed.</w:t>
      </w:r>
    </w:p>
    <w:p>
      <w:pPr>
        <w:pStyle w:val="ListBullet"/>
        <w:spacing w:after="40"/>
      </w:pPr>
      <w:r>
        <w:t>Do not remove source history after the application goes live.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Draft Baseline v0.1  •  Confidential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6"/>
      </w:rPr>
      <w:t>SRS — Dopamin Cafe Accounting &amp; Inventory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Small">
    <w:name w:val="SRS Small"/>
    <w:pPr>
      <w:spacing w:after="40"/>
    </w:pPr>
    <w:rPr>
      <w:rFonts w:ascii="Aptos" w:hAnsi="Aptos"/>
      <w:color w:val="5A5A5A"/>
      <w:sz w:val="16"/>
    </w:rPr>
  </w:style>
  <w:style w:type="paragraph" w:customStyle="1" w:styleId="SRSNote">
    <w:name w:val="SRS Note"/>
    <w:pPr>
      <w:spacing w:before="60" w:after="100"/>
      <w:ind w:left="288" w:right="288"/>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