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EFE" w:val="clear"/>
          </w:tcPr>
          <w:p>
            <w:pPr>
              <w:pBdr>
                <w:top w:val="single" w:color="FF862F" w:sz="18" w:space="20"/>
              </w:pBdr>
              <w:spacing w:after="200" w:before="1200"/>
              <w:ind w:left="1000" w:right="1000"/>
            </w:pPr>
          </w:p>
          <w:p>
            <w:pPr>
              <w:spacing w:before="1800"/>
            </w:pPr>
          </w:p>
          <w:p>
            <w:pPr>
              <w:spacing w:after="500"/>
              <w:jc w:val="center"/>
            </w:pPr>
            <w:r>
              <w:rPr>
                <w:rFonts w:ascii="Calibri"/>
                <w:color w:val="FF862F"/>
                <w:spacing w:val="40"/>
                <w:sz w:val="18"/>
                <w:szCs w:val="18"/>
              </w:rPr>
              <w:t xml:space="preserve">U  S  E  R     G  U  I  D  E</w:t>
            </w:r>
          </w:p>
          <w:p>
            <w:pPr>
              <w:spacing w:after="300" w:line="920" w:lineRule="atLeast"/>
              <w:jc w:val="center"/>
            </w:pPr>
            <w:r>
              <w:rPr>
                <w:rFonts w:ascii="Arial" w:eastAsia="SimHei"/>
                <w:b/>
                <w:bCs/>
                <w:color w:val="1284BA"/>
                <w:sz w:val="80"/>
                <w:szCs w:val="80"/>
              </w:rPr>
              <w:t xml:space="preserve">标书快反使用说明书</w:t>
            </w:r>
          </w:p>
          <w:p>
            <w:pPr>
              <w:spacing w:after="400"/>
              <w:jc w:val="center"/>
            </w:pPr>
            <w:r>
              <w:rPr>
                <w:rFonts w:ascii="Arial" w:eastAsia="Microsoft YaHei"/>
                <w:color w:val="606060"/>
                <w:sz w:val="24"/>
                <w:szCs w:val="24"/>
              </w:rPr>
              <w:t xml:space="preserve">从招标公告到投标决策 · 快速上手手册</w:t>
            </w:r>
          </w:p>
          <w:p>
            <w:pPr>
              <w:spacing w:before="1200"/>
            </w:pPr>
          </w:p>
          <w:p>
            <w:pPr>
              <w:spacing w:after="100" w:line="414" w:lineRule="atLeast"/>
              <w:jc w:val="center"/>
            </w:pPr>
            <w:r>
              <w:rPr>
                <w:rFonts w:ascii="Arial" w:eastAsia="Microsoft YaHei"/>
                <w:color w:val="707070"/>
                <w:sz w:val="36"/>
                <w:szCs w:val="36"/>
              </w:rPr>
              <w:t xml:space="preserve">适用版本 V3.0 · 2026年9月</w:t>
            </w:r>
          </w:p>
          <w:p>
            <w:pPr>
              <w:spacing w:after="100" w:line="414" w:lineRule="atLeast"/>
              <w:jc w:val="center"/>
            </w:pPr>
            <w:r>
              <w:rPr>
                <w:rFonts w:ascii="Arial" w:eastAsia="Microsoft YaHei"/>
                <w:color w:val="707070"/>
                <w:sz w:val="36"/>
                <w:szCs w:val="36"/>
              </w:rPr>
              <w:t xml:space="preserve">在线体验：azzb66223944qq.github.io/bidpilot</w:t>
            </w:r>
          </w:p>
          <w:p>
            <w:pPr>
              <w:spacing w:before="2000"/>
            </w:pPr>
          </w:p>
          <w:p>
            <w:pPr>
              <w:pBdr>
                <w:bottom w:val="single" w:color="FF862F" w:sz="18" w:space="20"/>
              </w:pBdr>
              <w:spacing w:before="200"/>
              <w:ind w:left="1000" w:right="1000"/>
              <w:jc w:val="center"/>
            </w:pPr>
            <w:r>
              <w:rPr>
                <w:rFonts w:ascii="Arial"/>
                <w:color w:val="A0A0A0"/>
                <w:sz w:val="18"/>
                <w:szCs w:val="18"/>
              </w:rPr>
              <w:t xml:space="preserve">BidPilot Team · 演示数据均为虚构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一、获取与安装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标书快反为纯前端单页应用，无需注册账号、无需安装客户端，业务数据仅存本机浏览器。三种运行方式如下：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4400"/>
        <w:gridCol w:w="3500"/>
      </w:tblGrid>
      <w:tr>
        <w:trPr>
          <w:cantSplit/>
          <w:tblHeader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方式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操作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适用场景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在线版（推荐）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浏览器打开 azzb66223944qq.github.io/bidpilot，即开即用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日常使用，自动获取最新版本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PWA 安装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在线版打开后，浏览器菜单选择“添加到主屏幕/安装”，获得桌面/手机应用图标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高频使用；安装后可离线运行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本地单文件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将 index.html、engine.js、cases.js 置于同一文件夹，双击 index.html 打开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完全离线环境；此方式下 PWA 与在线更新不生效</w:t>
            </w:r>
          </w:p>
        </w:tc>
      </w:tr>
    </w:tbl>
    <w:p>
      <w:pPr>
        <w:spacing w:after="200" w:before="80"/>
        <w:jc w:val="center"/>
      </w:pPr>
      <w:r>
        <w:rPr>
          <w:color w:val="506070"/>
          <w:sz w:val="20"/>
          <w:szCs w:val="20"/>
        </w:rPr>
        <w:t xml:space="preserve">表 1-1 三种运行方式</w:t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二、两段式工作流（先读懂这一节）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投标信息在两个阶段以两种形态出现，标书快反对应提供两级分析能力：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400"/>
        <w:gridCol w:w="2400"/>
        <w:gridCol w:w="2900"/>
      </w:tblGrid>
      <w:tr>
        <w:trPr>
          <w:cantSplit/>
          <w:tblHeader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你能拿到什么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用什么功能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回答什么问题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公告期（报名前）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公开招标公告：限价、时间表、资格要求、主要参数摘要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商机雷达：多条公告批量预筛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这一批公告里，哪个标值得报名？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文件期（报名下载标书后、开标前）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完整招标文件：第四章技术参数、评分标准、合同条款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生成投标分析：可配合“导入采购文件PDF”自动定位技术参数章节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完整参数逐条怎么响应？哪里会废标？</w:t>
            </w:r>
          </w:p>
        </w:tc>
      </w:tr>
    </w:tbl>
    <w:p>
      <w:pPr>
        <w:spacing w:after="200" w:before="80"/>
        <w:jc w:val="center"/>
      </w:pPr>
      <w:r>
        <w:rPr>
          <w:color w:val="506070"/>
          <w:sz w:val="20"/>
          <w:szCs w:val="20"/>
        </w:rPr>
        <w:t xml:space="preserve">表 2-1 公告期与文件期的对应能力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两段衔接：公告期用商机雷达完成“该不该报名”的筛选；报名获取完整招标文件后，将文件文本粘贴至公告区（或使用 PDF 导入），运行完整分析获得四份成果。两段使用同一套设备资料库与判定规则。</w:t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三、基础分析五步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第 1 步：</w:t>
      </w:r>
      <w:r>
        <w:rPr>
          <w:color w:val="182030"/>
          <w:sz w:val="24"/>
          <w:szCs w:val="24"/>
        </w:rPr>
        <w:t xml:space="preserve">在左侧①“本公司资料库”粘贴本公司资质、业绩与设备参数（首次可点演示场景体验）；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第 2 步：</w:t>
      </w:r>
      <w:r>
        <w:rPr>
          <w:color w:val="182030"/>
          <w:sz w:val="24"/>
          <w:szCs w:val="24"/>
        </w:rPr>
        <w:t xml:space="preserve">在左侧②“招标公告”粘贴公告原文；若已获取完整招标文件 PDF，点击“导入采购文件PDF”，系统本地解析并自动定位技术参数章节追加至公告区（纯扫描件无文本层时将明确提示，请手动复制参数章节）；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第 3 步：</w:t>
      </w:r>
      <w:r>
        <w:rPr>
          <w:color w:val="182030"/>
          <w:sz w:val="24"/>
          <w:szCs w:val="24"/>
        </w:rPr>
        <w:t xml:space="preserve">点击“▶ 生成投标分析”，本地引擎通常在数十毫秒内完成；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第 4 步：</w:t>
      </w:r>
      <w:r>
        <w:rPr>
          <w:color w:val="182030"/>
          <w:sz w:val="24"/>
          <w:szCs w:val="24"/>
        </w:rPr>
        <w:t xml:space="preserve">阅读右侧四份成果（见第四节）；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第 5 步：</w:t>
      </w:r>
      <w:r>
        <w:rPr>
          <w:color w:val="182030"/>
          <w:sz w:val="24"/>
          <w:szCs w:val="24"/>
        </w:rPr>
        <w:t xml:space="preserve">按需导出：下载 Markdown/HTML 完整报告、复制补料清单发给制造商、打印为 PDF。</w:t>
      </w:r>
    </w:p>
    <w:p>
      <w:pPr>
        <w:spacing w:after="40" w:before="120"/>
        <w:jc w:val="center"/>
      </w:pPr>
      <w:r>
        <w:drawing>
          <wp:inline distT="0" distB="0" distL="0" distR="0">
            <wp:extent cx="5461000" cy="326143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326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color w:val="506070"/>
          <w:sz w:val="20"/>
          <w:szCs w:val="20"/>
        </w:rPr>
        <w:t xml:space="preserve">图 3-1 生成分析后的资格自查页：项目速览卡、行动时间表与逐条自查</w:t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四、四大成果怎么读</w:t>
      </w:r>
    </w:p>
    <w:p>
      <w:pPr>
        <w:pStyle w:val="Heading2"/>
        <w:spacing w:after="120" w:before="280"/>
      </w:pPr>
      <w:r>
        <w:rPr>
          <w:rFonts w:ascii="Arial" w:eastAsia="Microsoft YaHei"/>
          <w:b/>
          <w:bCs/>
          <w:color w:val="1284BA"/>
          <w:sz w:val="26"/>
          <w:szCs w:val="26"/>
        </w:rPr>
        <w:t xml:space="preserve">4.1 资格自查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顶部为项目速览卡（限价、预算、保证金、解密时限、报名/开标时间、距开标天数）与倒排行动时间表；下方逐条列明要求、依据与自查结论。“有据”代表资料库可支撑，“待人工核实”代表需补齐材料——它是待办清单，不是错误。</w:t>
      </w:r>
    </w:p>
    <w:p>
      <w:pPr>
        <w:pStyle w:val="Heading2"/>
        <w:spacing w:after="120" w:before="280"/>
      </w:pPr>
      <w:r>
        <w:rPr>
          <w:rFonts w:ascii="Arial" w:eastAsia="Microsoft YaHei"/>
          <w:b/>
          <w:bCs/>
          <w:color w:val="1284BA"/>
          <w:sz w:val="26"/>
          <w:szCs w:val="26"/>
        </w:rPr>
        <w:t xml:space="preserve">4.2 技术偏离表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逐条判定招标参数：满足、正偏离（优于要求，可作加分亮点）、负偏离（不达标）、待人工核对、资料库无。★号参数为关键参数（负偏离通常直接否决投标），▲为重要条款（通常影响评分）；“●高/◐中”为判定置信度，单位口径冲突或经自定义词库匹配时会降为中置信并附说明。</w:t>
      </w:r>
    </w:p>
    <w:p>
      <w:pPr>
        <w:spacing w:after="40" w:before="120"/>
        <w:jc w:val="center"/>
      </w:pPr>
      <w:r>
        <w:drawing>
          <wp:inline distT="0" distB="0" distL="0" distR="0">
            <wp:extent cx="5461000" cy="326143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326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color w:val="506070"/>
          <w:sz w:val="20"/>
          <w:szCs w:val="20"/>
        </w:rPr>
        <w:t xml:space="preserve">图 4-1 技术偏离表：逐条判定、★▲标注与置信度</w:t>
      </w:r>
    </w:p>
    <w:p>
      <w:pPr>
        <w:pStyle w:val="Heading2"/>
        <w:spacing w:after="120" w:before="280"/>
      </w:pPr>
      <w:r>
        <w:rPr>
          <w:rFonts w:ascii="Arial" w:eastAsia="Microsoft YaHei"/>
          <w:b/>
          <w:bCs/>
          <w:color w:val="1284BA"/>
          <w:sz w:val="26"/>
          <w:szCs w:val="26"/>
        </w:rPr>
        <w:t xml:space="preserve">4.3 废标风险 TOP5（含判例引用）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解密时限、同网络串标、保证金三查、授权书用印、限价与截止时间五大风险以白话呈现，每条附动作建议；V3.0 起按类别挂载真实官方判例（财政部指导性案例、省级财政厅处理决定等），附原文引句、法条依据与出处链接；无同类判例时诚实标注“暂无”。</w:t>
      </w:r>
    </w:p>
    <w:p>
      <w:pPr>
        <w:pStyle w:val="Heading2"/>
        <w:spacing w:after="120" w:before="280"/>
      </w:pPr>
      <w:r>
        <w:rPr>
          <w:rFonts w:ascii="Arial" w:eastAsia="Microsoft YaHei"/>
          <w:b/>
          <w:bCs/>
          <w:color w:val="1284BA"/>
          <w:sz w:val="26"/>
          <w:szCs w:val="26"/>
        </w:rPr>
        <w:t xml:space="preserve">4.4 结论与评分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就绪度评分=100−负偏离×权重1−缺参数×权重2−待核对×权重3−缺证明×权重4，权重可在设置中按行业调整并随报告输出脚注。A≥85 建议投标，B 70-84 补料后可投，C 55-69 谨慎评估，D&lt;55 暂缓；★关键参数负偏离触发废标级判定，评分压制至 15 分 D 级并全页红色警告。</w:t>
      </w:r>
    </w:p>
    <w:p>
      <w:pPr>
        <w:spacing w:after="40" w:before="120"/>
        <w:jc w:val="center"/>
      </w:pPr>
      <w:r>
        <w:drawing>
          <wp:inline distT="0" distB="0" distL="0" distR="0">
            <wp:extent cx="5461000" cy="326143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326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color w:val="506070"/>
          <w:sz w:val="20"/>
          <w:szCs w:val="20"/>
        </w:rPr>
        <w:t xml:space="preserve">图 4-2 ★关键参数负偏离场景：直接否决判定与 15 分 D 级</w:t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五、商机雷达（公告期批量预筛）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第 1 步：</w:t>
      </w:r>
      <w:r>
        <w:rPr>
          <w:color w:val="182030"/>
          <w:sz w:val="24"/>
          <w:szCs w:val="24"/>
        </w:rPr>
        <w:t xml:space="preserve">切换至“📡 商机雷达”标签页，在“参与预筛的设备”中勾选当前资料库或已保存的设备库（可多选）；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第 2 步：</w:t>
      </w:r>
      <w:r>
        <w:rPr>
          <w:color w:val="182030"/>
          <w:sz w:val="24"/>
          <w:szCs w:val="24"/>
        </w:rPr>
        <w:t xml:space="preserve">将多条公告粘贴至输入框，每条之间用单独一行 ==== 分隔（或点“载入演示公告集”体验）；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第 3 步：</w:t>
      </w:r>
      <w:r>
        <w:rPr>
          <w:color w:val="182030"/>
          <w:sz w:val="24"/>
          <w:szCs w:val="24"/>
        </w:rPr>
        <w:t xml:space="preserve">点击“📡 批量预筛”，系统输出四档分诊：可投 / 边缘 / 不可投 / 机型不符，附参数覆盖率、依据与截止时间；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第 4 步：</w:t>
      </w:r>
      <w:r>
        <w:rPr>
          <w:color w:val="182030"/>
          <w:sz w:val="24"/>
          <w:szCs w:val="24"/>
        </w:rPr>
        <w:t xml:space="preserve">对目标公告点“载入分析”，自动回到完整分析流程。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说明：预筛为确定性分诊，品类不符（如洒水车公告对装载机设备）自动沉底；“边缘”与“不可投”建议先补齐资料库再做完整分析，最终结论以完整分析页为准。</w:t>
      </w:r>
    </w:p>
    <w:p>
      <w:pPr>
        <w:spacing w:after="40" w:before="120"/>
        <w:jc w:val="center"/>
      </w:pPr>
      <w:r>
        <w:drawing>
          <wp:inline distT="0" distB="0" distL="0" distR="0">
            <wp:extent cx="5461000" cy="326143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326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color w:val="506070"/>
          <w:sz w:val="20"/>
          <w:szCs w:val="20"/>
        </w:rPr>
        <w:t xml:space="preserve">图 5-1 商机雷达：6 条公告批量预筛，可投 1 · 机型不符 5，按截止时间倒排</w:t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六、公告变更检测（补遗不怕漏看）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招标人发布澄清/补遗后，切换至“🔀 公告对比”标签页：将旧版公告载入左侧、新版粘贴右侧（或点“载入对比演示”体验），点击“对比两版公告”。系统对限价、保证金、开标时间、报名截止、解密时限、资格审查方式、联合体条款及全部技术参数、★标注、证明材料要求逐项比对，高风险变更置顶并附处置建议。</w:t>
      </w:r>
    </w:p>
    <w:p>
      <w:pPr>
        <w:spacing w:after="40" w:before="120"/>
        <w:jc w:val="center"/>
      </w:pPr>
      <w:r>
        <w:drawing>
          <wp:inline distT="0" distB="0" distL="0" distR="0">
            <wp:extent cx="5461000" cy="326143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326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color w:val="506070"/>
          <w:sz w:val="20"/>
          <w:szCs w:val="20"/>
        </w:rPr>
        <w:t xml:space="preserve">图 6-1 公告对比：6 处高风险变更逐项列出并附处置建议</w:t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七、原文批注视图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“🔍 原文批注”将判定结果投射回招标公告原文：★关键条款金色高亮、负偏离红色、正偏离蓝色、待核实虚线标注，悬停可查看对应判定。本视图与偏离表同源，不做任何额外推断——风险在哪里发光，一眼定位。</w:t>
      </w:r>
    </w:p>
    <w:p>
      <w:pPr>
        <w:spacing w:after="40" w:before="120"/>
        <w:jc w:val="center"/>
      </w:pPr>
      <w:r>
        <w:drawing>
          <wp:inline distT="0" distB="0" distL="0" distR="0">
            <wp:extent cx="5461000" cy="326143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326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color w:val="506070"/>
          <w:sz w:val="20"/>
          <w:szCs w:val="20"/>
        </w:rPr>
        <w:t xml:space="preserve">图 7-1 原文批注：判定结果在招标原文上定位</w:t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八、进阶功能速查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000"/>
        <w:gridCol w:w="4700"/>
      </w:tblGrid>
      <w:tr>
        <w:trPr>
          <w:cantSplit/>
          <w:tblHeader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入口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双设备对比选型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输入区“🔀 对比选型模式”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贴入第二台设备资料库，同一标输出 A/B 对比、雷达图与选型建议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自定义词库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顶部“📖 词库”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登记设备表述别名（如“额定容积”→标准斗容），规则库随使用生长，匹配处诚实标注来源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评分权重配置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顶部“⚙ 设置”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四项权重按行业调整，影响就绪度评分，报告随附权重脚注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大模型模式（可选）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顶部切换“接入大模型”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填入 OpenAI 兼容 API（如智谱 GLM），受同一反幻觉提示词约束；推荐将系统提示词部署至扣子/Dify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审计日志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结论页底部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每次分析自动留痕（时间、引擎版本、输入指纹、评分），支持 JSON 导出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资产包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⚙ 设置底部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词库+设备库+权重+偏好一键导出/导入（不含 API 密钥），团队共享与换机迁移</w:t>
            </w:r>
          </w:p>
        </w:tc>
      </w:tr>
    </w:tbl>
    <w:p>
      <w:pPr>
        <w:spacing w:after="200" w:before="80"/>
        <w:jc w:val="center"/>
      </w:pPr>
      <w:r>
        <w:rPr>
          <w:color w:val="506070"/>
          <w:sz w:val="20"/>
          <w:szCs w:val="20"/>
        </w:rPr>
        <w:t xml:space="preserve">表 8-1 进阶功能速查</w:t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九、常见问题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PDF 导入提示“疑似扫描件”？</w:t>
      </w:r>
      <w:r>
        <w:rPr>
          <w:color w:val="182030"/>
          <w:sz w:val="24"/>
          <w:szCs w:val="24"/>
        </w:rPr>
        <w:t xml:space="preserve">该 PDF 无文本层（纯扫描图），本地解析无法提取文字。请手动复制参数章节粘贴至公告区，或使用带文字层的电子版招标文件。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大模型模式调用失败？</w:t>
      </w:r>
      <w:r>
        <w:rPr>
          <w:color w:val="182030"/>
          <w:sz w:val="24"/>
          <w:szCs w:val="24"/>
        </w:rPr>
        <w:t xml:space="preserve">浏览器直连部分 API 会遇跨域限制。可切回内置规则引擎（离线可用），或将系统提示词部署至扣子/Dify 平台。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本地双击打开为何不能安装 PWA？</w:t>
      </w:r>
      <w:r>
        <w:rPr>
          <w:color w:val="182030"/>
          <w:sz w:val="24"/>
          <w:szCs w:val="24"/>
        </w:rPr>
        <w:t xml:space="preserve">file:// 方式下浏览器安全机制不启用 Service Worker，属正常现象，应用功能不受影响；在线版可正常安装。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我的数据存在哪里？</w:t>
      </w:r>
      <w:r>
        <w:rPr>
          <w:color w:val="182030"/>
          <w:sz w:val="24"/>
          <w:szCs w:val="24"/>
        </w:rPr>
        <w:t xml:space="preserve">全部业务数据（资料库、设备库、词库、历史、审计日志）仅存本机浏览器 localStorage，不上传任何服务器。清除浏览器数据前请注意导出资产包备份。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——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数据声明：内置演示数据均为虚构；本工具不编造任何未提供的品牌、机型、参数、业绩与资质；AI 辅助分析不能替代人工复核，正式投标前必须逐条核对招标文件原文。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060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4EC" w:sz="4" w:space="4"/>
      </w:pBdr>
      <w:jc w:val="right"/>
    </w:pPr>
    <w:r>
      <w:rPr>
        <w:color w:val="506070"/>
        <w:sz w:val="16"/>
        <w:szCs w:val="16"/>
      </w:rPr>
      <w:t xml:space="preserve">标书快反 BidPilot · 使用说明书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8203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7c20ca0474963934a1a0097ff818b66e4aedf52.png"/><Relationship Id="rId10" Type="http://schemas.openxmlformats.org/officeDocument/2006/relationships/image" Target="media/fd387957f3c756014b1f038876f94708e0fd555b.png"/><Relationship Id="rId11" Type="http://schemas.openxmlformats.org/officeDocument/2006/relationships/image" Target="media/d854dedc8b6979e4ce299f07d58ef8c9bdfe58e5.png"/><Relationship Id="rId12" Type="http://schemas.openxmlformats.org/officeDocument/2006/relationships/image" Target="media/115daea1b2ec54caf38c0f2fb47841fb4746f826.png"/><Relationship Id="rId13" Type="http://schemas.openxmlformats.org/officeDocument/2006/relationships/image" Target="media/7d34dc1a93adc1355c7475acbbfd192a9af0ebe8.png"/><Relationship Id="rId14" Type="http://schemas.openxmlformats.org/officeDocument/2006/relationships/image" Target="media/3b7fcae0ee3ead990ed10a92478277d2da79af98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标书快反使用说明书</dc:title>
  <dc:creator>标书快反团队</dc:creator>
  <cp:lastModifiedBy>Un-named</cp:lastModifiedBy>
  <cp:revision>1</cp:revision>
  <dcterms:created xsi:type="dcterms:W3CDTF">2026-09-19T12:20:04.081Z</dcterms:created>
  <dcterms:modified xsi:type="dcterms:W3CDTF">2026-09-19T12:20:04.089Z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