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EFE" w:val="clear"/>
          </w:tcPr>
          <w:p>
            <w:pPr>
              <w:pBdr>
                <w:top w:val="single" w:color="FF862F" w:sz="18" w:space="20"/>
              </w:pBdr>
              <w:spacing w:after="200" w:before="1200"/>
              <w:ind w:left="1000" w:right="1000"/>
            </w:pPr>
          </w:p>
          <w:p>
            <w:pPr>
              <w:spacing w:before="1800"/>
            </w:pPr>
          </w:p>
          <w:p>
            <w:pPr>
              <w:spacing w:after="500"/>
              <w:jc w:val="center"/>
            </w:pPr>
            <w:r>
              <w:rPr>
                <w:rFonts w:ascii="Calibri"/>
                <w:color w:val="FF862F"/>
                <w:spacing w:val="40"/>
                <w:sz w:val="18"/>
                <w:szCs w:val="18"/>
              </w:rPr>
              <w:t xml:space="preserve">B  I  D  P  I  L  O  T     P  R  O  D  U  C  T     G  U  I  D  E</w:t>
            </w:r>
          </w:p>
          <w:p>
            <w:pPr>
              <w:spacing w:after="300" w:line="920" w:lineRule="atLeast"/>
              <w:jc w:val="center"/>
            </w:pPr>
            <w:r>
              <w:rPr>
                <w:rFonts w:ascii="Arial" w:eastAsia="SimHei"/>
                <w:b/>
                <w:bCs/>
                <w:color w:val="1284BA"/>
                <w:sz w:val="80"/>
                <w:szCs w:val="80"/>
              </w:rPr>
              <w:t xml:space="preserve">标书快反产品详细介绍书</w:t>
            </w:r>
          </w:p>
          <w:p>
            <w:pPr>
              <w:spacing w:after="400"/>
              <w:jc w:val="center"/>
            </w:pPr>
            <w:r>
              <w:rPr>
                <w:rFonts w:ascii="Arial" w:eastAsia="Microsoft YaHei"/>
                <w:color w:val="606060"/>
                <w:sz w:val="24"/>
                <w:szCs w:val="24"/>
              </w:rPr>
              <w:t xml:space="preserve">工程机械投标文件 AI 智能体 · v3.0</w:t>
            </w:r>
          </w:p>
          <w:p>
            <w:pPr>
              <w:spacing w:before="1200"/>
            </w:pP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707070"/>
                <w:sz w:val="36"/>
                <w:szCs w:val="36"/>
              </w:rPr>
              <w:t xml:space="preserve">反幻觉 · 可回溯 · 双引擎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707070"/>
                <w:sz w:val="36"/>
                <w:szCs w:val="36"/>
              </w:rPr>
              <w:t xml:space="preserve">2026 年 9 月</w:t>
            </w:r>
          </w:p>
          <w:p>
            <w:pPr>
              <w:spacing w:before="2000"/>
            </w:pPr>
          </w:p>
          <w:p>
            <w:pPr>
              <w:pBdr>
                <w:bottom w:val="single" w:color="FF862F" w:sz="18" w:space="20"/>
              </w:pBdr>
              <w:spacing w:before="200"/>
              <w:ind w:left="1000" w:right="1000"/>
              <w:jc w:val="center"/>
            </w:pPr>
            <w:r>
              <w:rPr>
                <w:rFonts w:ascii="Arial"/>
                <w:color w:val="A0A0A0"/>
                <w:sz w:val="18"/>
                <w:szCs w:val="18"/>
              </w:rPr>
              <w:t xml:space="preserve">BidPilot Team · 内部资料 · 演示数据均为虚构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00" w:before="200"/>
        <w:jc w:val="center"/>
      </w:pPr>
      <w:r>
        <w:rPr>
          <w:rFonts w:eastAsia="SimHei"/>
          <w:b/>
          <w:bCs/>
          <w:color w:val="1284B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909090"/>
          <w:sz w:val="18"/>
          <w:szCs w:val="18"/>
        </w:rPr>
        <w:t xml:space="preserve">提示：在 Word 中右键目录 → “更新域”可刷新页码。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lowerRoman"/>
          <w:docGrid w:linePitch="360"/>
        </w:sectPr>
      </w:pP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一、产品概述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标书快反（BidPilot）是一款面向工程机械经销商的投标文件 AI 智能体（v3.0）。使用者只需粘贴两段文本——本公司资料库（资质、业绩、设备参数）与招标公告原文——系统即可在 10 秒内生成投标所需的四份核心成果：资格自查表、技术偏离表、废标风险 TOP5 与投标就绪度评分报告，将传统流程中 2–3 天的人工标书处理工作压缩到数秒，并以结构化方式提示每一处可能废标的风险。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产品采用双引擎架构：内置规则引擎离线可用、结论可回溯，负责确定性判定；大模型引擎（GLM 等OpenAI 兼容接口，或扣子/Coze、Dify 平台部署）负责开放式问答。两套引擎共享同一份反幻觉系统提示词，保证输出行为一致。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1.1 核心价值主张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省时：</w:t>
      </w:r>
      <w:r>
        <w:rPr>
          <w:color w:val="182030"/>
          <w:sz w:val="24"/>
          <w:szCs w:val="24"/>
        </w:rPr>
        <w:t xml:space="preserve">标书自查从 2–3 天压缩到 10 秒，业务员把时间花在报价与商务上；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防错：</w:t>
      </w:r>
      <w:r>
        <w:rPr>
          <w:color w:val="182030"/>
          <w:sz w:val="24"/>
          <w:szCs w:val="24"/>
        </w:rPr>
        <w:t xml:space="preserve">32 类技术参数逐条比对、★关键参数废标判定、保证金/解密时限等高风险条款自动提醒；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可信：</w:t>
      </w:r>
      <w:r>
        <w:rPr>
          <w:color w:val="182030"/>
          <w:sz w:val="24"/>
          <w:szCs w:val="24"/>
        </w:rPr>
        <w:t xml:space="preserve">反幻觉铁律——资料库里没有的信息一律输出“该信息不在本公司资料库中，请核实后补充”，绝不编造任何品牌、机型、参数、业绩与资质；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可审计：</w:t>
      </w:r>
      <w:r>
        <w:rPr>
          <w:color w:val="182030"/>
          <w:sz w:val="24"/>
          <w:szCs w:val="24"/>
        </w:rPr>
        <w:t xml:space="preserve">每个判定结论都能回溯到招标公告原文片段，满足招投标场景的合规要求。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1.2 适用场景与用户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4300"/>
        <w:gridCol w:w="3000"/>
      </w:tblGrid>
      <w:tr>
        <w:trPr>
          <w:cantSplit/>
          <w:tblHeader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用户角色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使用场景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核心收益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经销商投标专员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每单投标前的资格与参数自查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省时、防废标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销售经理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多设备选型决策（对比模式）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快速选型，避免盲目投标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制造商渠道部门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为授权经销商提供投标支持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提升渠道中标率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投标咨询顾问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批量标书审查与风险扫描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扩大服务吞吐量</w:t>
            </w:r>
          </w:p>
        </w:tc>
      </w:tr>
    </w:tbl>
    <w:p>
      <w:pPr>
        <w:spacing w:after="200" w:before="80"/>
        <w:jc w:val="center"/>
      </w:pPr>
      <w:r>
        <w:rPr>
          <w:color w:val="506070"/>
          <w:sz w:val="20"/>
          <w:szCs w:val="20"/>
        </w:rPr>
        <w:t xml:space="preserve">表 1-1 目标用户与使用场景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二、功能详解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2.1 四大核心输出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资格自查：逐条对照招标公告的资格要求（独立法人、授权书、体系认证、业绩、联合体条款、资格审查方式等），输出“有据/待人工核实”双色标注，并自动列出保证金、CA 证书等平台类待办。技术偏离表：对 32 类技术参数逐条响应，标注满足/正偏离/负偏离/资料库无/待人工补充五态；废标风险 TOP5：以业务员可读的白话提示解密时限、同网络串标、保证金账户、授权书用印、限价与截止时间五大高危项；结论与评分：0–100 就绪度评分、A/B/C/D 等级、是否建议投标与前提条件清单。</w:t>
      </w:r>
    </w:p>
    <w:p>
      <w:pPr>
        <w:spacing w:after="40" w:before="120"/>
        <w:jc w:val="center"/>
      </w:pPr>
      <w:r>
        <w:drawing>
          <wp:inline distT="0" distB="0" distL="0" distR="0">
            <wp:extent cx="5461000" cy="307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07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color w:val="506070"/>
          <w:sz w:val="20"/>
          <w:szCs w:val="20"/>
        </w:rPr>
        <w:t xml:space="preserve">图 2-1 资格自查页：项目速览卡与投标行动时间表（产品实拍，演示数据为虚构）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2.2 ★关键参数废标判定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系统自动识别招标文件中的★号标注（段级定位：★只归属紧邻的参数，不污染同行其他参数）。当★参数出现负偏离时，按招标行业惯例判定为直接否决投标：评分压制至 15 分（D 级），页面顶部显示红色废标警告条，前提清单第一条即为“书面澄清或更换机型”。★参数在资料库中缺失时，则显示琥珀色警告（区别于负偏离），提示补齐前不具备投标条件。</w:t>
      </w:r>
    </w:p>
    <w:p>
      <w:pPr>
        <w:spacing w:after="40" w:before="120"/>
        <w:jc w:val="center"/>
      </w:pPr>
      <w:r>
        <w:drawing>
          <wp:inline distT="0" distB="0" distL="0" distR="0">
            <wp:extent cx="5461000" cy="307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07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color w:val="506070"/>
          <w:sz w:val="20"/>
          <w:szCs w:val="20"/>
        </w:rPr>
        <w:t xml:space="preserve">图 2-2 挖掘机演示场景：★爬坡能力负偏离触发废标判定（产品实拍，演示数据为虚构）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2.3 对比选型模式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在对比框贴入第二台设备资料库，系统输出双评分环对决视图（A 设备 vs B 设备）、偏离表 A/B 双列对照，以及一行选型建议。导出报告自动附带“对比分析”章节，含两台设备评分对照表与各自结论。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2.4 单位换算与口径治理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引擎内置三套换算：毫米↔米（如 3.1m 对比 ≥2900mm）、马力↔千瓦（1 马力 = 0.7355kW）、吨↔千克。对无法安全换算的口径冲突（如爬坡能力的百分比与角度制、掘起力的 kN 与吨），系统拒绝瞎换算，明确标注“双方单位口径不同，请人工核对”——宁可不判定，不可错判定。</w:t>
      </w:r>
    </w:p>
    <w:p>
      <w:pPr>
        <w:spacing w:after="40" w:before="120"/>
        <w:jc w:val="center"/>
      </w:pPr>
      <w:r>
        <w:drawing>
          <wp:inline distT="0" distB="0" distL="0" distR="0">
            <wp:extent cx="5461000" cy="307181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07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color w:val="506070"/>
          <w:sz w:val="20"/>
          <w:szCs w:val="20"/>
        </w:rPr>
        <w:t xml:space="preserve">图 2-3 技术偏离表：★金色标记关键参数，跨单位参数自动换算比对（产品实拍，演示数据为虚构）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2.5 公告变更检测与自定义词库（v1.6）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公告变更检测：澄清/补遗是招标过程中最常见的废标诱因——参数改了、★标注加了、时间提前了，漏看一处即出局。将澄清前后两版公告分别粘贴，系统自动比对并按风险分级列出全部变更：总价限价、投标保证金、开标时间、参数要求、★标注新增与取消、证明材料增删，每条附处置建议（如“重新安排基本账户汇款”“立即向制造商调取”），并给出下一步行动清单。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自定义词库：规则库具备生长能力。当资料库或公告使用引擎未收录的设备表述（如以“额定容积”指代斗容），用户在词库中登记该别称及其对应参数，此后分析自动按该参数判定，且偏离表中诚实标注“依自定义词库匹配”，来源可追溯、条目可删除；每一次登记都沉淀为规则库资产，使产品随使用持续增值。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2.6 品类覆盖与▲重要条款（v1.7）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品类扩展：依据中国政府采购网近半年真实公告研究，参数库从16类扩展至32类，机型族覆盖装载机、挖掘机、起重机、泵车、压路机等道路机械、洒水车等环卫车辆、推土机、叉车、旋挖钻机、高空作业平台7大类。新增▲重要条款双级风控：真实采购文件以▲标注影响评分的条款（区别于★否决条款），▲负偏离或缺失触发琥珀色复核警示而不判废标，实现★/▲分级风险管理。交货期支持合同履行期限等政采真实措辞，容积类参数支持L与立方米自动换算。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2.7 原文批注视图与置信度分级（v2.0）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原文批注视图：新增独立标签页，将招标公告原文完整渲染，每一条被判定内容就地高亮——★关键条款金色、▲重要条款蓝色、负偏离红色下划线、正偏离浅蓝、满足绿色、待人工核实橙色虚线，悬停即可查看对应判定依据。可回溯性从文字承诺升级为可视化体验，且高亮数据与偏离表同源，不做任何额外推断。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判定置信度分级：偏离表新增置信列——精确关键词命中为高置信（实心标记），经自定义词库别名匹配或单位口径待核对为中置信（半实心标记）。诚实量化每个判定的确信程度，让「宁可不判定、不可错判定」的原则可被看见。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审计日志：每次生成分析自动留痕（时间、引擎版本、评分等级、输入指纹、词库状态），结论页展示最近记录并支持JSON导出——当时的判断永远可以复现。报告品牌系统支持上传公司Logo与选择主题色，导出报告自动套用。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2.8 采购文件导入与对比雷达图（v2.1/v2.1.1）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采购文件PDF导入：拖入招标文件附件PDF，本地pdf.js解析（不上传服务器）自动定位技术参数章节并附加到公告区，参数不再需要手动复制粘贴；扫描件诚实提示无法解析。A/B对比雷达图：两台设备在共同参数维度上的多边形叠加，形状差异一眼可见。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2.9 其他功能一览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500"/>
      </w:tblGrid>
      <w:tr>
        <w:trPr>
          <w:cantSplit/>
          <w:tblHeader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项目速览卡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限价/保证金/解密时限/报名与开标时间/审查方式/联合体，一屏速览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投标行动时间表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报名截止、保证金到账、开标三节点自动倒排，含距开标倒计时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就绪度评分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权重可配置（负偏离/缺参数/待核对/缺证明四项），脚注随报告输出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我的设备库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常用设备资料库本机保存（最多 30 个），一键载入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公告变更检测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新旧两版公告自动比对，6类变更按风险分级并附处置建议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自定义词库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登记设备表述别名，规则库随使用生长，匹配处诚实标注来源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补料清单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所有待核实项自动整理为可转发清单，发给制造商照单补料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三路导出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Markdown、单文件 HTML 报告（含公司抬头）、打印/PDF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历史记录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最近 20 次分析存本机，点击载入重跑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中英界面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全界面文案切换，偏好存本机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演示指南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内置三分钟答辩演示脚本</w:t>
            </w:r>
          </w:p>
        </w:tc>
      </w:tr>
    </w:tbl>
    <w:p>
      <w:pPr>
        <w:spacing w:after="200" w:before="80"/>
        <w:jc w:val="center"/>
      </w:pPr>
      <w:r>
        <w:rPr>
          <w:color w:val="506070"/>
          <w:sz w:val="20"/>
          <w:szCs w:val="20"/>
        </w:rPr>
        <w:t xml:space="preserve">表 2-1 功能清单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三、使用指南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3.1 三种运行方式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在线体验（已上线）：</w:t>
      </w:r>
      <w:r>
        <w:rPr>
          <w:color w:val="182030"/>
          <w:sz w:val="24"/>
          <w:szCs w:val="24"/>
        </w:rPr>
        <w:t xml:space="preserve">https://azzb66223944qq.github.io/bidpilot/ —— 手机/电脑浏览器直接打开，支持安装为App；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本地运行：</w:t>
      </w:r>
      <w:r>
        <w:rPr>
          <w:color w:val="182030"/>
          <w:sz w:val="24"/>
          <w:szCs w:val="24"/>
        </w:rPr>
        <w:t xml:space="preserve">双击 index.html 即可，规则引擎离线可用，无需安装；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在线部署：</w:t>
      </w:r>
      <w:r>
        <w:rPr>
          <w:color w:val="182030"/>
          <w:sz w:val="24"/>
          <w:szCs w:val="24"/>
        </w:rPr>
        <w:t xml:space="preserve">上传至 GitHub Pages 即获得公开链接，适合放入参赛材料；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智能体部署：</w:t>
      </w:r>
      <w:r>
        <w:rPr>
          <w:color w:val="182030"/>
          <w:sz w:val="24"/>
          <w:szCs w:val="24"/>
        </w:rPr>
        <w:t xml:space="preserve">点击页面“系统提示词”按钮复制提示词，粘贴到扣子（Coze）/Dify 新建智能体，并上传资料为知识库。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3.2 五步上手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200"/>
        <w:gridCol w:w="5900"/>
      </w:tblGrid>
      <w:tr>
        <w:trPr>
          <w:cantSplit/>
          <w:tblHeader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步骤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操作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载入/粘贴资料库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点击演示芯片，或粘贴本公司资质、业绩、设备参数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粘贴招标公告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整段粘贴即可，系统自动提取限价、时间节点、参数要求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点击生成投标分析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或使用 Ctrl/⌘+Enter 快捷键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查看四个标签页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资格自查 → 技术偏离表 → 废标风险 → 结论与评分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导出与补料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下载 HTML/MD 报告，或一键复制补料清单发给制造商</w:t>
            </w:r>
          </w:p>
        </w:tc>
      </w:tr>
    </w:tbl>
    <w:p>
      <w:pPr>
        <w:spacing w:after="200" w:before="80"/>
        <w:jc w:val="center"/>
      </w:pPr>
      <w:r>
        <w:rPr>
          <w:color w:val="506070"/>
          <w:sz w:val="20"/>
          <w:szCs w:val="20"/>
        </w:rPr>
        <w:t xml:space="preserve">表 3-1 五步上手流程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3.3 接入大模型（可选）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在右上角“设置”中填入 OpenAI 兼容 API 地址与密钥（推荐智谱 GLM，glm-4-flash 免费档即可运行），模型名默认 glm-4-flash，保存后切换到“接入大模型”模式。密钥仅保存在本机浏览器 localStorage，不经过任何第三方服务器。若遇浏览器跨域限制，请使用内置规则引擎或将系统提示词部署到 Coze/Dify 平台。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四、技术架构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4.1 双引擎架构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规则引擎（engine.js，纯函数模块，浏览器与 Node 双端运行）承担参数提取、单位换算、偏离判定、评分计算等确定性工作，离线可用、结论可回溯、可单元测试；大模型引擎承担自然语言问答与长文本理解，受系统提示词约束在白名单信息源内作答。规则引擎保底、大模型增强、人工复核兜底，三层递进。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4.2 反幻觉三层防线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输入层：</w:t>
      </w:r>
      <w:r>
        <w:rPr>
          <w:color w:val="182030"/>
          <w:sz w:val="24"/>
          <w:szCs w:val="24"/>
        </w:rPr>
        <w:t xml:space="preserve">白名单协议——只允许引用资料库与招标公告两份输入；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判定层：</w:t>
      </w:r>
      <w:r>
        <w:rPr>
          <w:color w:val="182030"/>
          <w:sz w:val="24"/>
          <w:szCs w:val="24"/>
        </w:rPr>
        <w:t xml:space="preserve">数值比较全部由确定性代码完成，绕开模型自由发挥；</w:t>
      </w:r>
    </w:p>
    <w:p>
      <w:pPr>
        <w:spacing w:after="80" w:line="312"/>
        <w:ind w:left="360"/>
        <w:jc w:val="both"/>
      </w:pPr>
      <w:r>
        <w:rPr>
          <w:b/>
          <w:bCs/>
          <w:color w:val="FF862F"/>
          <w:sz w:val="24"/>
          <w:szCs w:val="24"/>
        </w:rPr>
        <w:t xml:space="preserve">• </w:t>
      </w:r>
      <w:r>
        <w:rPr>
          <w:b/>
          <w:bCs/>
          <w:color w:val="182030"/>
          <w:sz w:val="24"/>
          <w:szCs w:val="24"/>
        </w:rPr>
        <w:t xml:space="preserve">输出层：</w:t>
      </w:r>
      <w:r>
        <w:rPr>
          <w:color w:val="182030"/>
          <w:sz w:val="24"/>
          <w:szCs w:val="24"/>
        </w:rPr>
        <w:t xml:space="preserve">缺失信息强制输出固定占位符，业务员拿到的是补料清单而非错误答案。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4.3 质量保障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引擎配套 167 项以上自动化回归测试（含黄金快照面级回归）（tests/engine.test.js），覆盖六大机型场景、公告变更检测、自定义词库、单位换算边界、★段级定位、评分权重、判例挂载、商机雷达预筛与乱输入鲁棒性。全量测试可通过 node tests/engine.test.js 与 node tests/golden.test.js 一键复跑。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4.4 判例引用风控与商机雷达（v3.0）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判例引用风控：废标风险 TOP5 按类别挂载真实官方判例（财政部指导性案例、省级财政厅投诉处理决定、公共资源交易中心通报、司法文书四类来源，种子库 53 条以上），标题、发布机关、原文引句、法条依据、出处链接五要素齐备；无同类判例时诚实标注“暂无”，反幻觉从参数层延伸到知识层。商机雷达：以设备库参数指纹对多条公告做确定性批量预筛，输出“可投/边缘/不可投/机型不符”四档分诊与参数覆盖率排序，品类不符自动沉底、截止时间倒排，支持一键载入完整分析；百条公告预筛本地实测毫秒级。</w:t>
      </w:r>
    </w:p>
    <w:p>
      <w:pPr>
        <w:pStyle w:val="Heading2"/>
        <w:spacing w:after="120" w:before="280"/>
      </w:pPr>
      <w:r>
        <w:rPr>
          <w:rFonts w:ascii="Arial" w:eastAsia="Microsoft YaHei"/>
          <w:b/>
          <w:bCs/>
          <w:color w:val="1284BA"/>
          <w:sz w:val="26"/>
          <w:szCs w:val="26"/>
        </w:rPr>
        <w:t xml:space="preserve">4.5 文件结构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500"/>
      </w:tblGrid>
      <w:tr>
        <w:trPr>
          <w:cantSplit/>
          <w:tblHeader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文件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index.html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前端应用（界面、交互、导出、历史、设备库、语言切换）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engine.js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核心解析引擎 v3.0（纯函数，32 类参数 7 大机型族，置信度分级，可单测）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tests/engine.test.js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167 项以上自动化回归测试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prompts/system-prompt.md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智能体系统提示词（Coze/Dify/GLM 通用）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docs/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产品截图、答辩问答、商业计划书大纲、路演 PPT</w:t>
            </w:r>
          </w:p>
        </w:tc>
      </w:tr>
    </w:tbl>
    <w:p>
      <w:pPr>
        <w:spacing w:after="200" w:before="80"/>
        <w:jc w:val="center"/>
      </w:pPr>
      <w:r>
        <w:rPr>
          <w:color w:val="506070"/>
          <w:sz w:val="20"/>
          <w:szCs w:val="20"/>
        </w:rPr>
        <w:t xml:space="preserve">表 4-1 代码仓库结构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五、版本历史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8500"/>
      </w:tblGrid>
      <w:tr>
        <w:trPr>
          <w:cantSplit/>
          <w:tblHeader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版本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主要特性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反幻觉引擎、四份核心输出、26 项测试、Coze 部署方案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v1.1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就绪度评分模型、扩展参数与单位换算、双演示场景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v1.2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对比选型模式、项目速览卡、补料清单、HTML 报告导出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v1.3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起重机/泵车场景（16 类参数）、评分权重可配置、中英界面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v1.4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★关键参数废标判定（段级定位）、投标行动时间表、报告抬头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v1.7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★缺失琥珀告警、对比报告导出补全、我的设备库、快捷键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v1.6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公告变更检测（6类变更风险分级）、自定义词库（规则库生长）、PWA缓存策略修正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v1.7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品类扩展16→32类（7大机型族）、▲重要条款双级风控、交货期政采措辞、容积单位换算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v2.0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原文批注视图（风险在原文上发光）、判定置信度分级、审计日志、报告品牌系统（Logo+主题色）、CI自动测试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v2.1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采购文件PDF导入（本地pdf.js解析+章节定位）、A/B对比雷达图、黄金快照测试、CI双测试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v2.1.1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导出置信列对齐、报告指纹尾注、资产包导入导出、破坏性操作二次确认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v3.0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判例引用风控（官方判例53条以上，五要素挂载+诚实标注）、商机雷达批量预筛（四档分诊+截止倒排）、测试扩充至167项以上</w:t>
            </w:r>
          </w:p>
        </w:tc>
      </w:tr>
    </w:tbl>
    <w:p>
      <w:pPr>
        <w:spacing w:after="200" w:before="80"/>
        <w:jc w:val="center"/>
      </w:pPr>
      <w:r>
        <w:rPr>
          <w:color w:val="506070"/>
          <w:sz w:val="20"/>
          <w:szCs w:val="20"/>
        </w:rPr>
        <w:t xml:space="preserve">表 5-1 版本演进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六、合规与免责声明</w:t>
      </w:r>
    </w:p>
    <w:p>
      <w:pPr>
        <w:spacing w:after="80" w:line="312"/>
        <w:ind w:firstLine="420"/>
        <w:jc w:val="both"/>
      </w:pPr>
      <w:r>
        <w:rPr>
          <w:color w:val="182030"/>
          <w:sz w:val="24"/>
          <w:szCs w:val="24"/>
        </w:rPr>
        <w:t xml:space="preserve">内置演示数据（浙东机械、北岭设备等公司与其招标项目）均为虚构，仅用于产品演示。本工具为辅助分析工具，输出不能替代人工复核，正式投标前必须逐条核对招标文件原文；报告导出件均带有虚构数据声明与人工复核提示。大模型模式下密钥仅存本机，历史记录与设备库数据均保存在浏览器 localStorage，不上传任何服务器。因使用本工具造成的任何投标损失，由使用者自行承担。</w:t>
      </w:r>
    </w:p>
    <w:p>
      <w:pPr>
        <w:pStyle w:val="Heading1"/>
        <w:spacing w:after="160" w:before="400"/>
      </w:pPr>
      <w:r>
        <w:rPr>
          <w:rFonts w:ascii="Arial" w:eastAsia="Microsoft YaHei"/>
          <w:b/>
          <w:bCs/>
          <w:color w:val="1284BA"/>
          <w:sz w:val="32"/>
          <w:szCs w:val="32"/>
        </w:rPr>
        <w:t xml:space="preserve">七、常见问题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700"/>
      </w:tblGrid>
      <w:tr>
        <w:trPr>
          <w:cantSplit/>
          <w:tblHeader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1284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解答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与直接问大模型有何区别？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本产品从源头压制幻觉（白名单+占位符），判定由确定性代码完成且可回溯原文；通用大模型会编造参数，投标场景即废标。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支持哪些机型？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装载机、挖掘机、起重机、泵车、压路机、环卫车、叉车、旋挖钻机等七大机型族 32 类参数；贴入任意含对应关键词的公告均可识别。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评分权重如何设定？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默认 15/6/5/3（负偏离/缺参数/待核对/缺证明），可在设置中按行业调整；权重代表业务价值观，调整需有依据。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数据安全吗？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ED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全部数据仅存本机浏览器；大模型模式下密钥也只存本机。</w:t>
            </w:r>
          </w:p>
        </w:tc>
      </w:tr>
      <w:tr>
        <w:trPr>
          <w:cantSplit/>
        </w:trPr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离线能用吗？</w:t>
            </w:r>
          </w:p>
        </w:tc>
        <w:tc>
          <w:tcPr>
            <w:tcBorders>
              <w:top w:val="single" w:color="D8E4EC" w:sz="4"/>
              <w:left w:val="single" w:color="D8E4EC" w:sz="4"/>
              <w:bottom w:val="single" w:color="D8E4EC" w:sz="4"/>
              <w:right w:val="single" w:color="D8E4E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82030"/>
                <w:sz w:val="20"/>
                <w:szCs w:val="20"/>
              </w:rPr>
              <w:t xml:space="preserve">内置规则引擎完全离线可用；仅大模型模式需要联网。</w:t>
            </w:r>
          </w:p>
        </w:tc>
      </w:tr>
    </w:tbl>
    <w:p>
      <w:pPr>
        <w:spacing w:after="200" w:before="80"/>
        <w:jc w:val="center"/>
      </w:pPr>
      <w:r>
        <w:rPr>
          <w:color w:val="506070"/>
          <w:sz w:val="20"/>
          <w:szCs w:val="20"/>
        </w:rPr>
        <w:t xml:space="preserve">表 7-1 常见问题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060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060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4EC" w:sz="4" w:space="4"/>
      </w:pBdr>
      <w:jc w:val="right"/>
    </w:pPr>
    <w:r>
      <w:rPr>
        <w:color w:val="506070"/>
        <w:sz w:val="16"/>
        <w:szCs w:val="16"/>
      </w:rPr>
      <w:t xml:space="preserve">标书快反 BidPilot · 产品详细介绍书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8203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e06915c03034c99ea658d55dd2054bc8d79b5372.png"/><Relationship Id="rId11" Type="http://schemas.openxmlformats.org/officeDocument/2006/relationships/image" Target="media/7081a4fb09e84557648741ad8c0d54887e8ba546.png"/><Relationship Id="rId12" Type="http://schemas.openxmlformats.org/officeDocument/2006/relationships/image" Target="media/42951d2a3d510d5c823ea207af3c3ebe179e6c8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标书快反 BidPilot 产品详细介绍书</dc:title>
  <dc:creator>标书快反团队</dc:creator>
  <cp:lastModifiedBy>Un-named</cp:lastModifiedBy>
  <cp:revision>1</cp:revision>
  <dcterms:created xsi:type="dcterms:W3CDTF">2026-09-19T06:34:01.685Z</dcterms:created>
  <dcterms:modified xsi:type="dcterms:W3CDTF">2026-09-19T06:34:01.686Z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