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EFE" w:val="clear"/>
          </w:tcPr>
          <w:p>
            <w:pPr>
              <w:pBdr>
                <w:top w:val="single" w:color="FF862F" w:sz="18" w:space="20"/>
              </w:pBdr>
              <w:spacing w:after="200" w:before="1200"/>
              <w:ind w:left="1000" w:right="1000"/>
            </w:pPr>
          </w:p>
          <w:p>
            <w:pPr>
              <w:spacing w:before="1800"/>
            </w:pPr>
          </w:p>
          <w:p>
            <w:pPr>
              <w:spacing w:after="500"/>
              <w:jc w:val="center"/>
            </w:pPr>
            <w:r>
              <w:rPr>
                <w:rFonts w:ascii="Calibri"/>
                <w:color w:val="FF862F"/>
                <w:spacing w:val="40"/>
                <w:sz w:val="18"/>
                <w:szCs w:val="18"/>
              </w:rPr>
              <w:t xml:space="preserve">T  E  S  T     R  E  P  O  R  T</w:t>
            </w:r>
          </w:p>
          <w:p>
            <w:pPr>
              <w:spacing w:after="300" w:line="920" w:lineRule="atLeast"/>
              <w:jc w:val="center"/>
            </w:pPr>
            <w:r>
              <w:rPr>
                <w:rFonts w:ascii="Arial" w:eastAsia="SimHei"/>
                <w:b/>
                <w:bCs/>
                <w:color w:val="1284BA"/>
                <w:sz w:val="80"/>
                <w:szCs w:val="80"/>
              </w:rPr>
              <w:t xml:space="preserve">标书快反测试报告</w:t>
            </w:r>
          </w:p>
          <w:p>
            <w:pPr>
              <w:spacing w:after="400"/>
              <w:jc w:val="center"/>
            </w:pPr>
            <w:r>
              <w:rPr>
                <w:rFonts w:ascii="Arial" w:eastAsia="Microsoft YaHei"/>
                <w:color w:val="606060"/>
                <w:sz w:val="24"/>
                <w:szCs w:val="24"/>
              </w:rPr>
              <w:t xml:space="preserve">核心判定引擎与应用整体质量验证 · V3.0</w:t>
            </w:r>
          </w:p>
          <w:p>
            <w:pPr>
              <w:spacing w:before="1200"/>
            </w:pPr>
          </w:p>
          <w:p>
            <w:pPr>
              <w:spacing w:after="100" w:line="414" w:lineRule="atLeast"/>
              <w:jc w:val="center"/>
            </w:pPr>
            <w:r>
              <w:rPr>
                <w:rFonts w:ascii="Arial" w:eastAsia="Microsoft YaHei"/>
                <w:color w:val="707070"/>
                <w:sz w:val="36"/>
                <w:szCs w:val="36"/>
              </w:rPr>
              <w:t xml:space="preserve">自动化断言 167 项 · 通过率 100%</w:t>
            </w:r>
          </w:p>
          <w:p>
            <w:pPr>
              <w:spacing w:after="100" w:line="414" w:lineRule="atLeast"/>
              <w:jc w:val="center"/>
            </w:pPr>
            <w:r>
              <w:rPr>
                <w:rFonts w:ascii="Arial" w:eastAsia="Microsoft YaHei"/>
                <w:color w:val="707070"/>
                <w:sz w:val="36"/>
                <w:szCs w:val="36"/>
              </w:rPr>
              <w:t xml:space="preserve">BidPilot 质量报告 · 2026年9月</w:t>
            </w:r>
          </w:p>
          <w:p>
            <w:pPr>
              <w:spacing w:before="2000"/>
            </w:pPr>
          </w:p>
          <w:p>
            <w:pPr>
              <w:pBdr>
                <w:bottom w:val="single" w:color="FF862F" w:sz="18" w:space="20"/>
              </w:pBdr>
              <w:spacing w:before="200"/>
              <w:ind w:left="1000" w:right="1000"/>
              <w:jc w:val="center"/>
            </w:pPr>
            <w:r>
              <w:rPr>
                <w:rFonts w:ascii="Arial"/>
                <w:color w:val="A0A0A0"/>
                <w:sz w:val="18"/>
                <w:szCs w:val="18"/>
              </w:rPr>
              <w:t xml:space="preserve">BidPilot Team · 演示数据均为虚构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200" w:before="200"/>
        <w:jc w:val="center"/>
      </w:pPr>
      <w:r>
        <w:rPr>
          <w:rFonts w:eastAsia="SimHei"/>
          <w:b/>
          <w:bCs/>
          <w:color w:val="1284BA"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909090"/>
          <w:sz w:val="18"/>
          <w:szCs w:val="18"/>
        </w:rPr>
        <w:t xml:space="preserve">提示：在 Word 中右键目录并选择更新域，可刷新页码。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lowerRoman"/>
          <w:docGrid w:linePitch="360"/>
        </w:sectPr>
      </w:pPr>
    </w:p>
    <w:p>
      <w:pPr>
        <w:pStyle w:val="Heading1"/>
        <w:spacing w:after="160" w:before="400"/>
      </w:pPr>
      <w:r>
        <w:rPr>
          <w:rFonts w:ascii="Arial" w:eastAsia="Microsoft YaHei"/>
          <w:b/>
          <w:bCs/>
          <w:color w:val="1284BA"/>
          <w:sz w:val="32"/>
          <w:szCs w:val="32"/>
        </w:rPr>
        <w:t xml:space="preserve">一、测试概述</w:t>
      </w:r>
    </w:p>
    <w:p>
      <w:pPr>
        <w:spacing w:after="80" w:line="312"/>
        <w:ind w:firstLine="420"/>
        <w:jc w:val="both"/>
      </w:pPr>
      <w:r>
        <w:rPr>
          <w:color w:val="182030"/>
          <w:sz w:val="24"/>
          <w:szCs w:val="24"/>
        </w:rPr>
        <w:t xml:space="preserve">本报告针对标书快反（BidPilot）V3.0的核心判定引擎（engine.js）与应用整体进行质量验证。测试目标：验证投标分析全链路（参数提取、单位换算、偏离判定、★废标识别、评分模型、公告变更检测、自定义词库、报告导出）的正确性、边界鲁棒性与反幻觉约束的有效性，为参赛演示与经销商试点交付提供质量依据。</w:t>
      </w:r>
    </w:p>
    <w:p>
      <w:pPr>
        <w:spacing w:after="80" w:line="312"/>
        <w:ind w:firstLine="420"/>
        <w:jc w:val="both"/>
      </w:pPr>
      <w:r>
        <w:rPr>
          <w:color w:val="182030"/>
          <w:sz w:val="24"/>
          <w:szCs w:val="24"/>
        </w:rPr>
        <w:t xml:space="preserve">测试结论：全部167项自动化断言通过，通过率100%；浏览器人工验收覆盖主要界面路径；文档质检脚本零错误。产品满足可演示、可交付状态。</w:t>
      </w:r>
    </w:p>
    <w:p>
      <w:pPr>
        <w:pStyle w:val="Heading1"/>
        <w:spacing w:after="160" w:before="400"/>
      </w:pPr>
      <w:r>
        <w:rPr>
          <w:rFonts w:ascii="Arial" w:eastAsia="Microsoft YaHei"/>
          <w:b/>
          <w:bCs/>
          <w:color w:val="1284BA"/>
          <w:sz w:val="32"/>
          <w:szCs w:val="32"/>
        </w:rPr>
        <w:t xml:space="preserve">二、测试环境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7300"/>
      </w:tblGrid>
      <w:tr>
        <w:trPr>
          <w:cantSplit/>
          <w:tblHeader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项目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配置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操作系统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macOS（Apple Silicon，Darwin 25.x）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运行时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Node.js v24（引擎与测试）、Python 3（文档质检）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浏览器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Chromium（内置浏览器，含 Service Worker 环境）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测试对象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engine.js v3.0.0、index.html 前端应用、sw.js PWA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测试工具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Node 原生 assert 风格自研断言脚本（tests/engine.test.js）</w:t>
            </w:r>
          </w:p>
        </w:tc>
      </w:tr>
    </w:tbl>
    <w:p>
      <w:pPr>
        <w:spacing w:after="200" w:before="80"/>
        <w:jc w:val="center"/>
      </w:pPr>
      <w:r>
        <w:rPr>
          <w:color w:val="506070"/>
          <w:sz w:val="20"/>
          <w:szCs w:val="20"/>
        </w:rPr>
        <w:t xml:space="preserve">表2-1 测试环境</w:t>
      </w:r>
    </w:p>
    <w:p>
      <w:pPr>
        <w:pStyle w:val="Heading1"/>
        <w:spacing w:after="160" w:before="400"/>
      </w:pPr>
      <w:r>
        <w:rPr>
          <w:rFonts w:ascii="Arial" w:eastAsia="Microsoft YaHei"/>
          <w:b/>
          <w:bCs/>
          <w:color w:val="1284BA"/>
          <w:sz w:val="32"/>
          <w:szCs w:val="32"/>
        </w:rPr>
        <w:t xml:space="preserve">三、测试方法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自动化回归测试：</w:t>
      </w:r>
      <w:r>
        <w:rPr>
          <w:color w:val="182030"/>
          <w:sz w:val="24"/>
          <w:szCs w:val="24"/>
        </w:rPr>
        <w:t xml:space="preserve">167项以上断言固化于 tests/engine.test.js，一条命令全量复跑（node tests/engine.test.js），任一断言失败即退出码非零、禁止发版；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浏览器人工验收：</w:t>
      </w:r>
      <w:r>
        <w:rPr>
          <w:color w:val="182030"/>
          <w:sz w:val="24"/>
          <w:szCs w:val="24"/>
        </w:rPr>
        <w:t xml:space="preserve">对资格自查、偏离表、废标风险、结论评分、公告对比、词库管理等界面路径进行真实渲染验收，并核对动态数据（限价、时间表倒计时、评分环动画）；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正向与反向场景：</w:t>
      </w:r>
      <w:r>
        <w:rPr>
          <w:color w:val="182030"/>
          <w:sz w:val="24"/>
          <w:szCs w:val="24"/>
        </w:rPr>
        <w:t xml:space="preserve">既验证达标设备应给出可投结论，也构造弱设备验证系统敢于给出负偏离、废标与不建议投标结论；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文档质检：</w:t>
      </w:r>
      <w:r>
        <w:rPr>
          <w:color w:val="182030"/>
          <w:sz w:val="24"/>
          <w:szCs w:val="24"/>
        </w:rPr>
        <w:t xml:space="preserve">对导出的分析报告与项目文档执行结构化质检（目录、图片比例、转义、占位符残留等）。</w:t>
      </w:r>
    </w:p>
    <w:p>
      <w:pPr>
        <w:pStyle w:val="Heading1"/>
        <w:spacing w:after="160" w:before="400"/>
      </w:pPr>
      <w:r>
        <w:rPr>
          <w:rFonts w:ascii="Arial" w:eastAsia="Microsoft YaHei"/>
          <w:b/>
          <w:bCs/>
          <w:color w:val="1284BA"/>
          <w:sz w:val="32"/>
          <w:szCs w:val="32"/>
        </w:rPr>
        <w:t xml:space="preserve">四、测试执行结果</w:t>
      </w:r>
    </w:p>
    <w:p>
      <w:pPr>
        <w:spacing w:after="80" w:line="312"/>
        <w:ind w:firstLine="420"/>
        <w:jc w:val="both"/>
      </w:pPr>
      <w:r>
        <w:rPr>
          <w:color w:val="182030"/>
          <w:sz w:val="24"/>
          <w:szCs w:val="24"/>
        </w:rPr>
        <w:t xml:space="preserve">执行命令 node tests/engine.test.js，输出 PASS=167 FAIL=0，通过率100%。断言分类分布如下（与测试源码分节一一对应）：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1200"/>
        <w:gridCol w:w="6300"/>
      </w:tblGrid>
      <w:tr>
        <w:trPr>
          <w:cantSplit/>
          <w:tblHeader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测试模块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断言数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验证要点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装载机场景（正例）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元信息提取、参数判定、零负偏离、评分94分A级、建议投标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挖掘机场景（反例）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★参数废标判定、评分压制15分D级、直接否决结论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单位与口径边界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马力换kW、半年质保判定（含0.5年与上限型要求回归用例）、口径冲突拒绝换算、区间要求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鲁棒性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空输入、无关输入不崩溃且不产生噪音、弱机场景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报告导出与补料清单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独立文档完整性、速览数据、HTML转义防注入、清单内容边界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★废标判定与时间表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段级定位精确性、废标压制、行动时间表、公司抬头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新机型与评分权重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起重机/泵车场景、自定义权重计算、非法权重回退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公告变更检测与自定义词库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六类变更捕获、风险排序、别名匹配与诚实标注、正则特殊字符安全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真实公告适配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预算与限价分离、（元）后缀格式兼容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品类扩展与▲双级风控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压路机/洒水车场景、L容积换算、▲识别与前提警示、交货期政采措辞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原文批注与置信度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批注数据排序与区间合法性、★捕获、别名匹配中置信、口径冲突中置信、品牌报告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采购文件章节定位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章节命中、参数截取、第四章边界、无章节诚实返回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导出一致性（v2.1.1）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置信列进入MD/HTML导出、报告指纹、别名中置信传递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判例引用风控（v3.0）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按类别挂载官方判例、未验证判例不挂载、无判例诚实标注、MD/HTML判例渲染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商机雷达（v3.0）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设备指纹、四档分诊、品类过滤、矩阵匹配、截止时间、批量性能</w:t>
            </w:r>
          </w:p>
        </w:tc>
      </w:tr>
    </w:tbl>
    <w:p>
      <w:pPr>
        <w:spacing w:after="200" w:before="80"/>
        <w:jc w:val="center"/>
      </w:pPr>
      <w:r>
        <w:rPr>
          <w:color w:val="506070"/>
          <w:sz w:val="20"/>
          <w:szCs w:val="20"/>
        </w:rPr>
        <w:t xml:space="preserve">表4-1 自动化断言分类统计</w:t>
      </w:r>
    </w:p>
    <w:p>
      <w:pPr>
        <w:spacing w:after="80" w:line="312"/>
        <w:ind w:firstLine="420"/>
        <w:jc w:val="both"/>
      </w:pPr>
      <w:r>
        <w:rPr>
          <w:color w:val="182030"/>
          <w:sz w:val="24"/>
          <w:szCs w:val="24"/>
        </w:rPr>
        <w:t xml:space="preserve">代表性用例举例：①招标要求斗容不低于2.7立方米而资料库为3.0立方米，判定正偏离并可作为加分亮点；②★爬坡能力65%对要求70%，触发废标级判定且前提条件置顶书面澄清建议；③资料库以马力标注、招标以千瓦要求，自动按1马力等于0.7355千瓦换算后比对并附说明；④爬坡能力百分比对角度制的口径冲突，系统拒绝自动换算并标注待人工核对；⑤资料库粘贴无关新闻后，全部参数输出待核实占位符，零编造。</w:t>
      </w:r>
    </w:p>
    <w:p>
      <w:pPr>
        <w:spacing w:after="40" w:before="120"/>
        <w:jc w:val="center"/>
      </w:pPr>
      <w:r>
        <w:drawing>
          <wp:inline distT="0" distB="0" distL="0" distR="0">
            <wp:extent cx="5461000" cy="307181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0" cy="307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color w:val="506070"/>
          <w:sz w:val="20"/>
          <w:szCs w:val="20"/>
        </w:rPr>
        <w:t xml:space="preserve">图4-1 挖掘机反例场景实测：★关键参数负偏离触发废标判定（演示数据为虚构）</w:t>
      </w:r>
    </w:p>
    <w:p>
      <w:pPr>
        <w:pStyle w:val="Heading1"/>
        <w:spacing w:after="160" w:before="400"/>
      </w:pPr>
      <w:r>
        <w:rPr>
          <w:rFonts w:ascii="Arial" w:eastAsia="Microsoft YaHei"/>
          <w:b/>
          <w:bCs/>
          <w:color w:val="1284BA"/>
          <w:sz w:val="32"/>
          <w:szCs w:val="32"/>
        </w:rPr>
        <w:t xml:space="preserve">五、缺陷记录与修复历史</w:t>
      </w:r>
    </w:p>
    <w:p>
      <w:pPr>
        <w:spacing w:after="80" w:line="312"/>
        <w:ind w:firstLine="420"/>
        <w:jc w:val="both"/>
      </w:pPr>
      <w:r>
        <w:rPr>
          <w:color w:val="182030"/>
          <w:sz w:val="24"/>
          <w:szCs w:val="24"/>
        </w:rPr>
        <w:t xml:space="preserve">开发与验收过程中共发现并修复6个真实缺陷，全部有回归测试或实测锁定，摘要如下：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700"/>
        <w:gridCol w:w="3600"/>
        <w:gridCol w:w="3700"/>
      </w:tblGrid>
      <w:tr>
        <w:trPr>
          <w:cantSplit/>
          <w:tblHeader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缺陷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级别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现象与根因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修复与锁定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上限型参数误标正偏离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中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整机质量17.5t对上限要求18t被标正偏离，语义错误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判定引擎区分上下限型语义，上限型达标即为满足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招标侧单位未归一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高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要求2900mm按数值2900与资料库3.1m直接比对，结论错误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双侧数值统一归一化后再比对；跨单位用例纳入回归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★标注行级误标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高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同一行多个参数因整行含★被全部误标为关键参数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改为分号切段级定位，★仅归属紧邻参数；专项断言锁定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国际化销毁输入框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高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语言切换以整体HTML替换导致权重输入框被移除、弹窗卡死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i18n仅作用于文本节点；重测输入框存活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评分环动画失效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中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重构后单机模式动画目标id不匹配，评分始终显示0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统一id后缀策略；浏览器实测动画到位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PWA缓存锁死旧页面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高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缓存优先策略导致用户永远拿不到更新版本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页面改网络优先、静态资源缓存优先、缓存版本化清理</w:t>
            </w:r>
          </w:p>
        </w:tc>
      </w:tr>
    </w:tbl>
    <w:p>
      <w:pPr>
        <w:spacing w:after="200" w:before="80"/>
        <w:jc w:val="center"/>
      </w:pPr>
      <w:r>
        <w:rPr>
          <w:color w:val="506070"/>
          <w:sz w:val="20"/>
          <w:szCs w:val="20"/>
        </w:rPr>
        <w:t xml:space="preserve">表5-1 缺陷记录</w:t>
      </w:r>
    </w:p>
    <w:p>
      <w:pPr>
        <w:pStyle w:val="Heading1"/>
        <w:spacing w:after="160" w:before="400"/>
      </w:pPr>
      <w:r>
        <w:rPr>
          <w:rFonts w:ascii="Arial" w:eastAsia="Microsoft YaHei"/>
          <w:b/>
          <w:bCs/>
          <w:color w:val="1284BA"/>
          <w:sz w:val="32"/>
          <w:szCs w:val="32"/>
        </w:rPr>
        <w:t xml:space="preserve">六、遗留问题与改进建议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以file方式直接打开时</w:t>
      </w:r>
      <w:r>
        <w:rPr>
          <w:color w:val="182030"/>
          <w:sz w:val="24"/>
          <w:szCs w:val="24"/>
        </w:rPr>
        <w:t xml:space="preserve">PWA安装与Service Worker不生效（浏览器安全机制），应用本体功能不受影响；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浏览器直连大模型接口</w:t>
      </w:r>
      <w:r>
        <w:rPr>
          <w:color w:val="182030"/>
          <w:sz w:val="24"/>
          <w:szCs w:val="24"/>
        </w:rPr>
        <w:t xml:space="preserve">可能受跨域策略限制，已提供规则引擎回退与Coze/Dify平台部署两条路径；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中文数值写法覆盖</w:t>
      </w:r>
      <w:r>
        <w:rPr>
          <w:color w:val="182030"/>
          <w:sz w:val="24"/>
          <w:szCs w:val="24"/>
        </w:rPr>
        <w:t xml:space="preserve">对未收录表述诚实标注待人工核对，可通过自定义词库持续扩充；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界面语言</w:t>
      </w:r>
      <w:r>
        <w:rPr>
          <w:color w:val="182030"/>
          <w:sz w:val="24"/>
          <w:szCs w:val="24"/>
        </w:rPr>
        <w:t xml:space="preserve">界面框架支持中英切换，分析结果与动态提示暂保持中文。</w:t>
      </w:r>
    </w:p>
    <w:p>
      <w:pPr>
        <w:pStyle w:val="Heading1"/>
        <w:spacing w:after="160" w:before="400"/>
      </w:pPr>
      <w:r>
        <w:rPr>
          <w:rFonts w:ascii="Arial" w:eastAsia="Microsoft YaHei"/>
          <w:b/>
          <w:bCs/>
          <w:color w:val="1284BA"/>
          <w:sz w:val="32"/>
          <w:szCs w:val="32"/>
        </w:rPr>
        <w:t xml:space="preserve">七、测试结论</w:t>
      </w:r>
    </w:p>
    <w:p>
      <w:pPr>
        <w:spacing w:after="80" w:line="312"/>
        <w:ind w:firstLine="420"/>
        <w:jc w:val="both"/>
      </w:pPr>
      <w:r>
        <w:rPr>
          <w:color w:val="182030"/>
          <w:sz w:val="24"/>
          <w:szCs w:val="24"/>
        </w:rPr>
        <w:t xml:space="preserve">核心判定引擎在正向、反向、边界与异常输入场景下行为正确；反幻觉约束有效（无编造输出）；公告变更检测与自定义词库功能按设计工作；缺陷均已修复且纳入回归。综合评定：标书快反V3.0具备参赛演示与经销商试点交付条件。建议后续将真实招标文件纳入持续测试集，并随规则库扩充同步补充断言。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060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060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4EC" w:sz="4" w:space="4"/>
      </w:pBdr>
      <w:jc w:val="right"/>
    </w:pPr>
    <w:r>
      <w:rPr>
        <w:color w:val="506070"/>
        <w:sz w:val="16"/>
        <w:szCs w:val="16"/>
      </w:rPr>
      <w:t xml:space="preserve">标书快反 BidPilot · 测试报告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8203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7081a4fb09e84557648741ad8c0d54887e8ba54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标书快反测试报告</dc:title>
  <dc:creator>标书快反团队</dc:creator>
  <cp:lastModifiedBy>Un-named</cp:lastModifiedBy>
  <cp:revision>1</cp:revision>
  <dcterms:created xsi:type="dcterms:W3CDTF">2026-09-19T06:34:01.550Z</dcterms:created>
  <dcterms:modified xsi:type="dcterms:W3CDTF">2026-09-19T06:34:01.553Z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