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Car Rental System</w:t>
      </w:r>
    </w:p>
    <w:p>
      <w:pPr>
        <w:spacing w:after="100" w:before="200"/>
        <w:jc w:val="center"/>
      </w:pPr>
      <w:r>
        <w:rPr>
          <w:color w:val="2E74B5"/>
          <w:sz w:val="30"/>
          <w:szCs w:val="30"/>
        </w:rPr>
        <w:t xml:space="preserve">Business &amp; Technical Requirements Document</w:t>
      </w:r>
    </w:p>
    <w:p>
      <w:pPr>
        <w:spacing w:after="600"/>
        <w:jc w:val="center"/>
      </w:pPr>
      <w:r>
        <w:rPr>
          <w:i/>
          <w:iCs/>
          <w:color w:val="555555"/>
          <w:sz w:val="24"/>
          <w:szCs w:val="24"/>
        </w:rPr>
        <w:t xml:space="preserve">Real-World Launch Version — Admin, Dealer Owner, Employee &amp; Customer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Property</w:t>
            </w:r>
          </w:p>
        </w:tc>
        <w:tc>
          <w:tcPr>
            <w:tcW w:type="dxa" w:w="6500"/>
            <w:shd w:fill="1F3864"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80"/>
              <w:left w:type="dxa" w:w="100"/>
              <w:bottom w:type="dxa" w:w="80"/>
              <w:right w:type="dxa" w:w="100"/>
            </w:tcMar>
          </w:tcPr>
          <w:p>
            <w:r>
              <w:rPr>
                <w:b w:val="false"/>
                <w:bCs w:val="false"/>
                <w:color w:val="000000"/>
                <w:sz w:val="20"/>
                <w:szCs w:val="20"/>
              </w:rPr>
              <w:t xml:space="preserve">Version</w:t>
            </w:r>
          </w:p>
        </w:tc>
        <w:tc>
          <w:tcPr>
            <w:tcW w:type="dxa" w:w="6500"/>
            <w:tcMar>
              <w:top w:type="dxa" w:w="80"/>
              <w:left w:type="dxa" w:w="100"/>
              <w:bottom w:type="dxa" w:w="80"/>
              <w:right w:type="dxa" w:w="100"/>
            </w:tcMar>
          </w:tcPr>
          <w:p>
            <w:r>
              <w:rPr>
                <w:b w:val="false"/>
                <w:bCs w:val="false"/>
                <w:color w:val="000000"/>
                <w:sz w:val="20"/>
                <w:szCs w:val="20"/>
              </w:rPr>
              <w:t xml:space="preserve">3.1.0 — Tech Stack Finalized</w:t>
            </w:r>
          </w:p>
        </w:tc>
      </w:tr>
      <w:tr>
        <w:tc>
          <w:tcPr>
            <w:tcW w:type="dxa" w:w="3000"/>
            <w:tcMar>
              <w:top w:type="dxa" w:w="80"/>
              <w:left w:type="dxa" w:w="100"/>
              <w:bottom w:type="dxa" w:w="80"/>
              <w:right w:type="dxa" w:w="100"/>
            </w:tcMar>
          </w:tcPr>
          <w:p>
            <w:r>
              <w:rPr>
                <w:b w:val="false"/>
                <w:bCs w:val="false"/>
                <w:color w:val="000000"/>
                <w:sz w:val="20"/>
                <w:szCs w:val="20"/>
              </w:rPr>
              <w:t xml:space="preserve">Status</w:t>
            </w:r>
          </w:p>
        </w:tc>
        <w:tc>
          <w:tcPr>
            <w:tcW w:type="dxa" w:w="6500"/>
            <w:tcMar>
              <w:top w:type="dxa" w:w="80"/>
              <w:left w:type="dxa" w:w="100"/>
              <w:bottom w:type="dxa" w:w="80"/>
              <w:right w:type="dxa" w:w="100"/>
            </w:tcMar>
          </w:tcPr>
          <w:p>
            <w:r>
              <w:rPr>
                <w:b w:val="false"/>
                <w:bCs w:val="false"/>
                <w:color w:val="000000"/>
                <w:sz w:val="20"/>
                <w:szCs w:val="20"/>
              </w:rPr>
              <w:t xml:space="preserve">Ready for development — business rules confirmed, tech stack finalized</w:t>
            </w:r>
          </w:p>
        </w:tc>
      </w:tr>
      <w:tr>
        <w:tc>
          <w:tcPr>
            <w:tcW w:type="dxa" w:w="3000"/>
            <w:tcMar>
              <w:top w:type="dxa" w:w="80"/>
              <w:left w:type="dxa" w:w="100"/>
              <w:bottom w:type="dxa" w:w="80"/>
              <w:right w:type="dxa" w:w="100"/>
            </w:tcMar>
          </w:tcPr>
          <w:p>
            <w:r>
              <w:rPr>
                <w:b w:val="false"/>
                <w:bCs w:val="false"/>
                <w:color w:val="000000"/>
                <w:sz w:val="20"/>
                <w:szCs w:val="20"/>
              </w:rPr>
              <w:t xml:space="preserve">Scope</w:t>
            </w:r>
          </w:p>
        </w:tc>
        <w:tc>
          <w:tcPr>
            <w:tcW w:type="dxa" w:w="6500"/>
            <w:tcMar>
              <w:top w:type="dxa" w:w="80"/>
              <w:left w:type="dxa" w:w="100"/>
              <w:bottom w:type="dxa" w:w="80"/>
              <w:right w:type="dxa" w:w="100"/>
            </w:tcMar>
          </w:tcPr>
          <w:p>
            <w:r>
              <w:rPr>
                <w:b w:val="false"/>
                <w:bCs w:val="false"/>
                <w:color w:val="000000"/>
                <w:sz w:val="20"/>
                <w:szCs w:val="20"/>
              </w:rPr>
              <w:t xml:space="preserve">Platform Admin + Dealer Owner + Dealer Employee + Customer</w:t>
            </w:r>
          </w:p>
        </w:tc>
      </w:tr>
      <w:tr>
        <w:tc>
          <w:tcPr>
            <w:tcW w:type="dxa" w:w="3000"/>
            <w:tcMar>
              <w:top w:type="dxa" w:w="80"/>
              <w:left w:type="dxa" w:w="100"/>
              <w:bottom w:type="dxa" w:w="80"/>
              <w:right w:type="dxa" w:w="100"/>
            </w:tcMar>
          </w:tcPr>
          <w:p>
            <w:r>
              <w:rPr>
                <w:b w:val="false"/>
                <w:bCs w:val="false"/>
                <w:color w:val="000000"/>
                <w:sz w:val="20"/>
                <w:szCs w:val="20"/>
              </w:rPr>
              <w:t xml:space="preserve">Target Market</w:t>
            </w:r>
          </w:p>
        </w:tc>
        <w:tc>
          <w:tcPr>
            <w:tcW w:type="dxa" w:w="6500"/>
            <w:tcMar>
              <w:top w:type="dxa" w:w="80"/>
              <w:left w:type="dxa" w:w="100"/>
              <w:bottom w:type="dxa" w:w="80"/>
              <w:right w:type="dxa" w:w="100"/>
            </w:tcMar>
          </w:tcPr>
          <w:p>
            <w:r>
              <w:rPr>
                <w:b w:val="false"/>
                <w:bCs w:val="false"/>
                <w:color w:val="000000"/>
                <w:sz w:val="20"/>
                <w:szCs w:val="20"/>
              </w:rPr>
              <w:t xml:space="preserve">Licensed tourist car rental offices in Jordan (green-plate vehicles)</w:t>
            </w:r>
          </w:p>
        </w:tc>
      </w:tr>
      <w:tr>
        <w:tc>
          <w:tcPr>
            <w:tcW w:type="dxa" w:w="3000"/>
            <w:tcMar>
              <w:top w:type="dxa" w:w="80"/>
              <w:left w:type="dxa" w:w="100"/>
              <w:bottom w:type="dxa" w:w="80"/>
              <w:right w:type="dxa" w:w="100"/>
            </w:tcMar>
          </w:tcPr>
          <w:p>
            <w:r>
              <w:rPr>
                <w:b w:val="false"/>
                <w:bCs w:val="false"/>
                <w:color w:val="000000"/>
                <w:sz w:val="20"/>
                <w:szCs w:val="20"/>
              </w:rPr>
              <w:t xml:space="preserve">Backend Stack</w:t>
            </w:r>
          </w:p>
        </w:tc>
        <w:tc>
          <w:tcPr>
            <w:tcW w:type="dxa" w:w="6500"/>
            <w:tcMar>
              <w:top w:type="dxa" w:w="80"/>
              <w:left w:type="dxa" w:w="100"/>
              <w:bottom w:type="dxa" w:w="80"/>
              <w:right w:type="dxa" w:w="100"/>
            </w:tcMar>
          </w:tcPr>
          <w:p>
            <w:r>
              <w:rPr>
                <w:b w:val="false"/>
                <w:bCs w:val="false"/>
                <w:color w:val="000000"/>
                <w:sz w:val="20"/>
                <w:szCs w:val="20"/>
              </w:rPr>
              <w:t xml:space="preserve">ASP.NET Core (C#) + PostgreSQL + Entity Framework Core — changed from the originally-drafted Java/Spring Boot and the briefly-considered NestJS, chosen for strong concurrency handling (booking race conditions) and easier access to local .NET developers in Jordan if the team grows.</w:t>
            </w:r>
          </w:p>
        </w:tc>
      </w:tr>
      <w:tr>
        <w:tc>
          <w:tcPr>
            <w:tcW w:type="dxa" w:w="3000"/>
            <w:tcMar>
              <w:top w:type="dxa" w:w="80"/>
              <w:left w:type="dxa" w:w="100"/>
              <w:bottom w:type="dxa" w:w="80"/>
              <w:right w:type="dxa" w:w="100"/>
            </w:tcMar>
          </w:tcPr>
          <w:p>
            <w:r>
              <w:rPr>
                <w:b w:val="false"/>
                <w:bCs w:val="false"/>
                <w:color w:val="000000"/>
                <w:sz w:val="20"/>
                <w:szCs w:val="20"/>
              </w:rPr>
              <w:t xml:space="preserve">Changed from v3.0</w:t>
            </w:r>
          </w:p>
        </w:tc>
        <w:tc>
          <w:tcPr>
            <w:tcW w:type="dxa" w:w="6500"/>
            <w:tcMar>
              <w:top w:type="dxa" w:w="80"/>
              <w:left w:type="dxa" w:w="100"/>
              <w:bottom w:type="dxa" w:w="80"/>
              <w:right w:type="dxa" w:w="100"/>
            </w:tcMar>
          </w:tcPr>
          <w:p>
            <w:r>
              <w:rPr>
                <w:b w:val="false"/>
                <w:bCs w:val="false"/>
                <w:color w:val="000000"/>
                <w:sz w:val="20"/>
                <w:szCs w:val="20"/>
              </w:rPr>
              <w:t xml:space="preserve">Section 1.5 updated to reflect ASP.NET Core instead of NestJS. All architectural patterns (layered structure, security rules, error handling) carry over unchanged — only the implementation language/framework changed.</w:t>
            </w:r>
          </w:p>
        </w:tc>
      </w:tr>
    </w:tbl>
    <w:p>
      <w:r>
        <w:br w:type="page"/>
      </w:r>
    </w:p>
    <w:p>
      <w:pPr>
        <w:pStyle w:val="Heading1"/>
        <w:spacing w:after="200" w:before="400"/>
      </w:pPr>
      <w:r>
        <w:t xml:space="preserve">1. User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Role</w:t>
            </w:r>
          </w:p>
        </w:tc>
        <w:tc>
          <w:tcPr>
            <w:tcW w:type="dxa" w:w="2600"/>
            <w:shd w:fill="1F3864" w:val="clear"/>
            <w:tcMar>
              <w:top w:type="dxa" w:w="80"/>
              <w:left w:type="dxa" w:w="100"/>
              <w:bottom w:type="dxa" w:w="80"/>
              <w:right w:type="dxa" w:w="100"/>
            </w:tcMar>
          </w:tcPr>
          <w:p>
            <w:r>
              <w:rPr>
                <w:b/>
                <w:bCs/>
                <w:color w:val="FFFFFF"/>
                <w:sz w:val="20"/>
                <w:szCs w:val="20"/>
              </w:rPr>
              <w:t xml:space="preserve">Who</w:t>
            </w:r>
          </w:p>
        </w:tc>
        <w:tc>
          <w:tcPr>
            <w:tcW w:type="dxa" w:w="5100"/>
            <w:shd w:fill="1F3864" w:val="clear"/>
            <w:tcMar>
              <w:top w:type="dxa" w:w="80"/>
              <w:left w:type="dxa" w:w="100"/>
              <w:bottom w:type="dxa" w:w="80"/>
              <w:right w:type="dxa" w:w="100"/>
            </w:tcMar>
          </w:tcPr>
          <w:p>
            <w:r>
              <w:rPr>
                <w:b/>
                <w:bCs/>
                <w:color w:val="FFFFFF"/>
                <w:sz w:val="20"/>
                <w:szCs w:val="20"/>
              </w:rPr>
              <w:t xml:space="preserve">Core Responsibility</w:t>
            </w:r>
          </w:p>
        </w:tc>
      </w:tr>
      <w:tr>
        <w:tc>
          <w:tcPr>
            <w:tcW w:type="dxa" w:w="1800"/>
            <w:tcMar>
              <w:top w:type="dxa" w:w="80"/>
              <w:left w:type="dxa" w:w="100"/>
              <w:bottom w:type="dxa" w:w="80"/>
              <w:right w:type="dxa" w:w="100"/>
            </w:tcMar>
          </w:tcPr>
          <w:p>
            <w:r>
              <w:rPr>
                <w:b w:val="false"/>
                <w:bCs w:val="false"/>
                <w:color w:val="000000"/>
                <w:sz w:val="20"/>
                <w:szCs w:val="20"/>
              </w:rPr>
              <w:t xml:space="preserve">Admin</w:t>
            </w:r>
          </w:p>
        </w:tc>
        <w:tc>
          <w:tcPr>
            <w:tcW w:type="dxa" w:w="2600"/>
            <w:tcMar>
              <w:top w:type="dxa" w:w="80"/>
              <w:left w:type="dxa" w:w="100"/>
              <w:bottom w:type="dxa" w:w="80"/>
              <w:right w:type="dxa" w:w="100"/>
            </w:tcMar>
          </w:tcPr>
          <w:p>
            <w:r>
              <w:rPr>
                <w:b w:val="false"/>
                <w:bCs w:val="false"/>
                <w:color w:val="000000"/>
                <w:sz w:val="20"/>
                <w:szCs w:val="20"/>
              </w:rPr>
              <w:t xml:space="preserve">You — the platform owner</w:t>
            </w:r>
          </w:p>
        </w:tc>
        <w:tc>
          <w:tcPr>
            <w:tcW w:type="dxa" w:w="5100"/>
            <w:tcMar>
              <w:top w:type="dxa" w:w="80"/>
              <w:left w:type="dxa" w:w="100"/>
              <w:bottom w:type="dxa" w:w="80"/>
              <w:right w:type="dxa" w:w="100"/>
            </w:tcMar>
          </w:tcPr>
          <w:p>
            <w:r>
              <w:rPr>
                <w:b w:val="false"/>
                <w:bCs w:val="false"/>
                <w:color w:val="000000"/>
                <w:sz w:val="20"/>
                <w:szCs w:val="20"/>
              </w:rPr>
              <w:t xml:space="preserve">Approves new dealer registrations (verifies commercial rental license), manages global lookup data, resolves disputes, monitors the whole platform.</w:t>
            </w:r>
          </w:p>
        </w:tc>
      </w:tr>
      <w:tr>
        <w:tc>
          <w:tcPr>
            <w:tcW w:type="dxa" w:w="1800"/>
            <w:tcMar>
              <w:top w:type="dxa" w:w="80"/>
              <w:left w:type="dxa" w:w="100"/>
              <w:bottom w:type="dxa" w:w="80"/>
              <w:right w:type="dxa" w:w="100"/>
            </w:tcMar>
          </w:tcPr>
          <w:p>
            <w:r>
              <w:rPr>
                <w:b w:val="false"/>
                <w:bCs w:val="false"/>
                <w:color w:val="000000"/>
                <w:sz w:val="20"/>
                <w:szCs w:val="20"/>
              </w:rPr>
              <w:t xml:space="preserve">Dealer Owner</w:t>
            </w:r>
          </w:p>
        </w:tc>
        <w:tc>
          <w:tcPr>
            <w:tcW w:type="dxa" w:w="2600"/>
            <w:tcMar>
              <w:top w:type="dxa" w:w="80"/>
              <w:left w:type="dxa" w:w="100"/>
              <w:bottom w:type="dxa" w:w="80"/>
              <w:right w:type="dxa" w:w="100"/>
            </w:tcMar>
          </w:tcPr>
          <w:p>
            <w:r>
              <w:rPr>
                <w:b w:val="false"/>
                <w:bCs w:val="false"/>
                <w:color w:val="000000"/>
                <w:sz w:val="20"/>
                <w:szCs w:val="20"/>
              </w:rPr>
              <w:t xml:space="preserve">Business owner of a licensed rental office</w:t>
            </w:r>
          </w:p>
        </w:tc>
        <w:tc>
          <w:tcPr>
            <w:tcW w:type="dxa" w:w="5100"/>
            <w:tcMar>
              <w:top w:type="dxa" w:w="80"/>
              <w:left w:type="dxa" w:w="100"/>
              <w:bottom w:type="dxa" w:w="80"/>
              <w:right w:type="dxa" w:w="100"/>
            </w:tcMar>
          </w:tcPr>
          <w:p>
            <w:r>
              <w:rPr>
                <w:b w:val="false"/>
                <w:bCs w:val="false"/>
                <w:color w:val="000000"/>
                <w:sz w:val="20"/>
                <w:szCs w:val="20"/>
              </w:rPr>
              <w:t xml:space="preserve">Creates and owns the dealer page, manages the car fleet, hires/manages Employees, views financial reports, receives payouts.</w:t>
            </w:r>
          </w:p>
        </w:tc>
      </w:tr>
      <w:tr>
        <w:tc>
          <w:tcPr>
            <w:tcW w:type="dxa" w:w="1800"/>
            <w:tcMar>
              <w:top w:type="dxa" w:w="80"/>
              <w:left w:type="dxa" w:w="100"/>
              <w:bottom w:type="dxa" w:w="80"/>
              <w:right w:type="dxa" w:w="100"/>
            </w:tcMar>
          </w:tcPr>
          <w:p>
            <w:r>
              <w:rPr>
                <w:b w:val="false"/>
                <w:bCs w:val="false"/>
                <w:color w:val="000000"/>
                <w:sz w:val="20"/>
                <w:szCs w:val="20"/>
              </w:rPr>
              <w:t xml:space="preserve">Employee</w:t>
            </w:r>
          </w:p>
        </w:tc>
        <w:tc>
          <w:tcPr>
            <w:tcW w:type="dxa" w:w="2600"/>
            <w:tcMar>
              <w:top w:type="dxa" w:w="80"/>
              <w:left w:type="dxa" w:w="100"/>
              <w:bottom w:type="dxa" w:w="80"/>
              <w:right w:type="dxa" w:w="100"/>
            </w:tcMar>
          </w:tcPr>
          <w:p>
            <w:r>
              <w:rPr>
                <w:b w:val="false"/>
                <w:bCs w:val="false"/>
                <w:color w:val="000000"/>
                <w:sz w:val="20"/>
                <w:szCs w:val="20"/>
              </w:rPr>
              <w:t xml:space="preserve">Staff hired by a Dealer Owner</w:t>
            </w:r>
          </w:p>
        </w:tc>
        <w:tc>
          <w:tcPr>
            <w:tcW w:type="dxa" w:w="5100"/>
            <w:tcMar>
              <w:top w:type="dxa" w:w="80"/>
              <w:left w:type="dxa" w:w="100"/>
              <w:bottom w:type="dxa" w:w="80"/>
              <w:right w:type="dxa" w:w="100"/>
            </w:tcMar>
          </w:tcPr>
          <w:p>
            <w:r>
              <w:rPr>
                <w:b w:val="false"/>
                <w:bCs w:val="false"/>
                <w:color w:val="000000"/>
                <w:sz w:val="20"/>
                <w:szCs w:val="20"/>
              </w:rPr>
              <w:t xml:space="preserve">Reviews and approves/rejects incoming booking requests on behalf of the dealer. Does not see financial reports by default.</w:t>
            </w:r>
          </w:p>
        </w:tc>
      </w:tr>
      <w:tr>
        <w:tc>
          <w:tcPr>
            <w:tcW w:type="dxa" w:w="1800"/>
            <w:tcMar>
              <w:top w:type="dxa" w:w="80"/>
              <w:left w:type="dxa" w:w="100"/>
              <w:bottom w:type="dxa" w:w="80"/>
              <w:right w:type="dxa" w:w="100"/>
            </w:tcMar>
          </w:tcPr>
          <w:p>
            <w:r>
              <w:rPr>
                <w:b w:val="false"/>
                <w:bCs w:val="false"/>
                <w:color w:val="000000"/>
                <w:sz w:val="20"/>
                <w:szCs w:val="20"/>
              </w:rPr>
              <w:t xml:space="preserve">Customer</w:t>
            </w:r>
          </w:p>
        </w:tc>
        <w:tc>
          <w:tcPr>
            <w:tcW w:type="dxa" w:w="2600"/>
            <w:tcMar>
              <w:top w:type="dxa" w:w="80"/>
              <w:left w:type="dxa" w:w="100"/>
              <w:bottom w:type="dxa" w:w="80"/>
              <w:right w:type="dxa" w:w="100"/>
            </w:tcMar>
          </w:tcPr>
          <w:p>
            <w:r>
              <w:rPr>
                <w:b w:val="false"/>
                <w:bCs w:val="false"/>
                <w:color w:val="000000"/>
                <w:sz w:val="20"/>
                <w:szCs w:val="20"/>
              </w:rPr>
              <w:t xml:space="preserve">Renter — local or tourist</w:t>
            </w:r>
          </w:p>
        </w:tc>
        <w:tc>
          <w:tcPr>
            <w:tcW w:type="dxa" w:w="5100"/>
            <w:tcMar>
              <w:top w:type="dxa" w:w="80"/>
              <w:left w:type="dxa" w:w="100"/>
              <w:bottom w:type="dxa" w:w="80"/>
              <w:right w:type="dxa" w:w="100"/>
            </w:tcMar>
          </w:tcPr>
          <w:p>
            <w:r>
              <w:rPr>
                <w:b w:val="false"/>
                <w:bCs w:val="false"/>
                <w:color w:val="000000"/>
                <w:sz w:val="20"/>
                <w:szCs w:val="20"/>
              </w:rPr>
              <w:t xml:space="preserve">Browses, books, uploads ID + license, pays deposit or full amount, picks up or requests delivery.</w:t>
            </w:r>
          </w:p>
        </w:tc>
      </w:tr>
    </w:tbl>
    <w:p>
      <w:pPr>
        <w:spacing w:after="120"/>
      </w:pPr>
      <w:r>
        <w:rPr>
          <w:i/>
          <w:iCs/>
        </w:rPr>
        <w:t xml:space="preserve">Employees are never self-registered — they only exist attached to a Dealer Owner's account, created by that owner.</w:t>
      </w:r>
    </w:p>
    <w:p>
      <w:pPr>
        <w:shd w:fill="FDF3E7" w:val="clear"/>
        <w:spacing w:after="160" w:before="60"/>
      </w:pPr>
      <w:r>
        <w:rPr>
          <w:b/>
          <w:bCs/>
          <w:color w:val="B45309"/>
        </w:rPr>
        <w:t xml:space="preserve">🆕 </w:t>
      </w:r>
      <w:r>
        <w:rPr>
          <w:i/>
          <w:iCs/>
          <w:color w:val="7C4A03"/>
        </w:rPr>
        <w:t xml:space="preserve">Section 1.5 below is new in v2.1 — it defines which interface each role uses, so mobile and web work can be scoped and estimated separately.</w:t>
      </w:r>
    </w:p>
    <w:p>
      <w:pPr>
        <w:pStyle w:val="Heading2"/>
        <w:spacing w:after="150" w:before="300"/>
      </w:pPr>
      <w:r>
        <w:t xml:space="preserve">1.5 Platform Architecture</w:t>
      </w:r>
    </w:p>
    <w:p>
      <w:pPr>
        <w:spacing w:after="120"/>
      </w:pPr>
      <w:r>
        <w:t xml:space="preserve">One shared backend (REST API) serves two separate client applications: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5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Client</w:t>
            </w:r>
          </w:p>
        </w:tc>
        <w:tc>
          <w:tcPr>
            <w:tcW w:type="dxa" w:w="2000"/>
            <w:shd w:fill="1F3864" w:val="clear"/>
            <w:tcMar>
              <w:top w:type="dxa" w:w="80"/>
              <w:left w:type="dxa" w:w="100"/>
              <w:bottom w:type="dxa" w:w="80"/>
              <w:right w:type="dxa" w:w="100"/>
            </w:tcMar>
          </w:tcPr>
          <w:p>
            <w:r>
              <w:rPr>
                <w:b/>
                <w:bCs/>
                <w:color w:val="FFFFFF"/>
                <w:sz w:val="20"/>
                <w:szCs w:val="20"/>
              </w:rPr>
              <w:t xml:space="preserve">Used By</w:t>
            </w:r>
          </w:p>
        </w:tc>
        <w:tc>
          <w:tcPr>
            <w:tcW w:type="dxa" w:w="2600"/>
            <w:shd w:fill="1F3864" w:val="clear"/>
            <w:tcMar>
              <w:top w:type="dxa" w:w="80"/>
              <w:left w:type="dxa" w:w="100"/>
              <w:bottom w:type="dxa" w:w="80"/>
              <w:right w:type="dxa" w:w="100"/>
            </w:tcMar>
          </w:tcPr>
          <w:p>
            <w:r>
              <w:rPr>
                <w:b/>
                <w:bCs/>
                <w:color w:val="FFFFFF"/>
                <w:sz w:val="20"/>
                <w:szCs w:val="20"/>
              </w:rPr>
              <w:t xml:space="preserve">Platform</w:t>
            </w:r>
          </w:p>
        </w:tc>
        <w:tc>
          <w:tcPr>
            <w:tcW w:type="dxa" w:w="2500"/>
            <w:shd w:fill="1F3864" w:val="clear"/>
            <w:tcMar>
              <w:top w:type="dxa" w:w="80"/>
              <w:left w:type="dxa" w:w="100"/>
              <w:bottom w:type="dxa" w:w="80"/>
              <w:right w:type="dxa" w:w="100"/>
            </w:tcMar>
          </w:tcPr>
          <w:p>
            <w:r>
              <w:rPr>
                <w:b/>
                <w:bCs/>
                <w:color w:val="FFFFFF"/>
                <w:sz w:val="20"/>
                <w:szCs w:val="20"/>
              </w:rPr>
              <w:t xml:space="preserve">Core Purpose</w:t>
            </w:r>
          </w:p>
        </w:tc>
      </w:tr>
      <w:tr>
        <w:tc>
          <w:tcPr>
            <w:tcW w:type="dxa" w:w="2400"/>
            <w:tcMar>
              <w:top w:type="dxa" w:w="80"/>
              <w:left w:type="dxa" w:w="100"/>
              <w:bottom w:type="dxa" w:w="80"/>
              <w:right w:type="dxa" w:w="100"/>
            </w:tcMar>
          </w:tcPr>
          <w:p>
            <w:r>
              <w:rPr>
                <w:b w:val="false"/>
                <w:bCs w:val="false"/>
                <w:color w:val="000000"/>
                <w:sz w:val="20"/>
                <w:szCs w:val="20"/>
              </w:rPr>
              <w:t xml:space="preserve">Customer Mobile App</w:t>
            </w:r>
          </w:p>
        </w:tc>
        <w:tc>
          <w:tcPr>
            <w:tcW w:type="dxa" w:w="2000"/>
            <w:tcMar>
              <w:top w:type="dxa" w:w="80"/>
              <w:left w:type="dxa" w:w="100"/>
              <w:bottom w:type="dxa" w:w="80"/>
              <w:right w:type="dxa" w:w="100"/>
            </w:tcMar>
          </w:tcPr>
          <w:p>
            <w:r>
              <w:rPr>
                <w:b w:val="false"/>
                <w:bCs w:val="false"/>
                <w:color w:val="000000"/>
                <w:sz w:val="20"/>
                <w:szCs w:val="20"/>
              </w:rPr>
              <w:t xml:space="preserve">Customer</w:t>
            </w:r>
          </w:p>
        </w:tc>
        <w:tc>
          <w:tcPr>
            <w:tcW w:type="dxa" w:w="2600"/>
            <w:tcMar>
              <w:top w:type="dxa" w:w="80"/>
              <w:left w:type="dxa" w:w="100"/>
              <w:bottom w:type="dxa" w:w="80"/>
              <w:right w:type="dxa" w:w="100"/>
            </w:tcMar>
          </w:tcPr>
          <w:p>
            <w:r>
              <w:rPr>
                <w:b w:val="false"/>
                <w:bCs w:val="false"/>
                <w:color w:val="000000"/>
                <w:sz w:val="20"/>
                <w:szCs w:val="20"/>
              </w:rPr>
              <w:t xml:space="preserve">iOS + Android (Flutter, one codebase)</w:t>
            </w:r>
          </w:p>
        </w:tc>
        <w:tc>
          <w:tcPr>
            <w:tcW w:type="dxa" w:w="2500"/>
            <w:tcMar>
              <w:top w:type="dxa" w:w="80"/>
              <w:left w:type="dxa" w:w="100"/>
              <w:bottom w:type="dxa" w:w="80"/>
              <w:right w:type="dxa" w:w="100"/>
            </w:tcMar>
          </w:tcPr>
          <w:p>
            <w:r>
              <w:rPr>
                <w:b w:val="false"/>
                <w:bCs w:val="false"/>
                <w:color w:val="000000"/>
                <w:sz w:val="20"/>
                <w:szCs w:val="20"/>
              </w:rPr>
              <w:t xml:space="preserve">Browse, book, upload documents, pay, track bookings, request delivery.</w:t>
            </w:r>
          </w:p>
        </w:tc>
      </w:tr>
      <w:tr>
        <w:tc>
          <w:tcPr>
            <w:tcW w:type="dxa" w:w="2400"/>
            <w:tcMar>
              <w:top w:type="dxa" w:w="80"/>
              <w:left w:type="dxa" w:w="100"/>
              <w:bottom w:type="dxa" w:w="80"/>
              <w:right w:type="dxa" w:w="100"/>
            </w:tcMar>
          </w:tcPr>
          <w:p>
            <w:r>
              <w:rPr>
                <w:b w:val="false"/>
                <w:bCs w:val="false"/>
                <w:color w:val="000000"/>
                <w:sz w:val="20"/>
                <w:szCs w:val="20"/>
              </w:rPr>
              <w:t xml:space="preserve">Business Web Dashboard</w:t>
            </w:r>
          </w:p>
        </w:tc>
        <w:tc>
          <w:tcPr>
            <w:tcW w:type="dxa" w:w="2000"/>
            <w:tcMar>
              <w:top w:type="dxa" w:w="80"/>
              <w:left w:type="dxa" w:w="100"/>
              <w:bottom w:type="dxa" w:w="80"/>
              <w:right w:type="dxa" w:w="100"/>
            </w:tcMar>
          </w:tcPr>
          <w:p>
            <w:r>
              <w:rPr>
                <w:b w:val="false"/>
                <w:bCs w:val="false"/>
                <w:color w:val="000000"/>
                <w:sz w:val="20"/>
                <w:szCs w:val="20"/>
              </w:rPr>
              <w:t xml:space="preserve">Admin, Dealer Owner, Employee</w:t>
            </w:r>
          </w:p>
        </w:tc>
        <w:tc>
          <w:tcPr>
            <w:tcW w:type="dxa" w:w="2600"/>
            <w:tcMar>
              <w:top w:type="dxa" w:w="80"/>
              <w:left w:type="dxa" w:w="100"/>
              <w:bottom w:type="dxa" w:w="80"/>
              <w:right w:type="dxa" w:w="100"/>
            </w:tcMar>
          </w:tcPr>
          <w:p>
            <w:r>
              <w:rPr>
                <w:b w:val="false"/>
                <w:bCs w:val="false"/>
                <w:color w:val="000000"/>
                <w:sz w:val="20"/>
                <w:szCs w:val="20"/>
              </w:rPr>
              <w:t xml:space="preserve">Responsive web app (single codebase, role-based views)</w:t>
            </w:r>
          </w:p>
        </w:tc>
        <w:tc>
          <w:tcPr>
            <w:tcW w:type="dxa" w:w="2500"/>
            <w:tcMar>
              <w:top w:type="dxa" w:w="80"/>
              <w:left w:type="dxa" w:w="100"/>
              <w:bottom w:type="dxa" w:w="80"/>
              <w:right w:type="dxa" w:w="100"/>
            </w:tcMar>
          </w:tcPr>
          <w:p>
            <w:r>
              <w:rPr>
                <w:b w:val="false"/>
                <w:bCs w:val="false"/>
                <w:color w:val="000000"/>
                <w:sz w:val="20"/>
                <w:szCs w:val="20"/>
              </w:rPr>
              <w:t xml:space="preserve">Dealer approval, fleet management, booking approval, reports, dispute resolution.</w:t>
            </w:r>
          </w:p>
        </w:tc>
      </w:tr>
    </w:tbl>
    <w:p>
      <w:pPr>
        <w:pStyle w:val="Heading3"/>
        <w:spacing w:after="100" w:before="200"/>
      </w:pPr>
      <w:r>
        <w:t xml:space="preserve">Why one dashboard for three roles instead of three separate apps</w:t>
      </w:r>
    </w:p>
    <w:p>
      <w:pPr>
        <w:pStyle w:val="ListParagraph"/>
        <w:numPr>
          <w:ilvl w:val="0"/>
          <w:numId w:val="2"/>
        </w:numPr>
        <w:spacing w:after="60"/>
      </w:pPr>
      <w:r>
        <w:t xml:space="preserve">Admin, Owner, and Employee all do desk-based, management-style work (approvals, data entry, reports) — a browser is the natural fit, and building one dashboard with role-based permissions is far cheaper than three.</w:t>
      </w:r>
    </w:p>
    <w:p>
      <w:pPr>
        <w:pStyle w:val="ListParagraph"/>
        <w:numPr>
          <w:ilvl w:val="0"/>
          <w:numId w:val="2"/>
        </w:numPr>
        <w:spacing w:after="60"/>
      </w:pPr>
      <w:r>
        <w:t xml:space="preserve">The same login screen routes each user to their correct view based on their role (and for Employees, their permission set from Section 4.2).</w:t>
      </w:r>
    </w:p>
    <w:p>
      <w:pPr>
        <w:pStyle w:val="ListParagraph"/>
        <w:numPr>
          <w:ilvl w:val="0"/>
          <w:numId w:val="2"/>
        </w:numPr>
        <w:spacing w:after="60"/>
      </w:pPr>
      <w:r>
        <w:t xml:space="preserve">A lightweight future addition — push notifications to the Employee's phone (via a minimal companion app or SMS/WhatsApp alerts) — covers the 'not sitting at a computer' gap without building a full second mobile app in the MVP.</w:t>
      </w:r>
    </w:p>
    <w:p>
      <w:pPr>
        <w:pStyle w:val="Heading3"/>
        <w:spacing w:after="100" w:before="200"/>
      </w:pPr>
      <w:r>
        <w:t xml:space="preserve">Why the customer gets a dedicated mobile app, not a website</w:t>
      </w:r>
    </w:p>
    <w:p>
      <w:pPr>
        <w:pStyle w:val="ListParagraph"/>
        <w:numPr>
          <w:ilvl w:val="0"/>
          <w:numId w:val="2"/>
        </w:numPr>
        <w:spacing w:after="60"/>
      </w:pPr>
      <w:r>
        <w:t xml:space="preserve">Core customer actions depend on mobile-native capabilities: camera (document + handover photo uploads), GPS (delivery location pin), and push notifications (booking status updates).</w:t>
      </w:r>
    </w:p>
    <w:p>
      <w:pPr>
        <w:pStyle w:val="ListParagraph"/>
        <w:numPr>
          <w:ilvl w:val="0"/>
          <w:numId w:val="2"/>
        </w:numPr>
        <w:spacing w:after="60"/>
      </w:pPr>
      <w:r>
        <w:t xml:space="preserve">Recommendation for Phase 2: a lightweight marketing/booking website for customers who prefer to reserve before traveling to Jordan, deep-linking into the app for the parts that need camera/GPS.</w:t>
      </w:r>
    </w:p>
    <w:p>
      <w:pPr>
        <w:pStyle w:val="Heading3"/>
        <w:spacing w:after="100" w:before="200"/>
      </w:pPr>
      <w:r>
        <w:t xml:space="preserve">Shared backend implication</w:t>
      </w:r>
    </w:p>
    <w:p>
      <w:pPr>
        <w:spacing w:after="120"/>
      </w:pPr>
      <w:r>
        <w:rPr>
          <w:i/>
          <w:iCs/>
        </w:rPr>
        <w:t xml:space="preserve">Because both clients consume the same API, every endpoint in this document must expose exactly what each role is authorized to see (Section 9, Resource Ownership) — the web dashboard and mobile app are just different consumers of the same permission rules, not two separate security models.</w:t>
      </w:r>
    </w:p>
    <w:p>
      <w:r>
        <w:br w:type="page"/>
      </w:r>
    </w:p>
    <w:p>
      <w:pPr>
        <w:pStyle w:val="Heading1"/>
        <w:spacing w:after="200" w:before="400"/>
      </w:pPr>
      <w:r>
        <w:t xml:space="preserve">2. Business Rules — Confirmed</w:t>
      </w:r>
    </w:p>
    <w:p>
      <w:pPr>
        <w:spacing w:after="120"/>
      </w:pPr>
      <w:r>
        <w:t xml:space="preserve">These numbers were confirmed by the platform owner and are now treated as requirements, not assumptions. Each should still be stored as configurable values (admin-editable settings), not hardcoded, since they are likely to be tuned after 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Rule</w:t>
            </w:r>
          </w:p>
        </w:tc>
        <w:tc>
          <w:tcPr>
            <w:tcW w:type="dxa" w:w="5600"/>
            <w:shd w:fill="1F3864" w:val="clear"/>
            <w:tcMar>
              <w:top w:type="dxa" w:w="80"/>
              <w:left w:type="dxa" w:w="100"/>
              <w:bottom w:type="dxa" w:w="80"/>
              <w:right w:type="dxa" w:w="100"/>
            </w:tcMar>
          </w:tcPr>
          <w:p>
            <w:r>
              <w:rPr>
                <w:b/>
                <w:bCs/>
                <w:color w:val="FFFFFF"/>
                <w:sz w:val="20"/>
                <w:szCs w:val="20"/>
              </w:rPr>
              <w:t xml:space="preserve">Confirmed Value</w:t>
            </w:r>
          </w:p>
        </w:tc>
      </w:tr>
      <w:tr>
        <w:tc>
          <w:tcPr>
            <w:tcW w:type="dxa" w:w="3400"/>
            <w:tcMar>
              <w:top w:type="dxa" w:w="80"/>
              <w:left w:type="dxa" w:w="100"/>
              <w:bottom w:type="dxa" w:w="80"/>
              <w:right w:type="dxa" w:w="100"/>
            </w:tcMar>
          </w:tcPr>
          <w:p>
            <w:r>
              <w:rPr>
                <w:b w:val="false"/>
                <w:bCs w:val="false"/>
                <w:color w:val="000000"/>
                <w:sz w:val="20"/>
                <w:szCs w:val="20"/>
              </w:rPr>
              <w:t xml:space="preserve">Platform commission per booking</w:t>
            </w:r>
          </w:p>
        </w:tc>
        <w:tc>
          <w:tcPr>
            <w:tcW w:type="dxa" w:w="5600"/>
            <w:tcMar>
              <w:top w:type="dxa" w:w="80"/>
              <w:left w:type="dxa" w:w="100"/>
              <w:bottom w:type="dxa" w:w="80"/>
              <w:right w:type="dxa" w:w="100"/>
            </w:tcMar>
          </w:tcPr>
          <w:p>
            <w:r>
              <w:rPr>
                <w:b w:val="false"/>
                <w:bCs w:val="false"/>
                <w:color w:val="000000"/>
                <w:sz w:val="20"/>
                <w:szCs w:val="20"/>
              </w:rPr>
              <w:t xml:space="preserve">15–20%, most likely 20%. Applies to the full booking value regardless of payment method (see 2.1 below).</w:t>
            </w:r>
          </w:p>
        </w:tc>
      </w:tr>
      <w:tr>
        <w:tc>
          <w:tcPr>
            <w:tcW w:type="dxa" w:w="3400"/>
            <w:tcMar>
              <w:top w:type="dxa" w:w="80"/>
              <w:left w:type="dxa" w:w="100"/>
              <w:bottom w:type="dxa" w:w="80"/>
              <w:right w:type="dxa" w:w="100"/>
            </w:tcMar>
          </w:tcPr>
          <w:p>
            <w:r>
              <w:rPr>
                <w:b w:val="false"/>
                <w:bCs w:val="false"/>
                <w:color w:val="000000"/>
                <w:sz w:val="20"/>
                <w:szCs w:val="20"/>
              </w:rPr>
              <w:t xml:space="preserve">No-show timeout (customer)</w:t>
            </w:r>
          </w:p>
        </w:tc>
        <w:tc>
          <w:tcPr>
            <w:tcW w:type="dxa" w:w="5600"/>
            <w:tcMar>
              <w:top w:type="dxa" w:w="80"/>
              <w:left w:type="dxa" w:w="100"/>
              <w:bottom w:type="dxa" w:w="80"/>
              <w:right w:type="dxa" w:w="100"/>
            </w:tcMar>
          </w:tcPr>
          <w:p>
            <w:r>
              <w:rPr>
                <w:b w:val="false"/>
                <w:bCs w:val="false"/>
                <w:color w:val="000000"/>
                <w:sz w:val="20"/>
                <w:szCs w:val="20"/>
              </w:rPr>
              <w:t xml:space="preserve">8 hours after the booking start time without pickup → deposit is forfeited, booking auto-cancelled.</w:t>
            </w:r>
          </w:p>
        </w:tc>
      </w:tr>
      <w:tr>
        <w:tc>
          <w:tcPr>
            <w:tcW w:type="dxa" w:w="3400"/>
            <w:tcMar>
              <w:top w:type="dxa" w:w="80"/>
              <w:left w:type="dxa" w:w="100"/>
              <w:bottom w:type="dxa" w:w="80"/>
              <w:right w:type="dxa" w:w="100"/>
            </w:tcMar>
          </w:tcPr>
          <w:p>
            <w:r>
              <w:rPr>
                <w:b w:val="false"/>
                <w:bCs w:val="false"/>
                <w:color w:val="000000"/>
                <w:sz w:val="20"/>
                <w:szCs w:val="20"/>
              </w:rPr>
              <w:t xml:space="preserve">Dealer non-delivery penalty</w:t>
            </w:r>
          </w:p>
        </w:tc>
        <w:tc>
          <w:tcPr>
            <w:tcW w:type="dxa" w:w="5600"/>
            <w:tcMar>
              <w:top w:type="dxa" w:w="80"/>
              <w:left w:type="dxa" w:w="100"/>
              <w:bottom w:type="dxa" w:w="80"/>
              <w:right w:type="dxa" w:w="100"/>
            </w:tcMar>
          </w:tcPr>
          <w:p>
            <w:r>
              <w:rPr>
                <w:b w:val="false"/>
                <w:bCs w:val="false"/>
                <w:color w:val="000000"/>
                <w:sz w:val="20"/>
                <w:szCs w:val="20"/>
              </w:rPr>
              <w:t xml:space="preserve">Confirmed customer-facing dealer failed to hand over the car after approval → penalty of 25%–50% of the rental value (exact tier pending — see 2.2).</w:t>
            </w:r>
          </w:p>
        </w:tc>
      </w:tr>
      <w:tr>
        <w:tc>
          <w:tcPr>
            <w:tcW w:type="dxa" w:w="3400"/>
            <w:tcMar>
              <w:top w:type="dxa" w:w="80"/>
              <w:left w:type="dxa" w:w="100"/>
              <w:bottom w:type="dxa" w:w="80"/>
              <w:right w:type="dxa" w:w="100"/>
            </w:tcMar>
          </w:tcPr>
          <w:p>
            <w:r>
              <w:rPr>
                <w:b w:val="false"/>
                <w:bCs w:val="false"/>
                <w:color w:val="000000"/>
                <w:sz w:val="20"/>
                <w:szCs w:val="20"/>
              </w:rPr>
              <w:t xml:space="preserve">Delivery fee</w:t>
            </w:r>
          </w:p>
        </w:tc>
        <w:tc>
          <w:tcPr>
            <w:tcW w:type="dxa" w:w="5600"/>
            <w:tcMar>
              <w:top w:type="dxa" w:w="80"/>
              <w:left w:type="dxa" w:w="100"/>
              <w:bottom w:type="dxa" w:w="80"/>
              <w:right w:type="dxa" w:w="100"/>
            </w:tcMar>
          </w:tcPr>
          <w:p>
            <w:r>
              <w:rPr>
                <w:b w:val="false"/>
                <w:bCs w:val="false"/>
                <w:color w:val="000000"/>
                <w:sz w:val="20"/>
                <w:szCs w:val="20"/>
              </w:rPr>
              <w:t xml:space="preserve">Flat 10 JOD, regardless of distance within the dealer's configured delivery radius.</w:t>
            </w:r>
          </w:p>
        </w:tc>
      </w:tr>
      <w:tr>
        <w:tc>
          <w:tcPr>
            <w:tcW w:type="dxa" w:w="3400"/>
            <w:tcMar>
              <w:top w:type="dxa" w:w="80"/>
              <w:left w:type="dxa" w:w="100"/>
              <w:bottom w:type="dxa" w:w="80"/>
              <w:right w:type="dxa" w:w="100"/>
            </w:tcMar>
          </w:tcPr>
          <w:p>
            <w:r>
              <w:rPr>
                <w:b w:val="false"/>
                <w:bCs w:val="false"/>
                <w:color w:val="000000"/>
                <w:sz w:val="20"/>
                <w:szCs w:val="20"/>
              </w:rPr>
              <w:t xml:space="preserve">Cancellation — within 1 hour of approval</w:t>
            </w:r>
          </w:p>
        </w:tc>
        <w:tc>
          <w:tcPr>
            <w:tcW w:type="dxa" w:w="5600"/>
            <w:tcMar>
              <w:top w:type="dxa" w:w="80"/>
              <w:left w:type="dxa" w:w="100"/>
              <w:bottom w:type="dxa" w:w="80"/>
              <w:right w:type="dxa" w:w="100"/>
            </w:tcMar>
          </w:tcPr>
          <w:p>
            <w:r>
              <w:rPr>
                <w:b w:val="false"/>
                <w:bCs w:val="false"/>
                <w:color w:val="000000"/>
                <w:sz w:val="20"/>
                <w:szCs w:val="20"/>
              </w:rPr>
              <w:t xml:space="preserve">No penalty. Full refund of the deposit to the customer (or a small processing fee to both sides — see 2.3). Both parties notified.</w:t>
            </w:r>
          </w:p>
        </w:tc>
      </w:tr>
      <w:tr>
        <w:tc>
          <w:tcPr>
            <w:tcW w:type="dxa" w:w="3400"/>
            <w:tcMar>
              <w:top w:type="dxa" w:w="80"/>
              <w:left w:type="dxa" w:w="100"/>
              <w:bottom w:type="dxa" w:w="80"/>
              <w:right w:type="dxa" w:w="100"/>
            </w:tcMar>
          </w:tcPr>
          <w:p>
            <w:r>
              <w:rPr>
                <w:b w:val="false"/>
                <w:bCs w:val="false"/>
                <w:color w:val="000000"/>
                <w:sz w:val="20"/>
                <w:szCs w:val="20"/>
              </w:rPr>
              <w:t xml:space="preserve">Cancellation — after 1 hour of approval</w:t>
            </w:r>
          </w:p>
        </w:tc>
        <w:tc>
          <w:tcPr>
            <w:tcW w:type="dxa" w:w="5600"/>
            <w:tcMar>
              <w:top w:type="dxa" w:w="80"/>
              <w:left w:type="dxa" w:w="100"/>
              <w:bottom w:type="dxa" w:w="80"/>
              <w:right w:type="dxa" w:w="100"/>
            </w:tcMar>
          </w:tcPr>
          <w:p>
            <w:r>
              <w:rPr>
                <w:b w:val="false"/>
                <w:bCs w:val="false"/>
                <w:color w:val="000000"/>
                <w:sz w:val="20"/>
                <w:szCs w:val="20"/>
              </w:rPr>
              <w:t xml:space="preserve">A penalty applies to whichever party cancelled (customer forfeits deposit; dealer pays the non-delivery-style penalty if they cancel).</w:t>
            </w:r>
          </w:p>
        </w:tc>
      </w:tr>
      <w:tr>
        <w:tc>
          <w:tcPr>
            <w:tcW w:type="dxa" w:w="3400"/>
            <w:tcMar>
              <w:top w:type="dxa" w:w="80"/>
              <w:left w:type="dxa" w:w="100"/>
              <w:bottom w:type="dxa" w:w="80"/>
              <w:right w:type="dxa" w:w="100"/>
            </w:tcMar>
          </w:tcPr>
          <w:p>
            <w:r>
              <w:rPr>
                <w:b w:val="false"/>
                <w:bCs w:val="false"/>
                <w:color w:val="000000"/>
                <w:sz w:val="20"/>
                <w:szCs w:val="20"/>
              </w:rPr>
              <w:t xml:space="preserve">Admin dispute response SLA</w:t>
            </w:r>
          </w:p>
        </w:tc>
        <w:tc>
          <w:tcPr>
            <w:tcW w:type="dxa" w:w="5600"/>
            <w:tcMar>
              <w:top w:type="dxa" w:w="80"/>
              <w:left w:type="dxa" w:w="100"/>
              <w:bottom w:type="dxa" w:w="80"/>
              <w:right w:type="dxa" w:w="100"/>
            </w:tcMar>
          </w:tcPr>
          <w:p>
            <w:r>
              <w:rPr>
                <w:b w:val="false"/>
                <w:bCs w:val="false"/>
                <w:color w:val="000000"/>
                <w:sz w:val="20"/>
                <w:szCs w:val="20"/>
              </w:rPr>
              <w:t xml:space="preserve">48 hours, same as the dealer-approval SLA (Section 3.1).</w:t>
            </w:r>
          </w:p>
        </w:tc>
      </w:tr>
    </w:tbl>
    <w:p>
      <w:pPr>
        <w:pStyle w:val="Heading3"/>
        <w:spacing w:after="100" w:before="200"/>
      </w:pPr>
      <w:r>
        <w:t xml:space="preserve">2.1 How Commission Is Collected Regardless of Payment Method</w:t>
      </w:r>
    </w:p>
    <w:p>
      <w:pPr>
        <w:spacing w:after="120"/>
      </w:pPr>
      <w:r>
        <w:t xml:space="preserve">Because the 20% deposit is always paid through the app via Visa — even when the customer pays the remaining 80% in cash directly to the dealer — the platform's commission is deducted from that deposit before any payout. This means commission collection never depends on tracking cash payments, and there is no leakage even on cash-heavy bookings.</w:t>
      </w:r>
    </w:p>
    <w:p>
      <w:pPr>
        <w:pStyle w:val="Heading3"/>
        <w:spacing w:after="100" w:before="200"/>
      </w:pPr>
      <w:r>
        <w:t xml:space="preserve">2.2 Still Needs a Final Number</w:t>
      </w:r>
    </w:p>
    <w:p>
      <w:pPr>
        <w:shd w:fill="E8F0FE" w:val="clear"/>
        <w:spacing w:after="160" w:before="60"/>
      </w:pPr>
      <w:r>
        <w:rPr>
          <w:b/>
          <w:bCs/>
          <w:color w:val="1D4E89"/>
        </w:rPr>
        <w:t xml:space="preserve">🔵 قرار عمل مطلوب — </w:t>
      </w:r>
      <w:r>
        <w:rPr>
          <w:i/>
          <w:iCs/>
          <w:color w:val="1D4E89"/>
        </w:rPr>
        <w:t xml:space="preserve">Dealer non-delivery penalty: confirm whether it is a flat 25% or 50% of rental value, or tiered by how late/severe the failure was (e.g. 25% if resolved same day, 50% if the customer's trip is disrupted entirely).</w:t>
      </w:r>
    </w:p>
    <w:p>
      <w:pPr>
        <w:shd w:fill="E8F0FE" w:val="clear"/>
        <w:spacing w:after="160" w:before="60"/>
      </w:pPr>
      <w:r>
        <w:rPr>
          <w:b/>
          <w:bCs/>
          <w:color w:val="1D4E89"/>
        </w:rPr>
        <w:t xml:space="preserve">🔵 قرار عمل مطلوب — </w:t>
      </w:r>
      <w:r>
        <w:rPr>
          <w:i/>
          <w:iCs/>
          <w:color w:val="1D4E89"/>
        </w:rPr>
        <w:t xml:space="preserve">Insurance and mileage/fuel policy, minimum renter age, and IDP requirement for foreigners — still open from Section 2 of v2.0/2.1, unchanged by this revision.</w:t>
      </w:r>
    </w:p>
    <w:p>
      <w:pPr>
        <w:pStyle w:val="Heading3"/>
        <w:spacing w:after="100" w:before="200"/>
      </w:pPr>
      <w:r>
        <w:t xml:space="preserve">2.3 Cancellation Fee Detail</w:t>
      </w:r>
    </w:p>
    <w:p>
      <w:pPr>
        <w:spacing w:after="120"/>
      </w:pPr>
      <w:r>
        <w:rPr>
          <w:i/>
          <w:iCs/>
        </w:rPr>
        <w:t xml:space="preserve">On cancellation within 1 hour of approval: recommend a small fixed processing fee (e.g. 1–2 JOD) rather than zero cost to both sides, since the payment provider (Stripe/HyperPay) charges a non-refundable transaction fee on the original deposit charge even when you refund it. Passing zero cost to the user means the platform absorbs that provider fee on every quick-cancellation — confirm if that's acceptable or if a small fee should apply.</w:t>
      </w:r>
    </w:p>
    <w:p>
      <w:r>
        <w:br w:type="page"/>
      </w:r>
    </w:p>
    <w:p>
      <w:pPr>
        <w:pStyle w:val="Heading1"/>
        <w:spacing w:after="200" w:before="400"/>
      </w:pPr>
      <w:r>
        <w:t xml:space="preserve">3. Admin Module</w:t>
      </w:r>
    </w:p>
    <w:p>
      <w:pPr>
        <w:shd w:fill="FDF3E7" w:val="clear"/>
        <w:spacing w:after="160" w:before="60"/>
      </w:pPr>
      <w:r>
        <w:rPr>
          <w:b/>
          <w:bCs/>
          <w:color w:val="B45309"/>
        </w:rPr>
        <w:t xml:space="preserve">🆕 </w:t>
      </w:r>
      <w:r>
        <w:rPr>
          <w:i/>
          <w:iCs/>
          <w:color w:val="7C4A03"/>
        </w:rPr>
        <w:t xml:space="preserve">You are the sole Admin at launch. Design the module so a second admin/support staff account can be added later without a rebuild.</w:t>
      </w:r>
    </w:p>
    <w:p>
      <w:pPr>
        <w:pStyle w:val="Heading2"/>
        <w:spacing w:after="150" w:before="300"/>
      </w:pPr>
      <w:r>
        <w:t xml:space="preserve">3.1 Dealer Approval Flow</w:t>
      </w:r>
    </w:p>
    <w:p>
      <w:pPr>
        <w:pStyle w:val="ListParagraph"/>
        <w:numPr>
          <w:ilvl w:val="0"/>
          <w:numId w:val="2"/>
        </w:numPr>
        <w:spacing w:after="60"/>
      </w:pPr>
      <w:r>
        <w:t xml:space="preserve">A new Dealer Owner registers and submits: commercial registration number, vehicle registration proof (green plates), and a valid ID.</w:t>
      </w:r>
    </w:p>
    <w:p>
      <w:pPr>
        <w:pStyle w:val="ListParagraph"/>
        <w:numPr>
          <w:ilvl w:val="0"/>
          <w:numId w:val="2"/>
        </w:numPr>
        <w:spacing w:after="60"/>
      </w:pPr>
      <w:r>
        <w:t xml:space="preserve">Dealer status starts as PENDING_REVIEW — cannot list cars or receive bookings yet.</w:t>
      </w:r>
    </w:p>
    <w:p>
      <w:pPr>
        <w:shd w:fill="FDF3E7" w:val="clear"/>
        <w:spacing w:after="160" w:before="60"/>
      </w:pPr>
      <w:r>
        <w:rPr>
          <w:b/>
          <w:bCs/>
          <w:color w:val="B45309"/>
        </w:rPr>
        <w:t xml:space="preserve">🆕 </w:t>
      </w:r>
      <w:r>
        <w:rPr>
          <w:i/>
          <w:iCs/>
          <w:color w:val="7C4A03"/>
        </w:rPr>
        <w:t xml:space="preserve">48-hour SLA confirmed: Admin should act on a pending dealer application within 48 hours. An automated reminder notification fires to the Admin if a submission is about to breach this window.</w:t>
      </w:r>
    </w:p>
    <w:p>
      <w:pPr>
        <w:pStyle w:val="ListParagraph"/>
        <w:numPr>
          <w:ilvl w:val="0"/>
          <w:numId w:val="2"/>
        </w:numPr>
        <w:spacing w:after="60"/>
      </w:pPr>
      <w:r>
        <w:t xml:space="preserve">Three possible outcomes, not two: APPROVED, REJECTED (with a reason), or CLARIFICATION_NEEDED — sends the submission back to the dealer with a specific note (e.g. 'vehicle registration photo unreadable') instead of forcing a full re-application.</w:t>
      </w:r>
    </w:p>
    <w:p>
      <w:pPr>
        <w:pStyle w:val="ListParagraph"/>
        <w:numPr>
          <w:ilvl w:val="0"/>
          <w:numId w:val="2"/>
        </w:numPr>
        <w:spacing w:after="60"/>
      </w:pPr>
      <w:r>
        <w:t xml:space="preserve">Only an APPROVED dealer can publish cars and appear in customer search.</w:t>
      </w:r>
    </w:p>
    <w:p>
      <w:pPr>
        <w:pStyle w:val="Heading2"/>
        <w:spacing w:after="150" w:before="300"/>
      </w:pPr>
      <w:r>
        <w:t xml:space="preserve">3.2 Ongoing Admin Capabilities</w:t>
      </w:r>
    </w:p>
    <w:p>
      <w:pPr>
        <w:pStyle w:val="ListParagraph"/>
        <w:numPr>
          <w:ilvl w:val="0"/>
          <w:numId w:val="2"/>
        </w:numPr>
        <w:spacing w:after="60"/>
      </w:pPr>
      <w:r>
        <w:t xml:space="preserve">Suspend/reactivate any dealer or customer account for policy violations or fraud.</w:t>
      </w:r>
    </w:p>
    <w:p>
      <w:pPr>
        <w:pStyle w:val="ListParagraph"/>
        <w:numPr>
          <w:ilvl w:val="0"/>
          <w:numId w:val="2"/>
        </w:numPr>
        <w:spacing w:after="60"/>
      </w:pPr>
      <w:r>
        <w:t xml:space="preserve">Manage global lookup data: car types, cities/regions for search filters.</w:t>
      </w:r>
    </w:p>
    <w:p>
      <w:pPr>
        <w:pStyle w:val="ListParagraph"/>
        <w:numPr>
          <w:ilvl w:val="0"/>
          <w:numId w:val="2"/>
        </w:numPr>
        <w:spacing w:after="60"/>
      </w:pPr>
      <w:r>
        <w:t xml:space="preserve">View platform-wide financial summary: total bookings, gross revenue, commission earned (Section 2.1).</w:t>
      </w:r>
    </w:p>
    <w:p>
      <w:pPr>
        <w:pStyle w:val="Heading2"/>
        <w:spacing w:after="150" w:before="300"/>
      </w:pPr>
      <w:r>
        <w:t xml:space="preserve">3.3 Dispute &amp; Ticket System</w:t>
      </w:r>
    </w:p>
    <w:p>
      <w:pPr>
        <w:shd w:fill="FDF3E7" w:val="clear"/>
        <w:spacing w:after="160" w:before="60"/>
      </w:pPr>
      <w:r>
        <w:rPr>
          <w:b/>
          <w:bCs/>
          <w:color w:val="B45309"/>
        </w:rPr>
        <w:t xml:space="preserve">🆕 </w:t>
      </w:r>
      <w:r>
        <w:rPr>
          <w:i/>
          <w:iCs/>
          <w:color w:val="7C4A03"/>
        </w:rPr>
        <w:t xml:space="preserve">Confirmed design: disputes are handled as tickets attached to a specific booking, not free-form messages — this keeps every decision auditable.</w:t>
      </w:r>
    </w:p>
    <w:p>
      <w:pPr>
        <w:pStyle w:val="ListParagraph"/>
        <w:numPr>
          <w:ilvl w:val="0"/>
          <w:numId w:val="2"/>
        </w:numPr>
        <w:spacing w:after="60"/>
      </w:pPr>
      <w:r>
        <w:t xml:space="preserve">Either party (Customer or Dealer) can open a ticket directly from a booking's detail screen, with a reason and optional evidence (photos, chat transcript).</w:t>
      </w:r>
    </w:p>
    <w:p>
      <w:pPr>
        <w:pStyle w:val="ListParagraph"/>
        <w:numPr>
          <w:ilvl w:val="0"/>
          <w:numId w:val="2"/>
        </w:numPr>
        <w:spacing w:after="60"/>
      </w:pPr>
      <w:r>
        <w:t xml:space="preserve">If nobody opens a ticket after a cancellation, no-show, or late delivery, no penalty is auto-applied — this preserves the confirmed 'amicable resolution' behavior (Section 5.7).</w:t>
      </w:r>
    </w:p>
    <w:p>
      <w:pPr>
        <w:pStyle w:val="ListParagraph"/>
        <w:numPr>
          <w:ilvl w:val="0"/>
          <w:numId w:val="2"/>
        </w:numPr>
        <w:spacing w:after="60"/>
      </w:pPr>
      <w:r>
        <w:t xml:space="preserve">An opened ticket appears on the Admin dashboard as an open dispute. Admin SLA to respond: 48 hours (same as dealer approval).</w:t>
      </w:r>
    </w:p>
    <w:p>
      <w:pPr>
        <w:pStyle w:val="ListParagraph"/>
        <w:numPr>
          <w:ilvl w:val="0"/>
          <w:numId w:val="2"/>
        </w:numPr>
        <w:spacing w:after="60"/>
      </w:pPr>
      <w:r>
        <w:t xml:space="preserve">Admin's resolution (apply penalty, waive penalty, partial penalty, refund deposit) is recorded against the booking and both parties are notified — this record becomes the source of truth if the disagreement escalates further.</w:t>
      </w:r>
    </w:p>
    <w:p>
      <w:pPr>
        <w:pStyle w:val="Heading1"/>
        <w:spacing w:after="200" w:before="400"/>
      </w:pPr>
      <w:r>
        <w:t xml:space="preserve">4. Dealer Owner Module</w:t>
      </w:r>
    </w:p>
    <w:p>
      <w:pPr>
        <w:pStyle w:val="Heading2"/>
        <w:spacing w:after="150" w:before="300"/>
      </w:pPr>
      <w:r>
        <w:t xml:space="preserve">4.1 Dealer Page</w:t>
      </w:r>
    </w:p>
    <w:p>
      <w:pPr>
        <w:pStyle w:val="ListParagraph"/>
        <w:numPr>
          <w:ilvl w:val="0"/>
          <w:numId w:val="2"/>
        </w:numPr>
        <w:spacing w:after="60"/>
      </w:pPr>
      <w:r>
        <w:t xml:space="preserve">Logo, cover image, business name, description, physical location (map pin), operating hours.</w:t>
      </w:r>
    </w:p>
    <w:p>
      <w:pPr>
        <w:pStyle w:val="ListParagraph"/>
        <w:numPr>
          <w:ilvl w:val="0"/>
          <w:numId w:val="2"/>
        </w:numPr>
        <w:spacing w:after="60"/>
      </w:pPr>
      <w:r>
        <w:t xml:space="preserve">Rating — computed automatically from customer reviews (see Section 6.8), never editable by the dealer.</w:t>
      </w:r>
    </w:p>
    <w:p>
      <w:pPr>
        <w:pStyle w:val="ListParagraph"/>
        <w:numPr>
          <w:ilvl w:val="0"/>
          <w:numId w:val="2"/>
        </w:numPr>
        <w:spacing w:after="60"/>
      </w:pPr>
      <w:r>
        <w:t xml:space="preserve">Car count and live availability shown publicly.</w:t>
      </w:r>
    </w:p>
    <w:p>
      <w:pPr>
        <w:pStyle w:val="Heading2"/>
        <w:spacing w:after="150" w:before="300"/>
      </w:pPr>
      <w:r>
        <w:t xml:space="preserve">4.2 Employee Management</w:t>
      </w:r>
    </w:p>
    <w:p>
      <w:pPr>
        <w:shd w:fill="FDF3E7" w:val="clear"/>
        <w:spacing w:after="160" w:before="60"/>
      </w:pPr>
      <w:r>
        <w:rPr>
          <w:b/>
          <w:bCs/>
          <w:color w:val="B45309"/>
        </w:rPr>
        <w:t xml:space="preserve">🆕 </w:t>
      </w:r>
      <w:r>
        <w:rPr>
          <w:i/>
          <w:iCs/>
          <w:color w:val="7C4A03"/>
        </w:rPr>
        <w:t xml:space="preserve">This entire section is new — v1.1 had a single flat Dealer role with no staff hierarchy.</w:t>
      </w:r>
    </w:p>
    <w:p>
      <w:pPr>
        <w:pStyle w:val="ListParagraph"/>
        <w:numPr>
          <w:ilvl w:val="0"/>
          <w:numId w:val="2"/>
        </w:numPr>
        <w:spacing w:after="60"/>
      </w:pPr>
      <w:r>
        <w:t xml:space="preserve">Owner creates an Employee account: name, email, a temporary password (or invite link), and a permission set.</w:t>
      </w:r>
    </w:p>
    <w:p>
      <w:pPr>
        <w:pStyle w:val="ListParagraph"/>
        <w:numPr>
          <w:ilvl w:val="0"/>
          <w:numId w:val="2"/>
        </w:numPr>
        <w:spacing w:after="60"/>
      </w:pPr>
      <w:r>
        <w:t xml:space="preserve">Default Employee permission: view and act on incoming booking requests (approve/reject) for this dealer only.</w:t>
      </w:r>
    </w:p>
    <w:p>
      <w:pPr>
        <w:pStyle w:val="ListParagraph"/>
        <w:numPr>
          <w:ilvl w:val="0"/>
          <w:numId w:val="2"/>
        </w:numPr>
        <w:spacing w:after="60"/>
      </w:pPr>
      <w:r>
        <w:t xml:space="preserve">Optional elevated permission, grantable by the Owner: view financial reports. Off by default.</w:t>
      </w:r>
    </w:p>
    <w:p>
      <w:pPr>
        <w:pStyle w:val="ListParagraph"/>
        <w:numPr>
          <w:ilvl w:val="0"/>
          <w:numId w:val="2"/>
        </w:numPr>
        <w:spacing w:after="60"/>
      </w:pPr>
      <w:r>
        <w:t xml:space="preserve">Owner can deactivate an Employee at any time — their login stops working immediately, past actions remain in the audit trail.</w:t>
      </w:r>
    </w:p>
    <w:p>
      <w:pPr>
        <w:pStyle w:val="ListParagraph"/>
        <w:numPr>
          <w:ilvl w:val="0"/>
          <w:numId w:val="2"/>
        </w:numPr>
        <w:spacing w:after="60"/>
      </w:pPr>
      <w:r>
        <w:t xml:space="preserve">Every booking action (approve/reject) records which Employee (or Owner) performed it, for accountability.</w:t>
      </w:r>
    </w:p>
    <w:p>
      <w:pPr>
        <w:pStyle w:val="Heading2"/>
        <w:spacing w:after="150" w:before="300"/>
      </w:pPr>
      <w:r>
        <w:t xml:space="preserve">4.3 Car Management</w:t>
      </w:r>
    </w:p>
    <w:p>
      <w:pPr>
        <w:spacing w:after="120"/>
      </w:pPr>
      <w:r>
        <w:t xml:space="preserve">Same as v1.1 (add/edit/hide/soft-delete, image upload via presigned URL) with two additions:</w:t>
      </w:r>
    </w:p>
    <w:p>
      <w:pPr>
        <w:pStyle w:val="ListParagraph"/>
        <w:numPr>
          <w:ilvl w:val="0"/>
          <w:numId w:val="2"/>
        </w:numPr>
        <w:spacing w:after="60"/>
      </w:pPr>
      <w:r>
        <w:t xml:space="preserve">Per-car delivery eligibility toggle, and per-car mileage/fuel policy fields (Section 2).</w:t>
      </w:r>
    </w:p>
    <w:p>
      <w:pPr>
        <w:pStyle w:val="ListParagraph"/>
        <w:numPr>
          <w:ilvl w:val="0"/>
          <w:numId w:val="2"/>
        </w:numPr>
        <w:spacing w:after="60"/>
      </w:pPr>
      <w:r>
        <w:t xml:space="preserve">Per-car security deposit amount, if it varies by vehicle class.</w:t>
      </w:r>
    </w:p>
    <w:p>
      <w:pPr>
        <w:pStyle w:val="Heading2"/>
        <w:spacing w:after="150" w:before="300"/>
      </w:pPr>
      <w:r>
        <w:t xml:space="preserve">4.4 Delivery Settings</w:t>
      </w:r>
    </w:p>
    <w:p>
      <w:pPr>
        <w:shd w:fill="FDF3E7" w:val="clear"/>
        <w:spacing w:after="160" w:before="60"/>
      </w:pPr>
      <w:r>
        <w:rPr>
          <w:b/>
          <w:bCs/>
          <w:color w:val="B45309"/>
        </w:rPr>
        <w:t xml:space="preserve">🆕 </w:t>
      </w:r>
      <w:r>
        <w:rPr>
          <w:i/>
          <w:iCs/>
          <w:color w:val="7C4A03"/>
        </w:rPr>
        <w:t xml:space="preserve">Delivery is dealer-controlled, not platform-wide — matches what you described.</w:t>
      </w:r>
    </w:p>
    <w:p>
      <w:pPr>
        <w:pStyle w:val="ListParagraph"/>
        <w:numPr>
          <w:ilvl w:val="0"/>
          <w:numId w:val="2"/>
        </w:numPr>
        <w:spacing w:after="60"/>
      </w:pPr>
      <w:r>
        <w:t xml:space="preserve">Dealer-level toggle: 'Offer delivery' on/off. If on, dealer sets a delivery radius (km). Delivery fee is confirmed platform-wide at a flat 10 JOD, not dealer-configurable — keeps pricing predictable for customers.</w:t>
      </w:r>
    </w:p>
    <w:p>
      <w:pPr>
        <w:pStyle w:val="ListParagraph"/>
        <w:numPr>
          <w:ilvl w:val="0"/>
          <w:numId w:val="2"/>
        </w:numPr>
        <w:spacing w:after="60"/>
      </w:pPr>
      <w:r>
        <w:t xml:space="preserve">If a customer's chosen pickup location is outside the dealer's radius, delivery is not offered for that booking — pickup at the dealer's location only.</w:t>
      </w:r>
    </w:p>
    <w:p>
      <w:pPr>
        <w:pStyle w:val="Heading2"/>
        <w:spacing w:after="150" w:before="300"/>
      </w:pPr>
      <w:r>
        <w:t xml:space="preserve">4.5 Reports</w:t>
      </w:r>
    </w:p>
    <w:p>
      <w:pPr>
        <w:pStyle w:val="ListParagraph"/>
        <w:numPr>
          <w:ilvl w:val="0"/>
          <w:numId w:val="2"/>
        </w:numPr>
        <w:spacing w:after="60"/>
      </w:pPr>
      <w:r>
        <w:t xml:space="preserve">Daily / weekly / monthly views: number of bookings, revenue, occupancy rate per car, commission deducted, net payout.</w:t>
      </w:r>
    </w:p>
    <w:p>
      <w:pPr>
        <w:pStyle w:val="ListParagraph"/>
        <w:numPr>
          <w:ilvl w:val="0"/>
          <w:numId w:val="2"/>
        </w:numPr>
        <w:spacing w:after="60"/>
      </w:pPr>
      <w:r>
        <w:t xml:space="preserve">Visible to Owner always; visible to Employees only if explicitly granted (Section 4.2).</w:t>
      </w:r>
    </w:p>
    <w:p>
      <w:pPr>
        <w:pStyle w:val="ListParagraph"/>
        <w:numPr>
          <w:ilvl w:val="0"/>
          <w:numId w:val="2"/>
        </w:numPr>
        <w:spacing w:after="60"/>
      </w:pPr>
      <w:r>
        <w:t xml:space="preserve">MVP recommendation: start with simple totals; charts and trend comparisons can be Phase 2.</w:t>
      </w:r>
    </w:p>
    <w:p>
      <w:r>
        <w:br w:type="page"/>
      </w:r>
    </w:p>
    <w:p>
      <w:pPr>
        <w:pStyle w:val="Heading1"/>
        <w:spacing w:after="200" w:before="400"/>
      </w:pPr>
      <w:r>
        <w:t xml:space="preserve">5. Customer Module</w:t>
      </w:r>
    </w:p>
    <w:p>
      <w:pPr>
        <w:pStyle w:val="Heading2"/>
        <w:spacing w:after="150" w:before="300"/>
      </w:pPr>
      <w:r>
        <w:t xml:space="preserve">5.1 Registration &amp; Verification</w:t>
      </w:r>
    </w:p>
    <w:p>
      <w:pPr>
        <w:pStyle w:val="ListParagraph"/>
        <w:numPr>
          <w:ilvl w:val="0"/>
          <w:numId w:val="2"/>
        </w:numPr>
        <w:spacing w:after="60"/>
      </w:pPr>
      <w:r>
        <w:t xml:space="preserve">Minimum age enforced at registration (value pending Section 2 decision).</w:t>
      </w:r>
    </w:p>
    <w:p>
      <w:pPr>
        <w:pStyle w:val="ListParagraph"/>
        <w:numPr>
          <w:ilvl w:val="0"/>
          <w:numId w:val="2"/>
        </w:numPr>
        <w:spacing w:after="60"/>
      </w:pPr>
      <w:r>
        <w:t xml:space="preserve">Required uploads: driving license photo (front/back) and national ID or passport photo. Stored securely; visible to a dealer/employee only once that customer sends a booking request to them — not public, not visible to other dealers.</w:t>
      </w:r>
    </w:p>
    <w:p>
      <w:pPr>
        <w:pStyle w:val="ListParagraph"/>
        <w:numPr>
          <w:ilvl w:val="0"/>
          <w:numId w:val="2"/>
        </w:numPr>
        <w:spacing w:after="60"/>
      </w:pPr>
      <w:r>
        <w:t xml:space="preserve">Foreign customers: passport + International Driving Permit (if required per Section 2) instead of national ID/local license.</w:t>
      </w:r>
    </w:p>
    <w:p>
      <w:pPr>
        <w:pStyle w:val="ListParagraph"/>
        <w:numPr>
          <w:ilvl w:val="0"/>
          <w:numId w:val="2"/>
        </w:numPr>
        <w:spacing w:after="60"/>
      </w:pPr>
      <w:r>
        <w:t xml:space="preserve">A license/ID that fails a basic legibility or expiry check at upload time should be flagged for the customer to re-upload before they can book — reduces rejected bookings at the dealer's end.</w:t>
      </w:r>
    </w:p>
    <w:p>
      <w:pPr>
        <w:pStyle w:val="Heading2"/>
        <w:spacing w:after="150" w:before="300"/>
      </w:pPr>
      <w:r>
        <w:t xml:space="preserve">5.2 Browsing &amp; Booking</w:t>
      </w:r>
    </w:p>
    <w:p>
      <w:pPr>
        <w:pStyle w:val="ListParagraph"/>
        <w:numPr>
          <w:ilvl w:val="0"/>
          <w:numId w:val="2"/>
        </w:numPr>
        <w:spacing w:after="60"/>
      </w:pPr>
      <w:r>
        <w:t xml:space="preserve">Search/filter by type, price, dealer, location, dates — same as v1.1.</w:t>
      </w:r>
    </w:p>
    <w:p>
      <w:pPr>
        <w:pStyle w:val="ListParagraph"/>
        <w:numPr>
          <w:ilvl w:val="0"/>
          <w:numId w:val="2"/>
        </w:numPr>
        <w:spacing w:after="60"/>
      </w:pPr>
      <w:r>
        <w:t xml:space="preserve">Booking request includes: dates, pickup method (self-pickup or delivery), and if delivery — a map-pin location.</w:t>
      </w:r>
    </w:p>
    <w:p>
      <w:pPr>
        <w:pStyle w:val="ListParagraph"/>
        <w:numPr>
          <w:ilvl w:val="0"/>
          <w:numId w:val="2"/>
        </w:numPr>
        <w:spacing w:after="60"/>
      </w:pPr>
      <w:r>
        <w:t xml:space="preserve">If delivery is chosen, the system checks the location falls within the dealer's configured delivery radius (Section 4.4) before allowing submission.</w:t>
      </w:r>
    </w:p>
    <w:p>
      <w:pPr>
        <w:pStyle w:val="Heading2"/>
        <w:spacing w:after="150" w:before="300"/>
      </w:pPr>
      <w:r>
        <w:t xml:space="preserve">5.3 Payment at Booking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Step</w:t>
            </w:r>
          </w:p>
        </w:tc>
        <w:tc>
          <w:tcPr>
            <w:tcW w:type="dxa" w:w="7300"/>
            <w:shd w:fill="1F3864" w:val="clear"/>
            <w:tcMar>
              <w:top w:type="dxa" w:w="80"/>
              <w:left w:type="dxa" w:w="100"/>
              <w:bottom w:type="dxa" w:w="80"/>
              <w:right w:type="dxa" w:w="100"/>
            </w:tcMar>
          </w:tcPr>
          <w:p>
            <w:r>
              <w:rPr>
                <w:b/>
                <w:bCs/>
                <w:color w:val="FFFFFF"/>
                <w:sz w:val="20"/>
                <w:szCs w:val="20"/>
              </w:rPr>
              <w:t xml:space="preserve">Detail</w:t>
            </w:r>
          </w:p>
        </w:tc>
      </w:tr>
      <w:tr>
        <w:tc>
          <w:tcPr>
            <w:tcW w:type="dxa" w:w="2200"/>
            <w:tcMar>
              <w:top w:type="dxa" w:w="80"/>
              <w:left w:type="dxa" w:w="100"/>
              <w:bottom w:type="dxa" w:w="80"/>
              <w:right w:type="dxa" w:w="100"/>
            </w:tcMar>
          </w:tcPr>
          <w:p>
            <w:r>
              <w:rPr>
                <w:b w:val="false"/>
                <w:bCs w:val="false"/>
                <w:color w:val="000000"/>
                <w:sz w:val="20"/>
                <w:szCs w:val="20"/>
              </w:rPr>
              <w:t xml:space="preserve">Deposit</w:t>
            </w:r>
          </w:p>
        </w:tc>
        <w:tc>
          <w:tcPr>
            <w:tcW w:type="dxa" w:w="7300"/>
            <w:tcMar>
              <w:top w:type="dxa" w:w="80"/>
              <w:left w:type="dxa" w:w="100"/>
              <w:bottom w:type="dxa" w:w="80"/>
              <w:right w:type="dxa" w:w="100"/>
            </w:tcMar>
          </w:tcPr>
          <w:p>
            <w:r>
              <w:rPr>
                <w:b w:val="false"/>
                <w:bCs w:val="false"/>
                <w:color w:val="000000"/>
                <w:sz w:val="20"/>
                <w:szCs w:val="20"/>
              </w:rPr>
              <w:t xml:space="preserve">Confirmed: always 20% of total_price, charged via Visa at submission — regardless of the booking length or the payment method chosen for the balance.</w:t>
            </w:r>
          </w:p>
        </w:tc>
      </w:tr>
      <w:tr>
        <w:tc>
          <w:tcPr>
            <w:tcW w:type="dxa" w:w="2200"/>
            <w:tcMar>
              <w:top w:type="dxa" w:w="80"/>
              <w:left w:type="dxa" w:w="100"/>
              <w:bottom w:type="dxa" w:w="80"/>
              <w:right w:type="dxa" w:w="100"/>
            </w:tcMar>
          </w:tcPr>
          <w:p>
            <w:r>
              <w:rPr>
                <w:b w:val="false"/>
                <w:bCs w:val="false"/>
                <w:color w:val="000000"/>
                <w:sz w:val="20"/>
                <w:szCs w:val="20"/>
              </w:rPr>
              <w:t xml:space="preserve">Full payment option</w:t>
            </w:r>
          </w:p>
        </w:tc>
        <w:tc>
          <w:tcPr>
            <w:tcW w:type="dxa" w:w="7300"/>
            <w:tcMar>
              <w:top w:type="dxa" w:w="80"/>
              <w:left w:type="dxa" w:w="100"/>
              <w:bottom w:type="dxa" w:w="80"/>
              <w:right w:type="dxa" w:w="100"/>
            </w:tcMar>
          </w:tcPr>
          <w:p>
            <w:r>
              <w:rPr>
                <w:b w:val="false"/>
                <w:bCs w:val="false"/>
                <w:color w:val="000000"/>
                <w:sz w:val="20"/>
                <w:szCs w:val="20"/>
              </w:rPr>
              <w:t xml:space="preserve">Customer may pay 100% upfront via Visa instead of the 20% deposit.</w:t>
            </w:r>
          </w:p>
        </w:tc>
      </w:tr>
      <w:tr>
        <w:tc>
          <w:tcPr>
            <w:tcW w:type="dxa" w:w="2200"/>
            <w:tcMar>
              <w:top w:type="dxa" w:w="80"/>
              <w:left w:type="dxa" w:w="100"/>
              <w:bottom w:type="dxa" w:w="80"/>
              <w:right w:type="dxa" w:w="100"/>
            </w:tcMar>
          </w:tcPr>
          <w:p>
            <w:r>
              <w:rPr>
                <w:b w:val="false"/>
                <w:bCs w:val="false"/>
                <w:color w:val="000000"/>
                <w:sz w:val="20"/>
                <w:szCs w:val="20"/>
              </w:rPr>
              <w:t xml:space="preserve">Remaining balance (cash path)</w:t>
            </w:r>
          </w:p>
        </w:tc>
        <w:tc>
          <w:tcPr>
            <w:tcW w:type="dxa" w:w="7300"/>
            <w:tcMar>
              <w:top w:type="dxa" w:w="80"/>
              <w:left w:type="dxa" w:w="100"/>
              <w:bottom w:type="dxa" w:w="80"/>
              <w:right w:type="dxa" w:w="100"/>
            </w:tcMar>
          </w:tcPr>
          <w:p>
            <w:r>
              <w:rPr>
                <w:b w:val="false"/>
                <w:bCs w:val="false"/>
                <w:color w:val="000000"/>
                <w:sz w:val="20"/>
                <w:szCs w:val="20"/>
              </w:rPr>
              <w:t xml:space="preserve">The remaining 80% is paid in cash directly to the dealer at pickup/delivery — this cash never passes through the platform, which is why the 20% deposit is what carries the platform's commission (Section 2.1).</w:t>
            </w:r>
          </w:p>
        </w:tc>
      </w:tr>
    </w:tbl>
    <w:p>
      <w:pPr>
        <w:pStyle w:val="Heading2"/>
        <w:spacing w:after="150" w:before="300"/>
      </w:pPr>
      <w:r>
        <w:t xml:space="preserve">5.4 Handover Documentation (Optional)</w:t>
      </w:r>
    </w:p>
    <w:p>
      <w:pPr>
        <w:shd w:fill="FDF3E7" w:val="clear"/>
        <w:spacing w:after="160" w:before="60"/>
      </w:pPr>
      <w:r>
        <w:rPr>
          <w:b/>
          <w:bCs/>
          <w:color w:val="B45309"/>
        </w:rPr>
        <w:t xml:space="preserve">🆕 </w:t>
      </w:r>
      <w:r>
        <w:rPr>
          <w:i/>
          <w:iCs/>
          <w:color w:val="7C4A03"/>
        </w:rPr>
        <w:t xml:space="preserve">Confirmed as opt-in, not mandatory. The platform stores photos if both sides choose to upload them, but takes no position on condition disputes — this keeps the app a neutral record-keeper rather than a party to the dealer's own guarantee/damage process, which stays entirely outside the app by design.</w:t>
      </w:r>
    </w:p>
    <w:p>
      <w:pPr>
        <w:pStyle w:val="ListParagraph"/>
        <w:numPr>
          <w:ilvl w:val="0"/>
          <w:numId w:val="2"/>
        </w:numPr>
        <w:spacing w:after="60"/>
      </w:pPr>
      <w:r>
        <w:t xml:space="preserve">At pickup and at return, the customer and the dealer/employee may each optionally upload condition photos to the booking record.</w:t>
      </w:r>
    </w:p>
    <w:p>
      <w:pPr>
        <w:pStyle w:val="ListParagraph"/>
        <w:numPr>
          <w:ilvl w:val="0"/>
          <w:numId w:val="2"/>
        </w:numPr>
        <w:spacing w:after="60"/>
      </w:pPr>
      <w:r>
        <w:t xml:space="preserve">The app does not arbitrate condition disputes based on these photos — that remains the dealer's own off-platform process, as confirmed. The photos exist purely as an optional shared record between the two parties.</w:t>
      </w:r>
    </w:p>
    <w:p>
      <w:pPr>
        <w:pStyle w:val="Heading2"/>
        <w:spacing w:after="150" w:before="300"/>
      </w:pPr>
      <w:r>
        <w:t xml:space="preserve">5.5 No-Show, Cancellation &amp; Penalties — Confirmed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Scenario</w:t>
            </w:r>
          </w:p>
        </w:tc>
        <w:tc>
          <w:tcPr>
            <w:tcW w:type="dxa" w:w="6900"/>
            <w:shd w:fill="1F3864" w:val="clear"/>
            <w:tcMar>
              <w:top w:type="dxa" w:w="80"/>
              <w:left w:type="dxa" w:w="100"/>
              <w:bottom w:type="dxa" w:w="80"/>
              <w:right w:type="dxa" w:w="100"/>
            </w:tcMar>
          </w:tcPr>
          <w:p>
            <w:r>
              <w:rPr>
                <w:b/>
                <w:bCs/>
                <w:color w:val="FFFFFF"/>
                <w:sz w:val="20"/>
                <w:szCs w:val="20"/>
              </w:rPr>
              <w:t xml:space="preserve">Rule</w:t>
            </w:r>
          </w:p>
        </w:tc>
      </w:tr>
      <w:tr>
        <w:tc>
          <w:tcPr>
            <w:tcW w:type="dxa" w:w="2600"/>
            <w:tcMar>
              <w:top w:type="dxa" w:w="80"/>
              <w:left w:type="dxa" w:w="100"/>
              <w:bottom w:type="dxa" w:w="80"/>
              <w:right w:type="dxa" w:w="100"/>
            </w:tcMar>
          </w:tcPr>
          <w:p>
            <w:r>
              <w:rPr>
                <w:b w:val="false"/>
                <w:bCs w:val="false"/>
                <w:color w:val="000000"/>
                <w:sz w:val="20"/>
                <w:szCs w:val="20"/>
              </w:rPr>
              <w:t xml:space="preserve">Customer doesn't pick up the car</w:t>
            </w:r>
          </w:p>
        </w:tc>
        <w:tc>
          <w:tcPr>
            <w:tcW w:type="dxa" w:w="6900"/>
            <w:tcMar>
              <w:top w:type="dxa" w:w="80"/>
              <w:left w:type="dxa" w:w="100"/>
              <w:bottom w:type="dxa" w:w="80"/>
              <w:right w:type="dxa" w:w="100"/>
            </w:tcMar>
          </w:tcPr>
          <w:p>
            <w:r>
              <w:rPr>
                <w:b w:val="false"/>
                <w:bCs w:val="false"/>
                <w:color w:val="000000"/>
                <w:sz w:val="20"/>
                <w:szCs w:val="20"/>
              </w:rPr>
              <w:t xml:space="preserve">8 hours after the booking's start time with no pickup confirmed → booking auto-cancels, deposit forfeited to the dealer/platform split (per Section 2.1 commission).</w:t>
            </w:r>
          </w:p>
        </w:tc>
      </w:tr>
      <w:tr>
        <w:tc>
          <w:tcPr>
            <w:tcW w:type="dxa" w:w="2600"/>
            <w:tcMar>
              <w:top w:type="dxa" w:w="80"/>
              <w:left w:type="dxa" w:w="100"/>
              <w:bottom w:type="dxa" w:w="80"/>
              <w:right w:type="dxa" w:w="100"/>
            </w:tcMar>
          </w:tcPr>
          <w:p>
            <w:r>
              <w:rPr>
                <w:b w:val="false"/>
                <w:bCs w:val="false"/>
                <w:color w:val="000000"/>
                <w:sz w:val="20"/>
                <w:szCs w:val="20"/>
              </w:rPr>
              <w:t xml:space="preserve">Dealer fails to hand over an approved booking</w:t>
            </w:r>
          </w:p>
        </w:tc>
        <w:tc>
          <w:tcPr>
            <w:tcW w:type="dxa" w:w="6900"/>
            <w:tcMar>
              <w:top w:type="dxa" w:w="80"/>
              <w:left w:type="dxa" w:w="100"/>
              <w:bottom w:type="dxa" w:w="80"/>
              <w:right w:type="dxa" w:w="100"/>
            </w:tcMar>
          </w:tcPr>
          <w:p>
            <w:r>
              <w:rPr>
                <w:b w:val="false"/>
                <w:bCs w:val="false"/>
                <w:color w:val="000000"/>
                <w:sz w:val="20"/>
                <w:szCs w:val="20"/>
              </w:rPr>
              <w:t xml:space="preserve">Penalty of 25–50% of rental value charged to the dealer (exact tier — Section 2.2).</w:t>
            </w:r>
          </w:p>
        </w:tc>
      </w:tr>
      <w:tr>
        <w:tc>
          <w:tcPr>
            <w:tcW w:type="dxa" w:w="2600"/>
            <w:tcMar>
              <w:top w:type="dxa" w:w="80"/>
              <w:left w:type="dxa" w:w="100"/>
              <w:bottom w:type="dxa" w:w="80"/>
              <w:right w:type="dxa" w:w="100"/>
            </w:tcMar>
          </w:tcPr>
          <w:p>
            <w:r>
              <w:rPr>
                <w:b w:val="false"/>
                <w:bCs w:val="false"/>
                <w:color w:val="000000"/>
                <w:sz w:val="20"/>
                <w:szCs w:val="20"/>
              </w:rPr>
              <w:t xml:space="preserve">Cancellation within 1 hour of approval</w:t>
            </w:r>
          </w:p>
        </w:tc>
        <w:tc>
          <w:tcPr>
            <w:tcW w:type="dxa" w:w="6900"/>
            <w:tcMar>
              <w:top w:type="dxa" w:w="80"/>
              <w:left w:type="dxa" w:w="100"/>
              <w:bottom w:type="dxa" w:w="80"/>
              <w:right w:type="dxa" w:w="100"/>
            </w:tcMar>
          </w:tcPr>
          <w:p>
            <w:r>
              <w:rPr>
                <w:b w:val="false"/>
                <w:bCs w:val="false"/>
                <w:color w:val="000000"/>
                <w:sz w:val="20"/>
                <w:szCs w:val="20"/>
              </w:rPr>
              <w:t xml:space="preserve">No penalty. Deposit refunded (minus a possible small processing fee — Section 2.3). Both parties notified.</w:t>
            </w:r>
          </w:p>
        </w:tc>
      </w:tr>
      <w:tr>
        <w:tc>
          <w:tcPr>
            <w:tcW w:type="dxa" w:w="2600"/>
            <w:tcMar>
              <w:top w:type="dxa" w:w="80"/>
              <w:left w:type="dxa" w:w="100"/>
              <w:bottom w:type="dxa" w:w="80"/>
              <w:right w:type="dxa" w:w="100"/>
            </w:tcMar>
          </w:tcPr>
          <w:p>
            <w:r>
              <w:rPr>
                <w:b w:val="false"/>
                <w:bCs w:val="false"/>
                <w:color w:val="000000"/>
                <w:sz w:val="20"/>
                <w:szCs w:val="20"/>
              </w:rPr>
              <w:t xml:space="preserve">Cancellation after 1 hour of approval</w:t>
            </w:r>
          </w:p>
        </w:tc>
        <w:tc>
          <w:tcPr>
            <w:tcW w:type="dxa" w:w="6900"/>
            <w:tcMar>
              <w:top w:type="dxa" w:w="80"/>
              <w:left w:type="dxa" w:w="100"/>
              <w:bottom w:type="dxa" w:w="80"/>
              <w:right w:type="dxa" w:w="100"/>
            </w:tcMar>
          </w:tcPr>
          <w:p>
            <w:r>
              <w:rPr>
                <w:b w:val="false"/>
                <w:bCs w:val="false"/>
                <w:color w:val="000000"/>
                <w:sz w:val="20"/>
                <w:szCs w:val="20"/>
              </w:rPr>
              <w:t xml:space="preserve">Penalty applies to whichever party cancelled.</w:t>
            </w:r>
          </w:p>
        </w:tc>
      </w:tr>
      <w:tr>
        <w:tc>
          <w:tcPr>
            <w:tcW w:type="dxa" w:w="2600"/>
            <w:tcMar>
              <w:top w:type="dxa" w:w="80"/>
              <w:left w:type="dxa" w:w="100"/>
              <w:bottom w:type="dxa" w:w="80"/>
              <w:right w:type="dxa" w:w="100"/>
            </w:tcMar>
          </w:tcPr>
          <w:p>
            <w:r>
              <w:rPr>
                <w:b w:val="false"/>
                <w:bCs w:val="false"/>
                <w:color w:val="000000"/>
                <w:sz w:val="20"/>
                <w:szCs w:val="20"/>
              </w:rPr>
              <w:t xml:space="preserve">Either party disputes a penalty</w:t>
            </w:r>
          </w:p>
        </w:tc>
        <w:tc>
          <w:tcPr>
            <w:tcW w:type="dxa" w:w="6900"/>
            <w:tcMar>
              <w:top w:type="dxa" w:w="80"/>
              <w:left w:type="dxa" w:w="100"/>
              <w:bottom w:type="dxa" w:w="80"/>
              <w:right w:type="dxa" w:w="100"/>
            </w:tcMar>
          </w:tcPr>
          <w:p>
            <w:r>
              <w:rPr>
                <w:b w:val="false"/>
                <w:bCs w:val="false"/>
                <w:color w:val="000000"/>
                <w:sz w:val="20"/>
                <w:szCs w:val="20"/>
              </w:rPr>
              <w:t xml:space="preserve">No ticket opened → the amicable-resolution default applies, no penalty auto-charged. A ticket opened → Admin resolves within 48 hours (Section 3.3).</w:t>
            </w:r>
          </w:p>
        </w:tc>
      </w:tr>
    </w:tbl>
    <w:p>
      <w:pPr>
        <w:pStyle w:val="Heading2"/>
        <w:spacing w:after="150" w:before="300"/>
      </w:pPr>
      <w:r>
        <w:t xml:space="preserve">5.6 Reviews</w:t>
      </w:r>
    </w:p>
    <w:p>
      <w:pPr>
        <w:pStyle w:val="ListParagraph"/>
        <w:numPr>
          <w:ilvl w:val="0"/>
          <w:numId w:val="2"/>
        </w:numPr>
        <w:spacing w:after="60"/>
      </w:pPr>
      <w:r>
        <w:t xml:space="preserve">One review per completed booking, feeding the dealer's public rating — unchanged from v1.1's design. Confirmed as mutual: the dealer also rates the customer, visible to other dealers to inform their approve/reject decision on future requests (Section 6.x, dealer discretion at approval).</w:t>
      </w:r>
    </w:p>
    <w:p>
      <w:r>
        <w:br w:type="page"/>
      </w:r>
    </w:p>
    <w:p>
      <w:pPr>
        <w:pStyle w:val="Heading1"/>
        <w:spacing w:after="200" w:before="400"/>
      </w:pPr>
      <w:r>
        <w:t xml:space="preserve">6. Data Model — What Changes From v1.1</w:t>
      </w:r>
    </w:p>
    <w:p>
      <w:pPr>
        <w:spacing w:after="120"/>
      </w:pPr>
      <w:r>
        <w:t xml:space="preserve">The v1.1 database design (Section 3 of that document) stays valid for cars, bookings, favorites, and reviews. The changes below layer on top of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1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Table</w:t>
            </w:r>
          </w:p>
        </w:tc>
        <w:tc>
          <w:tcPr>
            <w:tcW w:type="dxa" w:w="4300"/>
            <w:shd w:fill="1F3864" w:val="clear"/>
            <w:tcMar>
              <w:top w:type="dxa" w:w="80"/>
              <w:left w:type="dxa" w:w="100"/>
              <w:bottom w:type="dxa" w:w="80"/>
              <w:right w:type="dxa" w:w="100"/>
            </w:tcMar>
          </w:tcPr>
          <w:p>
            <w:r>
              <w:rPr>
                <w:b/>
                <w:bCs/>
                <w:color w:val="FFFFFF"/>
                <w:sz w:val="20"/>
                <w:szCs w:val="20"/>
              </w:rPr>
              <w:t xml:space="preserve">Change</w:t>
            </w:r>
          </w:p>
        </w:tc>
        <w:tc>
          <w:tcPr>
            <w:tcW w:type="dxa" w:w="3100"/>
            <w:shd w:fill="1F3864" w:val="clear"/>
            <w:tcMar>
              <w:top w:type="dxa" w:w="80"/>
              <w:left w:type="dxa" w:w="100"/>
              <w:bottom w:type="dxa" w:w="80"/>
              <w:right w:type="dxa" w:w="100"/>
            </w:tcMar>
          </w:tcPr>
          <w:p>
            <w:r>
              <w:rPr>
                <w:b/>
                <w:bCs/>
                <w:color w:val="FFFFFF"/>
                <w:sz w:val="20"/>
                <w:szCs w:val="20"/>
              </w:rPr>
              <w:t xml:space="preserve">Why</w:t>
            </w:r>
          </w:p>
        </w:tc>
      </w:tr>
      <w:tr>
        <w:tc>
          <w:tcPr>
            <w:tcW w:type="dxa" w:w="1800"/>
            <w:tcMar>
              <w:top w:type="dxa" w:w="80"/>
              <w:left w:type="dxa" w:w="100"/>
              <w:bottom w:type="dxa" w:w="80"/>
              <w:right w:type="dxa" w:w="100"/>
            </w:tcMar>
          </w:tcPr>
          <w:p>
            <w:r>
              <w:rPr>
                <w:b w:val="false"/>
                <w:bCs w:val="false"/>
                <w:color w:val="000000"/>
                <w:sz w:val="20"/>
                <w:szCs w:val="20"/>
              </w:rPr>
              <w:t xml:space="preserve">dealers</w:t>
            </w:r>
          </w:p>
        </w:tc>
        <w:tc>
          <w:tcPr>
            <w:tcW w:type="dxa" w:w="4300"/>
            <w:tcMar>
              <w:top w:type="dxa" w:w="80"/>
              <w:left w:type="dxa" w:w="100"/>
              <w:bottom w:type="dxa" w:w="80"/>
              <w:right w:type="dxa" w:w="100"/>
            </w:tcMar>
          </w:tcPr>
          <w:p>
            <w:r>
              <w:rPr>
                <w:b w:val="false"/>
                <w:bCs w:val="false"/>
                <w:color w:val="000000"/>
                <w:sz w:val="20"/>
                <w:szCs w:val="20"/>
              </w:rPr>
              <w:t xml:space="preserve">Add: verification_status (PENDING_REVIEW/APPROVED/REJECTED), commercial_registration_number, delivery_enabled, delivery_radius_km, delivery_fee.</w:t>
            </w:r>
          </w:p>
        </w:tc>
        <w:tc>
          <w:tcPr>
            <w:tcW w:type="dxa" w:w="3100"/>
            <w:tcMar>
              <w:top w:type="dxa" w:w="80"/>
              <w:left w:type="dxa" w:w="100"/>
              <w:bottom w:type="dxa" w:w="80"/>
              <w:right w:type="dxa" w:w="100"/>
            </w:tcMar>
          </w:tcPr>
          <w:p>
            <w:r>
              <w:rPr>
                <w:b w:val="false"/>
                <w:bCs w:val="false"/>
                <w:color w:val="000000"/>
                <w:sz w:val="20"/>
                <w:szCs w:val="20"/>
              </w:rPr>
              <w:t xml:space="preserve">Admin approval flow + delivery settings.</w:t>
            </w:r>
          </w:p>
        </w:tc>
      </w:tr>
      <w:tr>
        <w:tc>
          <w:tcPr>
            <w:tcW w:type="dxa" w:w="1800"/>
            <w:tcMar>
              <w:top w:type="dxa" w:w="80"/>
              <w:left w:type="dxa" w:w="100"/>
              <w:bottom w:type="dxa" w:w="80"/>
              <w:right w:type="dxa" w:w="100"/>
            </w:tcMar>
          </w:tcPr>
          <w:p>
            <w:r>
              <w:rPr>
                <w:b w:val="false"/>
                <w:bCs w:val="false"/>
                <w:color w:val="000000"/>
                <w:sz w:val="20"/>
                <w:szCs w:val="20"/>
              </w:rPr>
              <w:t xml:space="preserve">employees (new)</w:t>
            </w:r>
          </w:p>
        </w:tc>
        <w:tc>
          <w:tcPr>
            <w:tcW w:type="dxa" w:w="4300"/>
            <w:tcMar>
              <w:top w:type="dxa" w:w="80"/>
              <w:left w:type="dxa" w:w="100"/>
              <w:bottom w:type="dxa" w:w="80"/>
              <w:right w:type="dxa" w:w="100"/>
            </w:tcMar>
          </w:tcPr>
          <w:p>
            <w:r>
              <w:rPr>
                <w:b w:val="false"/>
                <w:bCs w:val="false"/>
                <w:color w:val="000000"/>
                <w:sz w:val="20"/>
                <w:szCs w:val="20"/>
              </w:rPr>
              <w:t xml:space="preserve">id, dealer_id (FK), user_id (FK), can_view_reports (bool), is_active, created_at.</w:t>
            </w:r>
          </w:p>
        </w:tc>
        <w:tc>
          <w:tcPr>
            <w:tcW w:type="dxa" w:w="3100"/>
            <w:tcMar>
              <w:top w:type="dxa" w:w="80"/>
              <w:left w:type="dxa" w:w="100"/>
              <w:bottom w:type="dxa" w:w="80"/>
              <w:right w:type="dxa" w:w="100"/>
            </w:tcMar>
          </w:tcPr>
          <w:p>
            <w:r>
              <w:rPr>
                <w:b w:val="false"/>
                <w:bCs w:val="false"/>
                <w:color w:val="000000"/>
                <w:sz w:val="20"/>
                <w:szCs w:val="20"/>
              </w:rPr>
              <w:t xml:space="preserve">Owner/Employee hierarchy under one dealer.</w:t>
            </w:r>
          </w:p>
        </w:tc>
      </w:tr>
      <w:tr>
        <w:tc>
          <w:tcPr>
            <w:tcW w:type="dxa" w:w="1800"/>
            <w:tcMar>
              <w:top w:type="dxa" w:w="80"/>
              <w:left w:type="dxa" w:w="100"/>
              <w:bottom w:type="dxa" w:w="80"/>
              <w:right w:type="dxa" w:w="100"/>
            </w:tcMar>
          </w:tcPr>
          <w:p>
            <w:r>
              <w:rPr>
                <w:b w:val="false"/>
                <w:bCs w:val="false"/>
                <w:color w:val="000000"/>
                <w:sz w:val="20"/>
                <w:szCs w:val="20"/>
              </w:rPr>
              <w:t xml:space="preserve">users</w:t>
            </w:r>
          </w:p>
        </w:tc>
        <w:tc>
          <w:tcPr>
            <w:tcW w:type="dxa" w:w="4300"/>
            <w:tcMar>
              <w:top w:type="dxa" w:w="80"/>
              <w:left w:type="dxa" w:w="100"/>
              <w:bottom w:type="dxa" w:w="80"/>
              <w:right w:type="dxa" w:w="100"/>
            </w:tcMar>
          </w:tcPr>
          <w:p>
            <w:r>
              <w:rPr>
                <w:b w:val="false"/>
                <w:bCs w:val="false"/>
                <w:color w:val="000000"/>
                <w:sz w:val="20"/>
                <w:szCs w:val="20"/>
              </w:rPr>
              <w:t xml:space="preserve">Add: date_of_birth, id_document_url, license_document_url, is_foreign_national.</w:t>
            </w:r>
          </w:p>
        </w:tc>
        <w:tc>
          <w:tcPr>
            <w:tcW w:type="dxa" w:w="3100"/>
            <w:tcMar>
              <w:top w:type="dxa" w:w="80"/>
              <w:left w:type="dxa" w:w="100"/>
              <w:bottom w:type="dxa" w:w="80"/>
              <w:right w:type="dxa" w:w="100"/>
            </w:tcMar>
          </w:tcPr>
          <w:p>
            <w:r>
              <w:rPr>
                <w:b w:val="false"/>
                <w:bCs w:val="false"/>
                <w:color w:val="000000"/>
                <w:sz w:val="20"/>
                <w:szCs w:val="20"/>
              </w:rPr>
              <w:t xml:space="preserve">Age check + document verification, local vs foreign flow.</w:t>
            </w:r>
          </w:p>
        </w:tc>
      </w:tr>
      <w:tr>
        <w:tc>
          <w:tcPr>
            <w:tcW w:type="dxa" w:w="1800"/>
            <w:tcMar>
              <w:top w:type="dxa" w:w="80"/>
              <w:left w:type="dxa" w:w="100"/>
              <w:bottom w:type="dxa" w:w="80"/>
              <w:right w:type="dxa" w:w="100"/>
            </w:tcMar>
          </w:tcPr>
          <w:p>
            <w:r>
              <w:rPr>
                <w:b w:val="false"/>
                <w:bCs w:val="false"/>
                <w:color w:val="000000"/>
                <w:sz w:val="20"/>
                <w:szCs w:val="20"/>
              </w:rPr>
              <w:t xml:space="preserve">bookings</w:t>
            </w:r>
          </w:p>
        </w:tc>
        <w:tc>
          <w:tcPr>
            <w:tcW w:type="dxa" w:w="4300"/>
            <w:tcMar>
              <w:top w:type="dxa" w:w="80"/>
              <w:left w:type="dxa" w:w="100"/>
              <w:bottom w:type="dxa" w:w="80"/>
              <w:right w:type="dxa" w:w="100"/>
            </w:tcMar>
          </w:tcPr>
          <w:p>
            <w:r>
              <w:rPr>
                <w:b w:val="false"/>
                <w:bCs w:val="false"/>
                <w:color w:val="000000"/>
                <w:sz w:val="20"/>
                <w:szCs w:val="20"/>
              </w:rPr>
              <w:t xml:space="preserve">Add: pickup_method (SELF_PICKUP/DELIVERY), delivery_location_lat/lng, deposit_amount, deposit_paid_at, balance_due, acted_by_user_id (which employee/owner approved).</w:t>
            </w:r>
          </w:p>
        </w:tc>
        <w:tc>
          <w:tcPr>
            <w:tcW w:type="dxa" w:w="3100"/>
            <w:tcMar>
              <w:top w:type="dxa" w:w="80"/>
              <w:left w:type="dxa" w:w="100"/>
              <w:bottom w:type="dxa" w:w="80"/>
              <w:right w:type="dxa" w:w="100"/>
            </w:tcMar>
          </w:tcPr>
          <w:p>
            <w:r>
              <w:rPr>
                <w:b w:val="false"/>
                <w:bCs w:val="false"/>
                <w:color w:val="000000"/>
                <w:sz w:val="20"/>
                <w:szCs w:val="20"/>
              </w:rPr>
              <w:t xml:space="preserve">Supports delivery, split payment, accountability.</w:t>
            </w:r>
          </w:p>
        </w:tc>
      </w:tr>
      <w:tr>
        <w:tc>
          <w:tcPr>
            <w:tcW w:type="dxa" w:w="1800"/>
            <w:tcMar>
              <w:top w:type="dxa" w:w="80"/>
              <w:left w:type="dxa" w:w="100"/>
              <w:bottom w:type="dxa" w:w="80"/>
              <w:right w:type="dxa" w:w="100"/>
            </w:tcMar>
          </w:tcPr>
          <w:p>
            <w:r>
              <w:rPr>
                <w:b w:val="false"/>
                <w:bCs w:val="false"/>
                <w:color w:val="000000"/>
                <w:sz w:val="20"/>
                <w:szCs w:val="20"/>
              </w:rPr>
              <w:t xml:space="preserve">security_deposits (new)</w:t>
            </w:r>
          </w:p>
        </w:tc>
        <w:tc>
          <w:tcPr>
            <w:tcW w:type="dxa" w:w="4300"/>
            <w:tcMar>
              <w:top w:type="dxa" w:w="80"/>
              <w:left w:type="dxa" w:w="100"/>
              <w:bottom w:type="dxa" w:w="80"/>
              <w:right w:type="dxa" w:w="100"/>
            </w:tcMar>
          </w:tcPr>
          <w:p>
            <w:r>
              <w:rPr>
                <w:b w:val="false"/>
                <w:bCs w:val="false"/>
                <w:color w:val="000000"/>
                <w:sz w:val="20"/>
                <w:szCs w:val="20"/>
              </w:rPr>
              <w:t xml:space="preserve">id, booking_id (FK), amount, status (HELD/RELEASED/CLAIMED), claim_reason, resolved_by_admin_id.</w:t>
            </w:r>
          </w:p>
        </w:tc>
        <w:tc>
          <w:tcPr>
            <w:tcW w:type="dxa" w:w="3100"/>
            <w:tcMar>
              <w:top w:type="dxa" w:w="80"/>
              <w:left w:type="dxa" w:w="100"/>
              <w:bottom w:type="dxa" w:w="80"/>
              <w:right w:type="dxa" w:w="100"/>
            </w:tcMar>
          </w:tcPr>
          <w:p>
            <w:r>
              <w:rPr>
                <w:b w:val="false"/>
                <w:bCs w:val="false"/>
                <w:color w:val="000000"/>
                <w:sz w:val="20"/>
                <w:szCs w:val="20"/>
              </w:rPr>
              <w:t xml:space="preserve">Damage deposit lifecycle, separate from the booking deposit.</w:t>
            </w:r>
          </w:p>
        </w:tc>
      </w:tr>
      <w:tr>
        <w:tc>
          <w:tcPr>
            <w:tcW w:type="dxa" w:w="1800"/>
            <w:tcMar>
              <w:top w:type="dxa" w:w="80"/>
              <w:left w:type="dxa" w:w="100"/>
              <w:bottom w:type="dxa" w:w="80"/>
              <w:right w:type="dxa" w:w="100"/>
            </w:tcMar>
          </w:tcPr>
          <w:p>
            <w:r>
              <w:rPr>
                <w:b w:val="false"/>
                <w:bCs w:val="false"/>
                <w:color w:val="000000"/>
                <w:sz w:val="20"/>
                <w:szCs w:val="20"/>
              </w:rPr>
              <w:t xml:space="preserve">handover_records (new)</w:t>
            </w:r>
          </w:p>
        </w:tc>
        <w:tc>
          <w:tcPr>
            <w:tcW w:type="dxa" w:w="4300"/>
            <w:tcMar>
              <w:top w:type="dxa" w:w="80"/>
              <w:left w:type="dxa" w:w="100"/>
              <w:bottom w:type="dxa" w:w="80"/>
              <w:right w:type="dxa" w:w="100"/>
            </w:tcMar>
          </w:tcPr>
          <w:p>
            <w:r>
              <w:rPr>
                <w:b w:val="false"/>
                <w:bCs w:val="false"/>
                <w:color w:val="000000"/>
                <w:sz w:val="20"/>
                <w:szCs w:val="20"/>
              </w:rPr>
              <w:t xml:space="preserve">id, booking_id (FK), type (PICKUP/RETURN), recorded_by (customer/dealer), photo_urls[], mileage, fuel_level, notes, created_at.</w:t>
            </w:r>
          </w:p>
        </w:tc>
        <w:tc>
          <w:tcPr>
            <w:tcW w:type="dxa" w:w="3100"/>
            <w:tcMar>
              <w:top w:type="dxa" w:w="80"/>
              <w:left w:type="dxa" w:w="100"/>
              <w:bottom w:type="dxa" w:w="80"/>
              <w:right w:type="dxa" w:w="100"/>
            </w:tcMar>
          </w:tcPr>
          <w:p>
            <w:r>
              <w:rPr>
                <w:b w:val="false"/>
                <w:bCs w:val="false"/>
                <w:color w:val="000000"/>
                <w:sz w:val="20"/>
                <w:szCs w:val="20"/>
              </w:rPr>
              <w:t xml:space="preserve">Condition documentation at both ends of the rental.</w:t>
            </w:r>
          </w:p>
        </w:tc>
      </w:tr>
      <w:tr>
        <w:tc>
          <w:tcPr>
            <w:tcW w:type="dxa" w:w="1800"/>
            <w:tcMar>
              <w:top w:type="dxa" w:w="80"/>
              <w:left w:type="dxa" w:w="100"/>
              <w:bottom w:type="dxa" w:w="80"/>
              <w:right w:type="dxa" w:w="100"/>
            </w:tcMar>
          </w:tcPr>
          <w:p>
            <w:r>
              <w:rPr>
                <w:b w:val="false"/>
                <w:bCs w:val="false"/>
                <w:color w:val="000000"/>
                <w:sz w:val="20"/>
                <w:szCs w:val="20"/>
              </w:rPr>
              <w:t xml:space="preserve">commissions (new)</w:t>
            </w:r>
          </w:p>
        </w:tc>
        <w:tc>
          <w:tcPr>
            <w:tcW w:type="dxa" w:w="4300"/>
            <w:tcMar>
              <w:top w:type="dxa" w:w="80"/>
              <w:left w:type="dxa" w:w="100"/>
              <w:bottom w:type="dxa" w:w="80"/>
              <w:right w:type="dxa" w:w="100"/>
            </w:tcMar>
          </w:tcPr>
          <w:p>
            <w:r>
              <w:rPr>
                <w:b w:val="false"/>
                <w:bCs w:val="false"/>
                <w:color w:val="000000"/>
                <w:sz w:val="20"/>
                <w:szCs w:val="20"/>
              </w:rPr>
              <w:t xml:space="preserve">id, booking_id (FK), rate_applied, amount, dealer_payout_amount, payout_status, paid_out_at.</w:t>
            </w:r>
          </w:p>
        </w:tc>
        <w:tc>
          <w:tcPr>
            <w:tcW w:type="dxa" w:w="3100"/>
            <w:tcMar>
              <w:top w:type="dxa" w:w="80"/>
              <w:left w:type="dxa" w:w="100"/>
              <w:bottom w:type="dxa" w:w="80"/>
              <w:right w:type="dxa" w:w="100"/>
            </w:tcMar>
          </w:tcPr>
          <w:p>
            <w:r>
              <w:rPr>
                <w:b w:val="false"/>
                <w:bCs w:val="false"/>
                <w:color w:val="000000"/>
                <w:sz w:val="20"/>
                <w:szCs w:val="20"/>
              </w:rPr>
              <w:t xml:space="preserve">Commission + payout tracking (Section 2).</w:t>
            </w:r>
          </w:p>
        </w:tc>
      </w:tr>
    </w:tbl>
    <w:p>
      <w:pPr>
        <w:pStyle w:val="Heading1"/>
        <w:spacing w:after="200" w:before="400"/>
      </w:pPr>
      <w:r>
        <w:t xml:space="preserve">7. Security &amp; Legal Considerations</w:t>
      </w:r>
    </w:p>
    <w:p>
      <w:pPr>
        <w:pStyle w:val="ListParagraph"/>
        <w:numPr>
          <w:ilvl w:val="0"/>
          <w:numId w:val="2"/>
        </w:numPr>
        <w:spacing w:after="60"/>
      </w:pPr>
      <w:r>
        <w:t xml:space="preserve">ID/license documents are sensitive personal data — store them in access-controlled object storage, never public URLs like car images; generate short-lived signed URLs only when a dealer with an active booking request needs to view them.</w:t>
      </w:r>
    </w:p>
    <w:p>
      <w:pPr>
        <w:pStyle w:val="ListParagraph"/>
        <w:numPr>
          <w:ilvl w:val="0"/>
          <w:numId w:val="2"/>
        </w:numPr>
        <w:spacing w:after="60"/>
      </w:pPr>
      <w:r>
        <w:t xml:space="preserve">Retention policy: define how long ID/license documents are kept after a booking completes, and delete on account deletion requests per data-protection norms.</w:t>
      </w:r>
    </w:p>
    <w:p>
      <w:pPr>
        <w:pStyle w:val="ListParagraph"/>
        <w:numPr>
          <w:ilvl w:val="0"/>
          <w:numId w:val="2"/>
        </w:numPr>
        <w:spacing w:after="60"/>
      </w:pPr>
      <w:r>
        <w:t xml:space="preserve">Dealer commercial documents (Section 3.1) same treatment — private storage, visible only to Admin.</w:t>
      </w:r>
    </w:p>
    <w:p>
      <w:pPr>
        <w:pStyle w:val="ListParagraph"/>
        <w:numPr>
          <w:ilvl w:val="0"/>
          <w:numId w:val="2"/>
        </w:numPr>
        <w:spacing w:after="60"/>
      </w:pPr>
      <w:r>
        <w:t xml:space="preserve">Payment card data: never touches your servers directly — use the payment provider's hosted fields/SDK (Stripe Elements or equivalent) exactly as in v1.1 Section 12.5.</w:t>
      </w:r>
    </w:p>
    <w:p>
      <w:pPr>
        <w:pStyle w:val="ListParagraph"/>
        <w:numPr>
          <w:ilvl w:val="0"/>
          <w:numId w:val="2"/>
        </w:numPr>
        <w:spacing w:after="60"/>
      </w:pPr>
      <w:r>
        <w:t xml:space="preserve">Consider consulting a local lawyer on Jordan's data protection and consumer-facing e-commerce requirements before public launch — this is outside what a technical document can cover.</w:t>
      </w:r>
    </w:p>
    <w:p>
      <w:pPr>
        <w:pStyle w:val="Heading1"/>
        <w:spacing w:after="200" w:before="400"/>
      </w:pPr>
      <w:r>
        <w:t xml:space="preserve">8. Suggested MVP Scope</w:t>
      </w:r>
    </w:p>
    <w:p>
      <w:pPr>
        <w:spacing w:after="120"/>
      </w:pPr>
      <w:r>
        <w:t xml:space="preserve">To reach a launchable product faster, consider deferring these to Phase 2 rather than building everything at once: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Feature</w:t>
            </w:r>
          </w:p>
        </w:tc>
        <w:tc>
          <w:tcPr>
            <w:tcW w:type="dxa" w:w="3400"/>
            <w:shd w:fill="1F3864" w:val="clear"/>
            <w:tcMar>
              <w:top w:type="dxa" w:w="80"/>
              <w:left w:type="dxa" w:w="100"/>
              <w:bottom w:type="dxa" w:w="80"/>
              <w:right w:type="dxa" w:w="100"/>
            </w:tcMar>
          </w:tcPr>
          <w:p>
            <w:r>
              <w:rPr>
                <w:b/>
                <w:bCs/>
                <w:color w:val="FFFFFF"/>
                <w:sz w:val="20"/>
                <w:szCs w:val="20"/>
              </w:rPr>
              <w:t xml:space="preserve">MVP (v1 launch)</w:t>
            </w:r>
          </w:p>
        </w:tc>
        <w:tc>
          <w:tcPr>
            <w:tcW w:type="dxa" w:w="3800"/>
            <w:shd w:fill="1F3864" w:val="clear"/>
            <w:tcMar>
              <w:top w:type="dxa" w:w="80"/>
              <w:left w:type="dxa" w:w="100"/>
              <w:bottom w:type="dxa" w:w="80"/>
              <w:right w:type="dxa" w:w="100"/>
            </w:tcMar>
          </w:tcPr>
          <w:p>
            <w:r>
              <w:rPr>
                <w:b/>
                <w:bCs/>
                <w:color w:val="FFFFFF"/>
                <w:sz w:val="20"/>
                <w:szCs w:val="20"/>
              </w:rPr>
              <w:t xml:space="preserve">Phase 2</w:t>
            </w:r>
          </w:p>
        </w:tc>
      </w:tr>
      <w:tr>
        <w:tc>
          <w:tcPr>
            <w:tcW w:type="dxa" w:w="2000"/>
            <w:tcMar>
              <w:top w:type="dxa" w:w="80"/>
              <w:left w:type="dxa" w:w="100"/>
              <w:bottom w:type="dxa" w:w="80"/>
              <w:right w:type="dxa" w:w="100"/>
            </w:tcMar>
          </w:tcPr>
          <w:p>
            <w:r>
              <w:rPr>
                <w:b w:val="false"/>
                <w:bCs w:val="false"/>
                <w:color w:val="000000"/>
                <w:sz w:val="20"/>
                <w:szCs w:val="20"/>
              </w:rPr>
              <w:t xml:space="preserve">Delivery</w:t>
            </w:r>
          </w:p>
        </w:tc>
        <w:tc>
          <w:tcPr>
            <w:tcW w:type="dxa" w:w="3400"/>
            <w:tcMar>
              <w:top w:type="dxa" w:w="80"/>
              <w:left w:type="dxa" w:w="100"/>
              <w:bottom w:type="dxa" w:w="80"/>
              <w:right w:type="dxa" w:w="100"/>
            </w:tcMar>
          </w:tcPr>
          <w:p>
            <w:r>
              <w:rPr>
                <w:b w:val="false"/>
                <w:bCs w:val="false"/>
                <w:color w:val="000000"/>
                <w:sz w:val="20"/>
                <w:szCs w:val="20"/>
              </w:rPr>
              <w:t xml:space="preserve">Self-pickup only</w:t>
            </w:r>
          </w:p>
        </w:tc>
        <w:tc>
          <w:tcPr>
            <w:tcW w:type="dxa" w:w="3800"/>
            <w:tcMar>
              <w:top w:type="dxa" w:w="80"/>
              <w:left w:type="dxa" w:w="100"/>
              <w:bottom w:type="dxa" w:w="80"/>
              <w:right w:type="dxa" w:w="100"/>
            </w:tcMar>
          </w:tcPr>
          <w:p>
            <w:r>
              <w:rPr>
                <w:b w:val="false"/>
                <w:bCs w:val="false"/>
                <w:color w:val="000000"/>
                <w:sz w:val="20"/>
                <w:szCs w:val="20"/>
              </w:rPr>
              <w:t xml:space="preserve">Delivery + radius/fee logic</w:t>
            </w:r>
          </w:p>
        </w:tc>
      </w:tr>
      <w:tr>
        <w:tc>
          <w:tcPr>
            <w:tcW w:type="dxa" w:w="2000"/>
            <w:tcMar>
              <w:top w:type="dxa" w:w="80"/>
              <w:left w:type="dxa" w:w="100"/>
              <w:bottom w:type="dxa" w:w="80"/>
              <w:right w:type="dxa" w:w="100"/>
            </w:tcMar>
          </w:tcPr>
          <w:p>
            <w:r>
              <w:rPr>
                <w:b w:val="false"/>
                <w:bCs w:val="false"/>
                <w:color w:val="000000"/>
                <w:sz w:val="20"/>
                <w:szCs w:val="20"/>
              </w:rPr>
              <w:t xml:space="preserve">Employee permissions</w:t>
            </w:r>
          </w:p>
        </w:tc>
        <w:tc>
          <w:tcPr>
            <w:tcW w:type="dxa" w:w="3400"/>
            <w:tcMar>
              <w:top w:type="dxa" w:w="80"/>
              <w:left w:type="dxa" w:w="100"/>
              <w:bottom w:type="dxa" w:w="80"/>
              <w:right w:type="dxa" w:w="100"/>
            </w:tcMar>
          </w:tcPr>
          <w:p>
            <w:r>
              <w:rPr>
                <w:b w:val="false"/>
                <w:bCs w:val="false"/>
                <w:color w:val="000000"/>
                <w:sz w:val="20"/>
                <w:szCs w:val="20"/>
              </w:rPr>
              <w:t xml:space="preserve">Single flat permission (approve/reject only)</w:t>
            </w:r>
          </w:p>
        </w:tc>
        <w:tc>
          <w:tcPr>
            <w:tcW w:type="dxa" w:w="3800"/>
            <w:tcMar>
              <w:top w:type="dxa" w:w="80"/>
              <w:left w:type="dxa" w:w="100"/>
              <w:bottom w:type="dxa" w:w="80"/>
              <w:right w:type="dxa" w:w="100"/>
            </w:tcMar>
          </w:tcPr>
          <w:p>
            <w:r>
              <w:rPr>
                <w:b w:val="false"/>
                <w:bCs w:val="false"/>
                <w:color w:val="000000"/>
                <w:sz w:val="20"/>
                <w:szCs w:val="20"/>
              </w:rPr>
              <w:t xml:space="preserve">Granular permissions incl. report visibility</w:t>
            </w:r>
          </w:p>
        </w:tc>
      </w:tr>
      <w:tr>
        <w:tc>
          <w:tcPr>
            <w:tcW w:type="dxa" w:w="2000"/>
            <w:tcMar>
              <w:top w:type="dxa" w:w="80"/>
              <w:left w:type="dxa" w:w="100"/>
              <w:bottom w:type="dxa" w:w="80"/>
              <w:right w:type="dxa" w:w="100"/>
            </w:tcMar>
          </w:tcPr>
          <w:p>
            <w:r>
              <w:rPr>
                <w:b w:val="false"/>
                <w:bCs w:val="false"/>
                <w:color w:val="000000"/>
                <w:sz w:val="20"/>
                <w:szCs w:val="20"/>
              </w:rPr>
              <w:t xml:space="preserve">Reports</w:t>
            </w:r>
          </w:p>
        </w:tc>
        <w:tc>
          <w:tcPr>
            <w:tcW w:type="dxa" w:w="3400"/>
            <w:tcMar>
              <w:top w:type="dxa" w:w="80"/>
              <w:left w:type="dxa" w:w="100"/>
              <w:bottom w:type="dxa" w:w="80"/>
              <w:right w:type="dxa" w:w="100"/>
            </w:tcMar>
          </w:tcPr>
          <w:p>
            <w:r>
              <w:rPr>
                <w:b w:val="false"/>
                <w:bCs w:val="false"/>
                <w:color w:val="000000"/>
                <w:sz w:val="20"/>
                <w:szCs w:val="20"/>
              </w:rPr>
              <w:t xml:space="preserve">Simple totals (bookings, revenue)</w:t>
            </w:r>
          </w:p>
        </w:tc>
        <w:tc>
          <w:tcPr>
            <w:tcW w:type="dxa" w:w="3800"/>
            <w:tcMar>
              <w:top w:type="dxa" w:w="80"/>
              <w:left w:type="dxa" w:w="100"/>
              <w:bottom w:type="dxa" w:w="80"/>
              <w:right w:type="dxa" w:w="100"/>
            </w:tcMar>
          </w:tcPr>
          <w:p>
            <w:r>
              <w:rPr>
                <w:b w:val="false"/>
                <w:bCs w:val="false"/>
                <w:color w:val="000000"/>
                <w:sz w:val="20"/>
                <w:szCs w:val="20"/>
              </w:rPr>
              <w:t xml:space="preserve">Charts, trends, per-car occupancy analytics</w:t>
            </w:r>
          </w:p>
        </w:tc>
      </w:tr>
      <w:tr>
        <w:tc>
          <w:tcPr>
            <w:tcW w:type="dxa" w:w="2000"/>
            <w:tcMar>
              <w:top w:type="dxa" w:w="80"/>
              <w:left w:type="dxa" w:w="100"/>
              <w:bottom w:type="dxa" w:w="80"/>
              <w:right w:type="dxa" w:w="100"/>
            </w:tcMar>
          </w:tcPr>
          <w:p>
            <w:r>
              <w:rPr>
                <w:b w:val="false"/>
                <w:bCs w:val="false"/>
                <w:color w:val="000000"/>
                <w:sz w:val="20"/>
                <w:szCs w:val="20"/>
              </w:rPr>
              <w:t xml:space="preserve">Damage disputes</w:t>
            </w:r>
          </w:p>
        </w:tc>
        <w:tc>
          <w:tcPr>
            <w:tcW w:type="dxa" w:w="3400"/>
            <w:tcMar>
              <w:top w:type="dxa" w:w="80"/>
              <w:left w:type="dxa" w:w="100"/>
              <w:bottom w:type="dxa" w:w="80"/>
              <w:right w:type="dxa" w:w="100"/>
            </w:tcMar>
          </w:tcPr>
          <w:p>
            <w:r>
              <w:rPr>
                <w:b w:val="false"/>
                <w:bCs w:val="false"/>
                <w:color w:val="000000"/>
                <w:sz w:val="20"/>
                <w:szCs w:val="20"/>
              </w:rPr>
              <w:t xml:space="preserve">Manual Admin review via handover photos</w:t>
            </w:r>
          </w:p>
        </w:tc>
        <w:tc>
          <w:tcPr>
            <w:tcW w:type="dxa" w:w="3800"/>
            <w:tcMar>
              <w:top w:type="dxa" w:w="80"/>
              <w:left w:type="dxa" w:w="100"/>
              <w:bottom w:type="dxa" w:w="80"/>
              <w:right w:type="dxa" w:w="100"/>
            </w:tcMar>
          </w:tcPr>
          <w:p>
            <w:r>
              <w:rPr>
                <w:b w:val="false"/>
                <w:bCs w:val="false"/>
                <w:color w:val="000000"/>
                <w:sz w:val="20"/>
                <w:szCs w:val="20"/>
              </w:rPr>
              <w:t xml:space="preserve">Structured claim workflow with timers/escalation</w:t>
            </w:r>
          </w:p>
        </w:tc>
      </w:tr>
      <w:tr>
        <w:tc>
          <w:tcPr>
            <w:tcW w:type="dxa" w:w="2000"/>
            <w:tcMar>
              <w:top w:type="dxa" w:w="80"/>
              <w:left w:type="dxa" w:w="100"/>
              <w:bottom w:type="dxa" w:w="80"/>
              <w:right w:type="dxa" w:w="100"/>
            </w:tcMar>
          </w:tcPr>
          <w:p>
            <w:r>
              <w:rPr>
                <w:b w:val="false"/>
                <w:bCs w:val="false"/>
                <w:color w:val="000000"/>
                <w:sz w:val="20"/>
                <w:szCs w:val="20"/>
              </w:rPr>
              <w:t xml:space="preserve">International support</w:t>
            </w:r>
          </w:p>
        </w:tc>
        <w:tc>
          <w:tcPr>
            <w:tcW w:type="dxa" w:w="3400"/>
            <w:tcMar>
              <w:top w:type="dxa" w:w="80"/>
              <w:left w:type="dxa" w:w="100"/>
              <w:bottom w:type="dxa" w:w="80"/>
              <w:right w:type="dxa" w:w="100"/>
            </w:tcMar>
          </w:tcPr>
          <w:p>
            <w:r>
              <w:rPr>
                <w:b w:val="false"/>
                <w:bCs w:val="false"/>
                <w:color w:val="000000"/>
                <w:sz w:val="20"/>
                <w:szCs w:val="20"/>
              </w:rPr>
              <w:t xml:space="preserve">Passport + IDP upload, English UI</w:t>
            </w:r>
          </w:p>
        </w:tc>
        <w:tc>
          <w:tcPr>
            <w:tcW w:type="dxa" w:w="3800"/>
            <w:tcMar>
              <w:top w:type="dxa" w:w="80"/>
              <w:left w:type="dxa" w:w="100"/>
              <w:bottom w:type="dxa" w:w="80"/>
              <w:right w:type="dxa" w:w="100"/>
            </w:tcMar>
          </w:tcPr>
          <w:p>
            <w:r>
              <w:rPr>
                <w:b w:val="false"/>
                <w:bCs w:val="false"/>
                <w:color w:val="000000"/>
                <w:sz w:val="20"/>
                <w:szCs w:val="20"/>
              </w:rPr>
              <w:t xml:space="preserve">Multi-currency display, more languages</w:t>
            </w:r>
          </w:p>
        </w:tc>
      </w:tr>
    </w:tbl>
    <w:p>
      <w:r>
        <w:br w:type="page"/>
      </w:r>
    </w:p>
    <w:p>
      <w:pPr>
        <w:pStyle w:val="Heading1"/>
        <w:spacing w:after="200" w:before="400"/>
      </w:pPr>
      <w:r>
        <w:t xml:space="preserve">9. Summary</w:t>
      </w:r>
    </w:p>
    <w:p>
      <w:pPr>
        <w:spacing w:after="120"/>
      </w:pPr>
      <w:r>
        <w:t xml:space="preserve">This version reframes the platform around the real operating model of licensed Jordanian rental offices: an Admin who gatekeeps legitimacy, an Owner who runs the business, Employees who handle day-to-day requests, and Customers who need to be verified and covered by clear financial and liability terms. The technical patterns from v1.1 (layered architecture, security rules, error handling, pagination) still apply — what changed is the business layer wrapped around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2E74B5"/>
      <w:sz w:val="26"/>
      <w:szCs w:val="26"/>
    </w:rPr>
  </w:style>
  <w:style w:type="paragraph" w:styleId="Heading3">
    <w:name w:val="Heading 3"/>
    <w:basedOn w:val="Normal"/>
    <w:next w:val="Normal"/>
    <w:qFormat/>
    <w:pPr>
      <w:spacing w:after="100" w:before="200"/>
      <w:outlineLvl w:val="2"/>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2026-08-25T23:11:34.368Z</dcterms:created>
  <dcterms:modified xsi:type="dcterms:W3CDTF">2026-08-25T23:11:34.380Z</dcterms:modified>
</cp:coreProperties>
</file>

<file path=docProps/custom.xml><?xml version="1.0" encoding="utf-8"?>
<Properties xmlns="http://schemas.openxmlformats.org/officeDocument/2006/custom-properties" xmlns:vt="http://schemas.openxmlformats.org/officeDocument/2006/docPropsVTypes"/>
</file>