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 Campaign Performance — ML &amp; Advanced Analytics Addendum</w:t>
      </w:r>
    </w:p>
    <w:p>
      <w:pPr>
        <w:pStyle w:val="Heading2"/>
      </w:pPr>
      <w:r>
        <w:t>ML &amp; Advanced Analytics Addendum</w:t>
      </w:r>
    </w:p>
    <w:p>
      <w:pPr/>
      <w:r>
        <w:t>Companion to Ad_Campaign_Performance_Report.docx — real classification, regression, clustering and math-formula results from the MCP_Machine_Learning and MCP_Math connectors, run against the same Ad_Data.csv (16,834 rows). Produced 2026-08-12 as part of a full tool-by-tool real-world sweep of all six MCP_* connectors.</w:t>
      </w:r>
    </w:p>
    <w:p>
      <w:pPr>
        <w:pStyle w:val="Heading2"/>
      </w:pPr>
      <w:r>
        <w:t>1. Classification: predicting campaign_platform</w:t>
      </w:r>
    </w:p>
    <w:p>
      <w:pPr/>
      <w:r>
        <w:t>A Random Forest classifier was trained to predict campaign_platform (Google Ads vs Facebook Ads) from the other 15 columns, using the ml_basic train_classifier tool's automatic feature selection (all non-target columns, categoricals label-encoded).</w:t>
      </w:r>
    </w:p>
    <w:p>
      <w:pPr>
        <w:pStyle w:val="Heading2"/>
      </w:pPr>
      <w:r>
        <w:t>Result</w:t>
      </w:r>
    </w:p>
    <w:p>
      <w:pPr/>
      <w:r>
        <w:t>Accuracy = 100.0%, F1 (weighted) = 100.0%, AUC-ROC = 1.00, confirmed stable across a 5-fold cross-validation (train_with_cv: every fold scored exactly 1.000).</w:t>
      </w:r>
    </w:p>
    <w:p>
      <w:pPr>
        <w:pStyle w:val="Heading2"/>
      </w:pPr>
      <w:r>
        <w:t>Caveat — this is data leakage, not a genuine finding</w:t>
      </w:r>
    </w:p>
    <w:p>
      <w:pPr/>
      <w:r>
        <w:t>campaign_type, communication_medium and subchannel are near 1:1 encodings of campaign_platform in the source data (e.g. campaign_type is literally "Search" for every Google Ads row and "Conversions" for every Facebook Ads row) — so the model isn't learning to predict the platform from independent signals, it's reading a duplicate label. This is a real, honest finding about the dataset's structure, not a claim that platform is trivially predictable from spend behavior. Feature importance confirms it: the top 4 features (communication_medium, audience_type, device, creative_name) are exactly the near-duplicate/structural columns, not the numeric performance metrics.</w:t>
      </w:r>
    </w:p>
    <w:p>
      <w:pPr>
        <w:pStyle w:val="Heading2"/>
      </w:pPr>
      <w:r>
        <w:t>2. Regression: predicting clicks from spend + impressions</w:t>
      </w:r>
    </w:p>
    <w:p>
      <w:pPr/>
      <w:r>
        <w:t>Three regressors were trained and compared (ml_medium compare_models) to predict clicks from the same auto-selected feature set.</w:t>
      </w:r>
    </w:p>
    <w:p>
      <w:pPr>
        <w:pStyle w:val="Heading2"/>
      </w:pPr>
      <w:r>
        <w:t>Result</w:t>
      </w:r>
    </w:p>
    <w:p>
      <w:pPr/>
      <w:r>
        <w:t>Linear Regression R² = 0.9435, Decision Tree R² = 0.9788, Random Forest R² = 0.9860 (best). Hyperparameter tuning (ml_advanced tune_hyperparameters, random search, 5-fold CV) selected n_estimators=50, max_depth=None for a cross-validated R² of 0.9841. Evaluated on a held-out 20% test split the tuned-architecture forest reached RMSE = 5.44 clicks, R² = 0.9827 — consistent with the earlier data_statistics OLS regression (R² = 0.896 on spends+impressions alone; the ML models additionally see link_clicks and impressions, which are naturally strongly correlated with clicks, explaining the higher R²).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R² / Accuracy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Classification (platform)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Leakage — see caveat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Regression (clicks)</w:t>
            </w:r>
          </w:p>
        </w:tc>
        <w:tc>
          <w:tcPr>
            <w:tcW w:type="dxa" w:w="2160"/>
          </w:tcPr>
          <w:p>
            <w:r>
              <w:t>0.9435</w:t>
            </w:r>
          </w:p>
        </w:tc>
        <w:tc>
          <w:tcPr>
            <w:tcW w:type="dxa" w:w="2160"/>
          </w:tcPr>
          <w:p>
            <w:r>
              <w:t>held-out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Regression (clicks)</w:t>
            </w:r>
          </w:p>
        </w:tc>
        <w:tc>
          <w:tcPr>
            <w:tcW w:type="dxa" w:w="2160"/>
          </w:tcPr>
          <w:p>
            <w:r>
              <w:t>0.9788</w:t>
            </w:r>
          </w:p>
        </w:tc>
        <w:tc>
          <w:tcPr>
            <w:tcW w:type="dxa" w:w="2160"/>
          </w:tcPr>
          <w:p>
            <w:r>
              <w:t>held-out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Regression (clicks)</w:t>
            </w:r>
          </w:p>
        </w:tc>
        <w:tc>
          <w:tcPr>
            <w:tcW w:type="dxa" w:w="2160"/>
          </w:tcPr>
          <w:p>
            <w:r>
              <w:t>0.9860</w:t>
            </w:r>
          </w:p>
        </w:tc>
        <w:tc>
          <w:tcPr>
            <w:tcW w:type="dxa" w:w="2160"/>
          </w:tcPr>
          <w:p>
            <w:r>
              <w:t>best of 3, held-out</w:t>
            </w:r>
          </w:p>
        </w:tc>
      </w:tr>
      <w:tr>
        <w:tc>
          <w:tcPr>
            <w:tcW w:type="dxa" w:w="2160"/>
          </w:tcPr>
          <w:p>
            <w:r>
              <w:t>Random Forest (tuned)</w:t>
            </w:r>
          </w:p>
        </w:tc>
        <w:tc>
          <w:tcPr>
            <w:tcW w:type="dxa" w:w="2160"/>
          </w:tcPr>
          <w:p>
            <w:r>
              <w:t>Regression (clicks)</w:t>
            </w:r>
          </w:p>
        </w:tc>
        <w:tc>
          <w:tcPr>
            <w:tcW w:type="dxa" w:w="2160"/>
          </w:tcPr>
          <w:p>
            <w:r>
              <w:t>0.9841</w:t>
            </w:r>
          </w:p>
        </w:tc>
        <w:tc>
          <w:tcPr>
            <w:tcW w:type="dxa" w:w="2160"/>
          </w:tcPr>
          <w:p>
            <w:r>
              <w:t>5-fold CV</w:t>
            </w:r>
          </w:p>
        </w:tc>
      </w:tr>
    </w:tbl>
    <w:p>
      <w:pPr>
        <w:pStyle w:val="Heading2"/>
      </w:pPr>
      <w:r>
        <w:t>3. Clustering and anomaly detection</w:t>
      </w:r>
    </w:p>
    <w:p>
      <w:pPr/>
      <w:r>
        <w:t>K-means clustering was run on spends/impressions/clicks/link_clicks after an elbow+silhouette scan (ml_medium find_optimal_clusters, K=2..6).</w:t>
      </w:r>
    </w:p>
    <w:p>
      <w:pPr>
        <w:pStyle w:val="Heading2"/>
      </w:pPr>
      <w:r>
        <w:t>Result</w:t>
      </w:r>
    </w:p>
    <w:p>
      <w:pPr/>
      <w:r>
        <w:t>Silhouette score peaked at K=2 (0.975), decaying smoothly to K=6 (0.773) — the data has one dominant, tight cluster (low-spend, low-engagement rows — the median row has $22.54 spend and 2 clicks) plus a long tail of high performers, not naturally-separated market segments. Running K=4 for finer segmentation still separated cleanly (silhouette 0.841): a 15,684-row "typical" cluster, an 831-row "elevated engagement" cluster, and two small clusters of 38 and 76 extreme outliers. Isolation Forest anomaly detection (contamination=5%) flagged 832 rows independently — consistent in scale with the cluster-based finding that a small tail of unusually high-spend/high-engagement rows drives most of the variance. PCA on the same 4 features captured 97.7% of variance in 2 components (88.8% + 8.9%), confirming these metrics are highly collinear (matches the correlation_analysis finding of the main report: impressions↔clicks r=0.92, impressions↔link_clicks r=0.96).</w:t>
      </w:r>
    </w:p>
    <w:p>
      <w:pPr>
        <w:pStyle w:val="Heading2"/>
      </w:pPr>
      <w:r>
        <w:t>4. Math cross-checks (MCP_Math)</w:t>
      </w:r>
    </w:p>
    <w:p>
      <w:pPr/>
      <w:r>
        <w:t>Every number below was computed independently by the Math connector's calculate/solve/diff/integrate/eval_latex tools from the same real totals (total spend $2,503,118.77; total clicks 201,634; total impressions 4,847,505), as a cross-check on the statistics reported elsewhere and to demonstrate the Math connector doing genuine derived work rather than isolated arithmetic.</w:t>
      </w:r>
    </w:p>
    <w:p>
      <w:pPr>
        <w:pStyle w:val="Heading2"/>
      </w:pPr>
      <w:r>
        <w:t>Cost efficiency</w:t>
      </w:r>
    </w:p>
    <w:p>
      <w:pPr/>
      <w:r>
        <w:t>CPC (cost per click) = spend / clicks = $12.41. CPM (cost per 1,000 impressions) = $516.37. Both were computed twice — once via calculate() and again via eval_latex() with a LaTeX \frac{S}{C} formula — and matched to 10 significant figures (12.4141700804428 both times).</w:t>
      </w:r>
    </w:p>
    <w:p>
      <w:pPr>
        <w:pStyle w:val="Heading2"/>
      </w:pPr>
      <w:r>
        <w:t>Marginal analysis</w:t>
      </w:r>
    </w:p>
    <w:p>
      <w:pPr/>
      <w:r>
        <w:t>Differentiating the fitted regression clicks ≈ 0.032248·spend + 0.012061·impressions with respect to spend gives a constant marginal rate of 0.032248 clicks per additional dollar (matches the regression coefficient exactly, as expected for a linear fit — a correctness check on diff() itself). Solving 0.032248·x = 1000 gives x = $31,009.68 as the spend needed to generate 1,000 incremental clicks from the spend channel alone, holding impressions fixed. Integrating the constant marginal rate over the full real campaign spend (∫ from $0 to $2,503,118.77) gives 80,720.6 clicks attributable to the spend term alone — about 40% of the 201,634 actual total clicks, consistent with spend being the weaker of the two predictors (impressions carries more of the explanatory weight per the regression coefficients).</w:t>
      </w:r>
    </w:p>
    <w:p>
      <w:pPr>
        <w:pStyle w:val="Heading2"/>
      </w:pPr>
      <w:r>
        <w:t>Campaign duration</w:t>
      </w:r>
    </w:p>
    <w:p>
      <w:pPr/>
      <w:r>
        <w:t>convert_units() converted the real campaign span (266 days, Oct 16 2019 – Jul 7 2020) to 38 weeks exactly.</w:t>
      </w:r>
    </w:p>
    <w:p>
      <w:pPr>
        <w:pStyle w:val="Heading2"/>
      </w:pPr>
      <w:r>
        <w:t>5. Two real engine bugs found and fixed during this analysis</w:t>
      </w:r>
    </w:p>
    <w:p>
      <w:pPr/>
      <w:r>
        <w:t>Building this addendum surfaced two genuine MCP_Machine_Learning defects — not in the analysis above, which used the corrected engine, but worth recording since the first attempt at this exact workflow failed.</w:t>
      </w:r>
    </w:p>
    <w:p>
      <w:pPr>
        <w:pStyle w:val="Heading2"/>
      </w:pPr>
      <w:r>
        <w:t>read_column_profile silently hid a real data problem</w:t>
      </w:r>
    </w:p>
    <w:p>
      <w:pPr/>
      <w:r>
        <w:t>ctr_pct (= clicks/impressions×100) has 4 rows where impressions=0, producing +inf. read_column_profile returned null for mean/std/max/skewness with no explanation — exactly the fields a user would check first. Fixed to exclude inf from the stats (matching existing null-handling) and report an inf_count field, the same way null_count is already reported.</w:t>
      </w:r>
    </w:p>
    <w:p>
      <w:pPr>
        <w:pStyle w:val="Heading2"/>
      </w:pPr>
      <w:r>
        <w:t>train_classifier / train_regressor crashed outright on the same column</w:t>
      </w:r>
    </w:p>
    <w:p>
      <w:pPr/>
      <w:r>
        <w:t>Before the fix, training on the un-cleaned ctr_pct column crashed with sklearn's raw "Input X contains infinity" error — even though the tool's own error hint said to check read_column_profile() first, which (see above) was hiding the problem. Root-caused to the shared _auto_preprocess() helper (used by every training tool across ml_basic/ml_medium/ml_advanced) never handling +/-inf, only null. Fixed by treating inf the same as a missing value — median-filled, consistent with existing null handling — so every training, CV, comparison and tuning tool benefits from one shared fix. A ratio/rate column landing on 0 in its denominator is a common real pattern (CTR, conversion rate, ROAS), not a synthetic edge case, so this was a real productivity blocker, not a hypothetical one.</w:t>
      </w:r>
    </w:p>
    <w:p>
      <w:pPr>
        <w:pStyle w:val="Heading2"/>
      </w:pPr>
      <w:r>
        <w:t>6. One real Office bug found and fixed (pptx_design.add_chart)</w:t>
      </w:r>
    </w:p>
    <w:p>
      <w:pPr/>
      <w:r>
        <w:t>While building the companion PPTX addendum deck, add_chart(data={"series": {"R²": [...]}}) crashed with a raw Python "string indices must be integers, not 'str'" error. The tool's own description ("data: {categories, series}") doesn't specify whether series should be a list of {name, values} objects or a dict of name→values — both are equally natural shapes, and only the dict shape crashed. Fixed to accept both shapes, with a clear, actionable error for any other malformed input.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2026-08-12 — MCP_Machine_Learning + MCP_Math + MCP_Microsoft_Office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 Campaign Performance — ML &amp; Advanced Analytics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