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August 2026 — How-To</w:t>
      </w:r>
    </w:p>
    <w:p>
      <w:pPr>
        <w:spacing w:after="240"/>
      </w:pPr>
      <w:r>
        <w:rPr>
          <w:i/>
          <w:iCs/>
          <w:sz w:val="26"/>
          <w:szCs w:val="26"/>
        </w:rPr>
        <w:t xml:space="preserve">Month 3: Transfer stress test and initial writing</w:t>
      </w:r>
    </w:p>
    <w:p>
      <w:pPr>
        <w:spacing w:after="240"/>
      </w:pPr>
      <w:r>
        <w:rPr>
          <w:i/>
          <w:iCs/>
        </w:rPr>
        <w:t xml:space="preserve">Goal for the month: run the pre-registered transfer experiment as a stress test of signal portability (not a generalization claim); analyze results against baselines; begin drafting the methodologically argued sections; end the summer with a defensible interim chapter draft, even if some sections (esp. UQ and discussion) remain incomplete. A weak or null transfer outcome is a publishable boundary result — plan for that outcome as well as a positive one.</w:t>
      </w:r>
    </w:p>
    <w:p>
      <w:pPr>
        <w:pStyle w:val="Heading1"/>
        <w:spacing w:after="180" w:before="360"/>
      </w:pPr>
      <w:r>
        <w:t xml:space="preserve">Prerequisites from July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three detectors fitted on Kerkrade with anomaly scores/flags.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Four-part evaluation protocol run on Kerkrade with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SMAP and API baselines computed.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Transfer sites ingested (at least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Transfer experiment pre-registered.</w:t>
      </w:r>
    </w:p>
    <w:p>
      <w:pPr>
        <w:pStyle w:val="Heading1"/>
        <w:spacing w:after="180" w:before="360"/>
      </w:pPr>
      <w:r>
        <w:t xml:space="preserve">Week 1 (August 1-7): Transfer stress test — execution</w:t>
      </w:r>
    </w:p>
    <w:p>
      <w:pPr>
        <w:pStyle w:val="Heading2"/>
        <w:spacing w:after="120" w:before="240"/>
      </w:pPr>
      <w:r>
        <w:t xml:space="preserve">Task 1.1 — Train transfer-ready model(s) at Kerkrade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The transfer model deploys what was learned at Kerkrade to other sites. The training procedure has to be defined precisely so it can run at sites that lack CO2 sensors.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Recommended specification: at Kerkrade, train each of the three detectors on the *non-CO2* feature set only (weather + pressure tendency + PM if available at transfer sites). This is the configuration that can be deployed at sites without CO2. The Kerkrade CO2 is the training label proxy — anomalous CO2 windows are the positives. Note: this is now a supervised or semi-supervised setup; reconcile with the unsupervised IF / Kalman framing in the methods chapter.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Three trained-transfer models: sarimax-transfer.pkl, kalman-transfer.pkl, iforest-transfer.pkl. Documented training procedure.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days.</w:t>
      </w:r>
    </w:p>
    <w:p>
      <w:pPr>
        <w:pStyle w:val="Heading2"/>
        <w:spacing w:after="120" w:before="240"/>
      </w:pPr>
      <w:r>
        <w:t xml:space="preserve">Task 1.2 — Deploy at each transfer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For each transfer site (Maastricht, Roermond, Liège, Aachen, Charleville-Mézières or whichever subset is in hand): feed the site's non-CO2 features through each trained transfer model. Output an anomaly score time series for each (site, model) pair.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data/processed/transfer-anomalies/{site}-{model}.csv. Plot of anomaly scores per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 day.</w:t>
      </w:r>
    </w:p>
    <w:p>
      <w:pPr>
        <w:pStyle w:val="Heading2"/>
        <w:spacing w:after="120" w:before="240"/>
      </w:pPr>
      <w:r>
        <w:t xml:space="preserve">Task 1.3 — Build per-site soft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Need labels at each transfer site to evaluate against. Same soft-label methodology as Kerkrade (discharge percentile).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For each transfer site, identify the nearest discharge gauge with continuous Jan 2025-present data. Mark ≥90th and ≥95th percentile events. Define antecedent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data/processed/events-{site}.csv per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 day total across sites.</w:t>
      </w:r>
    </w:p>
    <w:p>
      <w:pPr>
        <w:pStyle w:val="Heading1"/>
        <w:spacing w:after="180" w:before="360"/>
      </w:pPr>
      <w:r>
        <w:t xml:space="preserve">Week 2 (August 8-14): Transfer results analysis</w:t>
      </w:r>
    </w:p>
    <w:p>
      <w:pPr>
        <w:pStyle w:val="Heading2"/>
        <w:spacing w:after="120" w:before="240"/>
      </w:pPr>
      <w:r>
        <w:t xml:space="preserve">Task 2.1 — Run pre-registered evaluation at each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Apply the same four-part protocol from July to each transfer site's anomaly scores. Report results per site per detector.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11_transfer_evaluation.py. Results table: site × detector × protocol.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2 days.</w:t>
      </w:r>
    </w:p>
    <w:p>
      <w:pPr>
        <w:pStyle w:val="Heading2"/>
        <w:spacing w:after="120" w:before="240"/>
      </w:pPr>
      <w:r>
        <w:t xml:space="preserve">Task 2.2 — Baseline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Section 13.5 requirement: the transfer signal must beat API and SMAP at the transfer sites to count as contribution. Otherwise the result is still publishable but with a narrower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For each transfer site, compute API and SMAP anomaly scores using the same ≥90th-percentile windows. Compare to the transferred IoT-derived anomaly scores via the same statistical test from the pre-registration.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Results table: site × {transferred IoT signal vs. API vs. SMAP}. Plot of comparative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 day.</w:t>
      </w:r>
    </w:p>
    <w:p>
      <w:pPr>
        <w:pStyle w:val="Heading2"/>
        <w:spacing w:after="120" w:before="240"/>
      </w:pPr>
      <w:r>
        <w:t xml:space="preserve">Task 2.3 — Honest read of the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Before writing, look at what actually happened. Don't pre-cook the narrative.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Three possible outcomes: (A) transferred IoT beats API/SMAP at most sites — the headline result. (B) transferred IoT comparable to API/SMAP — useful, narrower. (C) transferred IoT underperforms API/SMAP — null result, still publishable with proper analysis. Identify which outcome you have. If (A) or (B), the chapter is on track. If (C), the discussion section becomes more important; the chapter then tells the story of why low-cost IoT didn't beat satellite/rainfall-derived proxies in this regime.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Updated decisions log entry summarizing the outcome and its implications for the chapter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 of careful interpretation.</w:t>
      </w:r>
    </w:p>
    <w:p>
      <w:pPr>
        <w:pStyle w:val="Heading1"/>
        <w:spacing w:after="180" w:before="360"/>
      </w:pPr>
      <w:r>
        <w:t xml:space="preserve">Week 3 (August 15-21): Begin drafting</w:t>
      </w:r>
    </w:p>
    <w:p>
      <w:pPr>
        <w:pStyle w:val="Heading2"/>
        <w:spacing w:after="120" w:before="240"/>
      </w:pPr>
      <w:r>
        <w:t xml:space="preserve">Task 3.1 — Methods section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Methods is the most stable section regardless of result direction. Get it on paper while the implementation details are 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Use scaffold Sections 5, 6, 13 as the skeleton. Translate each scaffold subsection into prose. Cite from the Mendeley library via Mendeley Cite. Include: data window and provenance; pre-processing decisions (with reasons); the barometric/hydrological decomposition; the three models and their parameterization; the four-part evaluation protocol; the transfer experiment specification.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Draft methods chapter section, ~3000-5000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3-4 days.</w:t>
      </w:r>
    </w:p>
    <w:p>
      <w:pPr>
        <w:pStyle w:val="Heading2"/>
        <w:spacing w:after="120" w:before="240"/>
      </w:pPr>
      <w:r>
        <w:t xml:space="preserve">Task 3.2 — Results section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One paragraph per result, with the table or plot embedded. Sections: (i) calibration-site results — barometric R², Eryilmaz replication, signal characterization, three-detector outputs on Kerkrade, evaluation protocol outcomes. (ii) transfer experiment — per-site outcomes, baseline comparison, cross-detector agreement at transfer sites. Don't draft the interpretation yet; just state the numbers and what they show.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Draft results section, ~2000-3000 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2-3 days.</w:t>
      </w:r>
    </w:p>
    <w:p>
      <w:pPr>
        <w:pStyle w:val="Heading1"/>
        <w:spacing w:after="180" w:before="360"/>
      </w:pPr>
      <w:r>
        <w:t xml:space="preserve">Week 4 (August 22-31): Polish, integrate, plan autumn</w:t>
      </w:r>
    </w:p>
    <w:p>
      <w:pPr>
        <w:pStyle w:val="Heading2"/>
        <w:spacing w:after="120" w:before="240"/>
      </w:pPr>
      <w:r>
        <w:t xml:space="preserve">Task 4.1 — Integrate groundwater data if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If Jean Hacking / Rene Mols sent data during July or August, integrate it now. Re-phrase the proxy mechanism claim throughout the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Correlate groundwater level with the barometric residual and with the Kalman state. Both should show coherent structure if the proxy chain is real. Update Section 4 of the chapter: "observed in conjunction with" replaces "consistent with" where the data supports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Script 12_groundwater_integration.py. Revised methods/results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1-2 days.</w:t>
      </w:r>
    </w:p>
    <w:p>
      <w:pPr>
        <w:pStyle w:val="Heading2"/>
        <w:spacing w:after="120" w:before="240"/>
      </w:pPr>
      <w:r>
        <w:t xml:space="preserve">Task 4.2 — Build the figure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Final versions of: (i) study area map; (ii) example data window showing CO2, weather, discharge; (iii) barometric regression fit; (iv) ROC for Eryilmaz replication; (v) anomaly score time series for each detector; (vi) cross-detector agreement matrix; (vii) transfer-site results table or heatmap; (viii) baseline comparison. Each figure as a publication-quality PNG/PDF. Saved to results/figures/.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2 days.</w:t>
      </w:r>
    </w:p>
    <w:p>
      <w:pPr>
        <w:pStyle w:val="Heading2"/>
        <w:spacing w:after="120" w:before="240"/>
      </w:pPr>
      <w:r>
        <w:t xml:space="preserve">Task 4.3 — End-of-summer review with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Why</w:t>
      </w:r>
      <w:r>
        <w:t xml:space="preserve"> — Three months of pushing is a natural pause. Surface the result direction, the methodological choices made, and any framing adjustments needed for autumn writing.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How</w:t>
      </w:r>
      <w:r>
        <w:t xml:space="preserve"> — Prepare a 1-page summary: data acquired, methods run, headline results, open questions for autumn. Discuss.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Summary doc. Notes from supervisor meeting in docs/.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 prep + meeting.</w:t>
      </w:r>
    </w:p>
    <w:p>
      <w:pPr>
        <w:pStyle w:val="Heading2"/>
        <w:spacing w:after="120" w:before="240"/>
      </w:pPr>
      <w:r>
        <w:t xml:space="preserve">Task 4.4 — Plan the autumn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remains after summer</w:t>
      </w:r>
      <w:r>
        <w:t xml:space="preserve"> — Typically: full discussion section, full UQ analysis, robustness checks (sensitivity to thresholds, seasonality treatment, removed-features ablations), introduction and literature review polishing, citation cleanup, target-journal selection, response to supervisor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</w:t>
      </w:r>
      <w:r>
        <w:t xml:space="preserve"> — An autumn-plan.md outlining what's left and a rough month-by-month schedule for September-December.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</w:t>
      </w:r>
      <w:r>
        <w:t xml:space="preserve"> — Half-day.</w:t>
      </w:r>
    </w:p>
    <w:p>
      <w:pPr>
        <w:pStyle w:val="Heading1"/>
        <w:spacing w:after="180" w:before="360"/>
      </w:pPr>
      <w:r>
        <w:t xml:space="preserve">End-of-summer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Transfer experiment run at all selected sites.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Results analyzed honestly against baselines.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Methods section drafted (~3000-5000 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Results section drafted (~2000-3000 words).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Groundwater integrated if data received; proxy claim refined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Full figure set in publication-ready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Supervisor meeting held; framing adjustments noted.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[ ] Autumn plan written.</w:t>
      </w:r>
    </w:p>
    <w:p>
      <w:pPr>
        <w:pBdr>
          <w:left w:val="single" w:color="999999" w:sz="12" w:space="8"/>
        </w:pBdr>
        <w:spacing w:after="160" w:before="80"/>
        <w:ind w:left="240"/>
      </w:pPr>
      <w:r>
        <w:rPr>
          <w:b/>
          <w:bCs/>
          <w:i/>
          <w:iCs/>
        </w:rPr>
        <w:t xml:space="preserve">Honest framing for autumn </w:t>
      </w:r>
      <w:r>
        <w:rPr>
          <w:i/>
          <w:iCs/>
        </w:rPr>
        <w:t xml:space="preserve">The chapter at the end of August will NOT be done. It will have methods + results in defensible form, with discussion and introduction still to write. That's the right state — the discussion can be written once you've seen the results and discussed them with your supervisor. Trying to draft a discussion before this point is premature.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2026-06-01T18:13:36.398Z</dcterms:created>
  <dcterms:modified xsi:type="dcterms:W3CDTF">2026-06-01T18:13:36.398Z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