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July 2026 — How-To</w:t>
      </w:r>
    </w:p>
    <w:p>
      <w:pPr>
        <w:spacing w:after="240"/>
      </w:pPr>
      <w:r>
        <w:rPr>
          <w:i/>
          <w:iCs/>
          <w:sz w:val="26"/>
          <w:szCs w:val="26"/>
        </w:rPr>
        <w:t xml:space="preserve">Month 2: Modelling and ensemble</w:t>
      </w:r>
    </w:p>
    <w:p>
      <w:pPr>
        <w:spacing w:after="240"/>
      </w:pPr>
      <w:r>
        <w:rPr>
          <w:i/>
          <w:iCs/>
        </w:rPr>
        <w:t xml:space="preserve">Goal for the month: fit all three candidate models on the Kerkrade data; build the evaluation protocol; compute cross-detector agreement; complete the transfer-site dataset acquisition; pre-register the transfer experiment specification before any transfer-site results are inspected.</w:t>
      </w:r>
    </w:p>
    <w:p>
      <w:pPr>
        <w:pStyle w:val="Heading1"/>
        <w:spacing w:after="180" w:before="360"/>
      </w:pPr>
      <w:r>
        <w:t xml:space="preserve">Prerequisites from June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Cleaned, time-aligned IoT + weather + discharge data in data/interim/.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Soft-label event catalogue (events.csv).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Residual-after-barometric series saved (co2-residual-barometric.csv).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Eryilmaz replication confirmed (or framing adjusted).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Initial residual-signal characterization done.</w:t>
      </w:r>
    </w:p>
    <w:p>
      <w:pPr>
        <w:pStyle w:val="Heading1"/>
        <w:spacing w:after="180" w:before="360"/>
      </w:pPr>
      <w:r>
        <w:t xml:space="preserve">Week 1 (July 1-7): SARIMAX</w:t>
      </w:r>
    </w:p>
    <w:p>
      <w:pPr>
        <w:pStyle w:val="Heading2"/>
        <w:spacing w:after="120" w:before="240"/>
      </w:pPr>
      <w:r>
        <w:t xml:space="preserve">Task 1.1 — Pre-processing for SARIMAX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ARIMA-family models assume stationarity. Need to check and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ADF test (Dickey-Fuller): null is unit root, want to reject. KPSS test: null is stationarity, want to fail to reject. Apply both to CO2 and to the barometric residual. If non-stationary, difference. Box-Cox transform to stabilize variance if CO2 is heavy-tailed (Viefhues found skew 4.02 in the before period).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05_sarimax.py section 1. Documented decisions in decisions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1.2 — Order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statsmodels.tsa.SARIMAX. Grid-search (p,d,q)(P,D,Q,s) over a small range. Optimize on AIC and BIC. With 17 months of hourly data and ~1.4 annual cycles, the seasonal terms will be weakly identified; use s=24 (daily) and s=168 (weekly) more confidently than s=8760 (annual).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Selected model orders documented. Table of AIC/BIC for candidate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 (statsmodels grid-search is slow on hourly data — leave it running).</w:t>
      </w:r>
    </w:p>
    <w:p>
      <w:pPr>
        <w:pStyle w:val="Heading2"/>
        <w:spacing w:after="120" w:before="240"/>
      </w:pPr>
      <w:r>
        <w:t xml:space="preserve">Task 1.3 — Fit and extract residuals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Fit SARIMAX with exogenous regressors: weather (Visualcrossing + KNMI), pressure tendency features. Extract one-step-ahead residuals. These are the chapter's primary anomaly score for the SARIMAX family.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Fitted model artifact in results/models/sarimax.pkl. Residual time series in data/processed/sarimax-residuals.csv. Diagnostic plots: residual ACF, Ljung-Box test, Q-Q plot.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1.4 — Anomaly scoring from residuals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Define anomaly = |residual| &gt; threshold (3σ; or use a robust threshold like MAD-based). Save binary anomaly series.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data/processed/sarimax-anomalies.csv.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hours.</w:t>
      </w:r>
    </w:p>
    <w:p>
      <w:pPr>
        <w:pStyle w:val="Heading1"/>
        <w:spacing w:after="180" w:before="360"/>
      </w:pPr>
      <w:r>
        <w:t xml:space="preserve">Week 2 (July 8-14): Kalman filter</w:t>
      </w:r>
    </w:p>
    <w:p>
      <w:pPr>
        <w:pStyle w:val="Heading2"/>
        <w:spacing w:after="120" w:before="240"/>
      </w:pPr>
      <w:r>
        <w:t xml:space="preserve">Task 2.1 — Specify state-space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The chapter uses the Kalman filter for innovations-based anomaly detection, not for state estimation. State the model and defend the choice in the methods chapter.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Simplest defensible specification: local-level model (state = current CO2 level, observation = CO2 + noise). Then add exogenous covariates as observation-equation regressors (weather + pressure tendency). Use filterpy or pykalman.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06_kalman.py. State-space spec documented in decisions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2.2 — Tune covariances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Process noise Q and observation noise R have to be set. Either: (i) MLE on Q, R via the EM algorithm (pykalman supports this); (ii) hand-tune on a held-out window. Document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Tuned filter parameters. Innovation series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2.3 — Innovations as anomaly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Standardize innovations by their estimated covariance (this is the Mahalanobis distance equivalent). Threshold to get binary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data/processed/kalman-innovations.csv and kalman-anomalies.csv.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hours.</w:t>
      </w:r>
    </w:p>
    <w:p>
      <w:pPr>
        <w:pStyle w:val="Heading2"/>
        <w:spacing w:after="120" w:before="240"/>
      </w:pPr>
      <w:r>
        <w:t xml:space="preserve">Task 2.4 — Sanity check against SARIMAX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Plot SARIMAX residuals and Kalman innovations on the same axes for a few example windows. They should broadly agree on "unusual" periods. Disagreement is informative, not necessarily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 hour.</w:t>
      </w:r>
    </w:p>
    <w:p>
      <w:pPr>
        <w:pStyle w:val="Heading1"/>
        <w:spacing w:after="180" w:before="360"/>
      </w:pPr>
      <w:r>
        <w:t xml:space="preserve">Week 3 (July 15-21): Isolation Forest and ensemble agreement</w:t>
      </w:r>
    </w:p>
    <w:p>
      <w:pPr>
        <w:pStyle w:val="Heading2"/>
        <w:spacing w:after="120" w:before="240"/>
      </w:pPr>
      <w:r>
        <w:t xml:space="preserve">Task 3.1 — Isolation Forest on the multivariate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sklearn IsolationForest on the full feature set (CO2, temp, humidity, pressure, PM, deltas, residual-from-barometric). Contamination parameter: start at 0.05, sensitivity-test. Use n_estimators=200, max_features=0.8.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07_isolation_forest.py. Anomaly scores and binary flags in data/processed/iforest-{scores,anomalies}.csv.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3.2 — Cross-detector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Section 6.3 / 5.2 of the scaffold relies on three-model triangulation. Compute the agreement explicitly.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For each time index, compute a 3-element vector of anomaly flags (SARIMAX, Kalman, IF). Tabulate: how often do 1, 2, or 3 detectors agree? Compute pairwise Jaccard or Cohen's kappa between detector pairs. Identify windows where all 3 agree and inspect.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08_ensemble_agreement.py. Agreement matrix table. Plot of CO2 with all-3-agree windows highlighted.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3.3 — Synthetic anomaly injection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Wu &amp; Keogh 2023's critique requires a defensible alternative to label-dependent evaluation. Synthetic injection (GenIAS, CutAddPaste, NCAD) is part of that defense.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Implement one or two injection templates: (i) CutAddPaste — cut a segment, paste at another location (Wang et al. 2024); (ii) Gaussian noise burst — inject a magnitude-controlled perturbation at known timestamps. Run all three detectors on the injected series and check whether they catch the injected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09_synthetic_injection.py. Detection rate per injection type per detector.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 day.</w:t>
      </w:r>
    </w:p>
    <w:p>
      <w:pPr>
        <w:pStyle w:val="Heading1"/>
        <w:spacing w:after="180" w:before="360"/>
      </w:pPr>
      <w:r>
        <w:t xml:space="preserve">Week 4 (July 22-31): Evaluation protocol + transfer prep</w:t>
      </w:r>
    </w:p>
    <w:p>
      <w:pPr>
        <w:pStyle w:val="Heading2"/>
        <w:spacing w:after="120" w:before="240"/>
      </w:pPr>
      <w:r>
        <w:t xml:space="preserve">Task 4.1 — Run the four-part evaluation protocol on Kerkrade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This is the chapter's defended evaluation regime. Documented in scaffold Section 5.2.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(i) Anomaly-rate baselines: for each soft-labelled event in events.csv, count anomaly flags in the antecedent window vs. a matched control window. Permutation test for significance. (ii) Goswami tsadams: implement the unsupervised model-selection surrogate (see paper). Use it to rank SARIMAX/Kalman/IF without labels. (iii) Synthetic injection: already done. (iv) Cross-detector agreement: already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splits use time-aware schemes</w:t>
      </w:r>
      <w:r>
        <w:t xml:space="preserve"> — Blocked, rolling-origin, or forward-chaining — never random k-fold. Eryilmaz (2025) used random 5-fold CV, which is methodologically suspect for autocorrelated time series; this chapter disavows it explicitly. Suggested default: rolling-origin with 30-day training windows and 7-day evaluation windows, applied uniformly across SARIMAX, Kalman, and Isolation Forest evaluation. Document chosen scheme and parameters in the decisions log; examiners will probe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10_evaluation.py. Results table summarizing all four protocols. Written interpretation in docs/. CV scheme and parameters in decisions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2-3 days.</w:t>
      </w:r>
    </w:p>
    <w:p>
      <w:pPr>
        <w:pStyle w:val="Heading2"/>
        <w:spacing w:after="120" w:before="240"/>
      </w:pPr>
      <w:r>
        <w:t xml:space="preserve">Task 4.2 — Acquire SMAP soil moisture for baseline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Section 13.5 of the scaffold names SMAP as a baseline to beat. Pull it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NASA Earthdata: SMAP L3 daily, ~9 km resolution. Subset to the Maas basin extent. Re-grid to nearest station locations (Kerkrade + transfer sites).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data/raw/smap/. Loader and re-gridder in io_data.py.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2"/>
        <w:spacing w:after="120" w:before="240"/>
      </w:pPr>
      <w:r>
        <w:t xml:space="preserve">Task 4.3 — Compute API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Antecedent Precipitation Index = sum of decayed past rainfall. Simplest form: API_t = sum_{k=1..N} k^(-d) * P_{t-k}. Use d=0.85 and N=14 days as standard. Compute at Kerkrade and at each transfer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data/processed/api.csv per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hours.</w:t>
      </w:r>
    </w:p>
    <w:p>
      <w:pPr>
        <w:pStyle w:val="Heading2"/>
        <w:spacing w:after="120" w:before="240"/>
      </w:pPr>
      <w:r>
        <w:t xml:space="preserve">Task 4.4 — Continue transfer-site acquisition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After RIVM (done in June), acquire IRCEL-CELINE (Belgium) and LANUV NRW (Germany). Same hourly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data/raw/transfer/{ircel,lanuv}/.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days (varies by API friendliness).</w:t>
      </w:r>
    </w:p>
    <w:p>
      <w:pPr>
        <w:pStyle w:val="Heading2"/>
        <w:spacing w:after="120" w:before="240"/>
      </w:pPr>
      <w:r>
        <w:t xml:space="preserve">Task 4.5 — PRE-REGISTER the transfer experiment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Section 13.6 of the scaffold commits to this. It's a methodological safeguard against post-hoc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Write docs/transfer-experiment-preregistration.md. Specify: (a) the selected transfer sites with reasons; (b) the model training procedure at Kerkrade; (c) the deployment procedure at each transfer site; (d) the success criterion (e.g. "transfer model anomaly rate during ≥90th-percentile discharge windows is significantly higher than during background"); (e) the baselines to beat (API, SMAP); (f) the statistical test. Do this BEFORE inspecting transfer-site model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Pre-registration doc committed to git (so the timestamp is verifiable).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1"/>
        <w:spacing w:after="180" w:before="360"/>
      </w:pPr>
      <w:r>
        <w:t xml:space="preserve">End-of-July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SARIMAX, Kalman, Isolation Forest all fitted with residuals/innovations/scores extracted.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Cross-detector agreement computed.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Synthetic injection pipeline working.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Four-part evaluation protocol run on Kerkrade.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SMAP and API baselines computed.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At least 3 transfer sites ingested.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Transfer experiment pre-registered.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If groundwater data arrived, integrate it and re-phrase the proxy mechanism in decisions log from "consistent with" to "observed in conjunction with".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2026-06-01T18:13:36.394Z</dcterms:created>
  <dcterms:modified xsi:type="dcterms:W3CDTF">2026-06-01T18:13:36.394Z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