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June 2026 — How-To</w:t>
      </w:r>
    </w:p>
    <w:p>
      <w:pPr>
        <w:spacing w:after="240"/>
      </w:pPr>
      <w:r>
        <w:rPr>
          <w:i/>
          <w:iCs/>
          <w:sz w:val="26"/>
          <w:szCs w:val="26"/>
        </w:rPr>
        <w:t xml:space="preserve">Pre-work + Month 1: Foundation and decomposition</w:t>
      </w:r>
    </w:p>
    <w:p>
      <w:pPr>
        <w:spacing w:after="240"/>
      </w:pPr>
      <w:r>
        <w:rPr>
          <w:i/>
          <w:iCs/>
        </w:rPr>
        <w:t xml:space="preserve">Goal for the month: come out of June with the pre-work done, the project pipeline running, the barometric vs. hydrological decomposition characterized, and the Eryilmaz finding replicated. Two kill-checks happen at the end of June — they govern whether July proceeds as planned or redirects.</w:t>
      </w:r>
    </w:p>
    <w:p>
      <w:pPr>
        <w:pStyle w:val="Heading1"/>
        <w:spacing w:after="180" w:before="360"/>
      </w:pPr>
      <w:r>
        <w:t xml:space="preserve">Pre-work (do these before the sprint starts)</w:t>
      </w:r>
    </w:p>
    <w:p>
      <w:pPr>
        <w:spacing w:after="160"/>
      </w:pPr>
      <w:r>
        <w:t xml:space="preserve">These are foundational tasks that exist outside the monthly schedule. Aim to have them done in the first week of June at the latest; ideally the first few days.</w:t>
      </w:r>
    </w:p>
    <w:p>
      <w:pPr>
        <w:pStyle w:val="Heading2"/>
        <w:spacing w:after="120" w:before="240"/>
      </w:pPr>
      <w:r>
        <w:t xml:space="preserve">PW-1. Read the two predecessor works end-to-end</w:t>
      </w:r>
    </w:p>
    <w:p>
      <w:pPr>
        <w:pStyle w:val="ListParagraph"/>
        <w:numPr>
          <w:ilvl w:val="0"/>
          <w:numId w:val="2"/>
        </w:numPr>
        <w:spacing w:after="80"/>
      </w:pPr>
      <w:r>
        <w:rPr>
          <w:b/>
          <w:bCs/>
        </w:rPr>
        <w:t xml:space="preserve">Why</w:t>
      </w:r>
      <w:r>
        <w:t xml:space="preserve"> — Section 9 of the scaffold rests on these. Without internalizing what they actually did vs. what the chapter does next, framing slips. Eryilmaz especially — the actual finding is subtler than how it's sometimes summarized.</w:t>
      </w:r>
    </w:p>
    <w:p>
      <w:pPr>
        <w:pStyle w:val="ListParagraph"/>
        <w:numPr>
          <w:ilvl w:val="0"/>
          <w:numId w:val="2"/>
        </w:numPr>
        <w:spacing w:after="80"/>
      </w:pPr>
      <w:r>
        <w:rPr>
          <w:b/>
          <w:bCs/>
        </w:rPr>
        <w:t xml:space="preserve">How</w:t>
      </w:r>
      <w:r>
        <w:t xml:space="preserve"> — Take structured notes in a single doc: (a) data window, (b) features used, (c) target variable, (d) models, (e) headline results with metrics, (f) limitations explicitly stated, (g) what the chapter inherits, (h) what the chapter must do differently. One section per predecessor.</w:t>
      </w:r>
    </w:p>
    <w:p>
      <w:pPr>
        <w:pStyle w:val="ListParagraph"/>
        <w:numPr>
          <w:ilvl w:val="0"/>
          <w:numId w:val="2"/>
        </w:numPr>
        <w:spacing w:after="80"/>
      </w:pPr>
      <w:r>
        <w:rPr>
          <w:b/>
          <w:bCs/>
        </w:rPr>
        <w:t xml:space="preserve">Output</w:t>
      </w:r>
      <w:r>
        <w:t xml:space="preserve"> — predecessor-notes.md or .docx — 2-4 pages. Lives in /docs of the project repo.</w:t>
      </w:r>
    </w:p>
    <w:p>
      <w:pPr>
        <w:pStyle w:val="ListParagraph"/>
        <w:numPr>
          <w:ilvl w:val="0"/>
          <w:numId w:val="2"/>
        </w:numPr>
        <w:spacing w:after="80"/>
      </w:pPr>
      <w:r>
        <w:rPr>
          <w:b/>
          <w:bCs/>
        </w:rPr>
        <w:t xml:space="preserve">Time</w:t>
      </w:r>
      <w:r>
        <w:t xml:space="preserve"> — Half-day to one day each.</w:t>
      </w:r>
    </w:p>
    <w:p>
      <w:pPr>
        <w:pStyle w:val="Heading2"/>
        <w:spacing w:after="120" w:before="240"/>
      </w:pPr>
      <w:r>
        <w:t xml:space="preserve">PW-2. Set up the project repository</w:t>
      </w:r>
    </w:p>
    <w:p>
      <w:pPr>
        <w:pStyle w:val="ListParagraph"/>
        <w:numPr>
          <w:ilvl w:val="0"/>
          <w:numId w:val="2"/>
        </w:numPr>
        <w:spacing w:after="80"/>
      </w:pPr>
      <w:r>
        <w:rPr>
          <w:b/>
          <w:bCs/>
        </w:rPr>
        <w:t xml:space="preserve">Why</w:t>
      </w:r>
      <w:r>
        <w:t xml:space="preserve"> — Reproducibility is a PhD-examination concern. Set up the structure once and let it accumulate.</w:t>
      </w:r>
    </w:p>
    <w:p>
      <w:pPr>
        <w:spacing w:after="160"/>
      </w:pPr>
      <w:r>
        <w:t xml:space="preserve">Suggested layout:</w:t>
      </w:r>
    </w:p>
    <w:p>
      <w:pPr>
        <w:pBdr>
          <w:left w:val="single" w:color="BFBFBF" w:sz="8" w:space="8"/>
        </w:pBdr>
        <w:spacing w:after="80" w:before="40"/>
        <w:ind w:left="360"/>
      </w:pPr>
      <w:r>
        <w:rPr>
          <w:rFonts w:ascii="Consolas" w:cs="Consolas" w:eastAsia="Consolas" w:hAnsi="Consolas"/>
          <w:sz w:val="20"/>
          <w:szCs w:val="20"/>
        </w:rPr>
        <w:t xml:space="preserve">dissertation-chapter-xx/</w:t>
      </w:r>
    </w:p>
    <w:p>
      <w:pPr>
        <w:pBdr>
          <w:left w:val="single" w:color="BFBFBF" w:sz="8" w:space="8"/>
        </w:pBdr>
        <w:spacing w:after="80" w:before="40"/>
        <w:ind w:left="360"/>
      </w:pPr>
      <w:r>
        <w:rPr>
          <w:rFonts w:ascii="Consolas" w:cs="Consolas" w:eastAsia="Consolas" w:hAnsi="Consolas"/>
          <w:sz w:val="20"/>
          <w:szCs w:val="20"/>
        </w:rPr>
        <w:t xml:space="preserve">├── data/</w:t>
      </w:r>
    </w:p>
    <w:p>
      <w:pPr>
        <w:pBdr>
          <w:left w:val="single" w:color="BFBFBF" w:sz="8" w:space="8"/>
        </w:pBdr>
        <w:spacing w:after="80" w:before="40"/>
        <w:ind w:left="360"/>
      </w:pPr>
      <w:r>
        <w:rPr>
          <w:rFonts w:ascii="Consolas" w:cs="Consolas" w:eastAsia="Consolas" w:hAnsi="Consolas"/>
          <w:sz w:val="20"/>
          <w:szCs w:val="20"/>
        </w:rPr>
        <w:t xml:space="preserve">│   ├── raw/             # immutable. CO2, weather, discharge, groundwater</w:t>
      </w:r>
    </w:p>
    <w:p>
      <w:pPr>
        <w:pBdr>
          <w:left w:val="single" w:color="BFBFBF" w:sz="8" w:space="8"/>
        </w:pBdr>
        <w:spacing w:after="80" w:before="40"/>
        <w:ind w:left="360"/>
      </w:pPr>
      <w:r>
        <w:rPr>
          <w:rFonts w:ascii="Consolas" w:cs="Consolas" w:eastAsia="Consolas" w:hAnsi="Consolas"/>
          <w:sz w:val="20"/>
          <w:szCs w:val="20"/>
        </w:rPr>
        <w:t xml:space="preserve">│   ├── interim/         # cleaned, time-aligned</w:t>
      </w:r>
    </w:p>
    <w:p>
      <w:pPr>
        <w:pBdr>
          <w:left w:val="single" w:color="BFBFBF" w:sz="8" w:space="8"/>
        </w:pBdr>
        <w:spacing w:after="80" w:before="40"/>
        <w:ind w:left="360"/>
      </w:pPr>
      <w:r>
        <w:rPr>
          <w:rFonts w:ascii="Consolas" w:cs="Consolas" w:eastAsia="Consolas" w:hAnsi="Consolas"/>
          <w:sz w:val="20"/>
          <w:szCs w:val="20"/>
        </w:rPr>
        <w:t xml:space="preserve">│   └── processed/       # feature sets for modeling</w:t>
      </w:r>
    </w:p>
    <w:p>
      <w:pPr>
        <w:pBdr>
          <w:left w:val="single" w:color="BFBFBF" w:sz="8" w:space="8"/>
        </w:pBdr>
        <w:spacing w:after="80" w:before="40"/>
        <w:ind w:left="360"/>
      </w:pPr>
      <w:r>
        <w:rPr>
          <w:rFonts w:ascii="Consolas" w:cs="Consolas" w:eastAsia="Consolas" w:hAnsi="Consolas"/>
          <w:sz w:val="20"/>
          <w:szCs w:val="20"/>
        </w:rPr>
        <w:t xml:space="preserve">├── scripts/</w:t>
      </w:r>
    </w:p>
    <w:p>
      <w:pPr>
        <w:pBdr>
          <w:left w:val="single" w:color="BFBFBF" w:sz="8" w:space="8"/>
        </w:pBdr>
        <w:spacing w:after="80" w:before="40"/>
        <w:ind w:left="360"/>
      </w:pPr>
      <w:r>
        <w:rPr>
          <w:rFonts w:ascii="Consolas" w:cs="Consolas" w:eastAsia="Consolas" w:hAnsi="Consolas"/>
          <w:sz w:val="20"/>
          <w:szCs w:val="20"/>
        </w:rPr>
        <w:t xml:space="preserve">│   ├── 01_eda.py                # numbered for run order; one per analysis step</w:t>
      </w:r>
    </w:p>
    <w:p>
      <w:pPr>
        <w:pBdr>
          <w:left w:val="single" w:color="BFBFBF" w:sz="8" w:space="8"/>
        </w:pBdr>
        <w:spacing w:after="80" w:before="40"/>
        <w:ind w:left="360"/>
      </w:pPr>
      <w:r>
        <w:rPr>
          <w:rFonts w:ascii="Consolas" w:cs="Consolas" w:eastAsia="Consolas" w:hAnsi="Consolas"/>
          <w:sz w:val="20"/>
          <w:szCs w:val="20"/>
        </w:rPr>
        <w:t xml:space="preserve">│   ├── 02_barometric_baseline.py</w:t>
      </w:r>
    </w:p>
    <w:p>
      <w:pPr>
        <w:pBdr>
          <w:left w:val="single" w:color="BFBFBF" w:sz="8" w:space="8"/>
        </w:pBdr>
        <w:spacing w:after="80" w:before="40"/>
        <w:ind w:left="360"/>
      </w:pPr>
      <w:r>
        <w:rPr>
          <w:rFonts w:ascii="Consolas" w:cs="Consolas" w:eastAsia="Consolas" w:hAnsi="Consolas"/>
          <w:sz w:val="20"/>
          <w:szCs w:val="20"/>
        </w:rPr>
        <w:t xml:space="preserve">│   ├── 03_eryilmaz_replication.py</w:t>
      </w:r>
    </w:p>
    <w:p>
      <w:pPr>
        <w:pBdr>
          <w:left w:val="single" w:color="BFBFBF" w:sz="8" w:space="8"/>
        </w:pBdr>
        <w:spacing w:after="80" w:before="40"/>
        <w:ind w:left="360"/>
      </w:pPr>
      <w:r>
        <w:rPr>
          <w:rFonts w:ascii="Consolas" w:cs="Consolas" w:eastAsia="Consolas" w:hAnsi="Consolas"/>
          <w:sz w:val="20"/>
          <w:szCs w:val="20"/>
        </w:rPr>
        <w:t xml:space="preserve">│   ├── 04_signal_characterization.py</w:t>
      </w:r>
    </w:p>
    <w:p>
      <w:pPr>
        <w:pBdr>
          <w:left w:val="single" w:color="BFBFBF" w:sz="8" w:space="8"/>
        </w:pBdr>
        <w:spacing w:after="80" w:before="40"/>
        <w:ind w:left="360"/>
      </w:pPr>
      <w:r>
        <w:rPr>
          <w:rFonts w:ascii="Consolas" w:cs="Consolas" w:eastAsia="Consolas" w:hAnsi="Consolas"/>
          <w:sz w:val="20"/>
          <w:szCs w:val="20"/>
        </w:rPr>
        <w:t xml:space="preserve">│   ├── 05_sarimax.py</w:t>
      </w:r>
    </w:p>
    <w:p>
      <w:pPr>
        <w:pBdr>
          <w:left w:val="single" w:color="BFBFBF" w:sz="8" w:space="8"/>
        </w:pBdr>
        <w:spacing w:after="80" w:before="40"/>
        <w:ind w:left="360"/>
      </w:pPr>
      <w:r>
        <w:rPr>
          <w:rFonts w:ascii="Consolas" w:cs="Consolas" w:eastAsia="Consolas" w:hAnsi="Consolas"/>
          <w:sz w:val="20"/>
          <w:szCs w:val="20"/>
        </w:rPr>
        <w:t xml:space="preserve">│   ├── 06_kalman.py</w:t>
      </w:r>
    </w:p>
    <w:p>
      <w:pPr>
        <w:pBdr>
          <w:left w:val="single" w:color="BFBFBF" w:sz="8" w:space="8"/>
        </w:pBdr>
        <w:spacing w:after="80" w:before="40"/>
        <w:ind w:left="360"/>
      </w:pPr>
      <w:r>
        <w:rPr>
          <w:rFonts w:ascii="Consolas" w:cs="Consolas" w:eastAsia="Consolas" w:hAnsi="Consolas"/>
          <w:sz w:val="20"/>
          <w:szCs w:val="20"/>
        </w:rPr>
        <w:t xml:space="preserve">│   ├── 07_isolation_forest.py</w:t>
      </w:r>
    </w:p>
    <w:p>
      <w:pPr>
        <w:pBdr>
          <w:left w:val="single" w:color="BFBFBF" w:sz="8" w:space="8"/>
        </w:pBdr>
        <w:spacing w:after="80" w:before="40"/>
        <w:ind w:left="360"/>
      </w:pPr>
      <w:r>
        <w:rPr>
          <w:rFonts w:ascii="Consolas" w:cs="Consolas" w:eastAsia="Consolas" w:hAnsi="Consolas"/>
          <w:sz w:val="20"/>
          <w:szCs w:val="20"/>
        </w:rPr>
        <w:t xml:space="preserve">│   ├── 08_ensemble_agreement.py</w:t>
      </w:r>
    </w:p>
    <w:p>
      <w:pPr>
        <w:pBdr>
          <w:left w:val="single" w:color="BFBFBF" w:sz="8" w:space="8"/>
        </w:pBdr>
        <w:spacing w:after="80" w:before="40"/>
        <w:ind w:left="360"/>
      </w:pPr>
      <w:r>
        <w:rPr>
          <w:rFonts w:ascii="Consolas" w:cs="Consolas" w:eastAsia="Consolas" w:hAnsi="Consolas"/>
          <w:sz w:val="20"/>
          <w:szCs w:val="20"/>
        </w:rPr>
        <w:t xml:space="preserve">│   ├── 09_synthetic_injection.py</w:t>
      </w:r>
    </w:p>
    <w:p>
      <w:pPr>
        <w:pBdr>
          <w:left w:val="single" w:color="BFBFBF" w:sz="8" w:space="8"/>
        </w:pBdr>
        <w:spacing w:after="80" w:before="40"/>
        <w:ind w:left="360"/>
      </w:pPr>
      <w:r>
        <w:rPr>
          <w:rFonts w:ascii="Consolas" w:cs="Consolas" w:eastAsia="Consolas" w:hAnsi="Consolas"/>
          <w:sz w:val="20"/>
          <w:szCs w:val="20"/>
        </w:rPr>
        <w:t xml:space="preserve">│   ├── 10_evaluation.py</w:t>
      </w:r>
    </w:p>
    <w:p>
      <w:pPr>
        <w:pBdr>
          <w:left w:val="single" w:color="BFBFBF" w:sz="8" w:space="8"/>
        </w:pBdr>
        <w:spacing w:after="80" w:before="40"/>
        <w:ind w:left="360"/>
      </w:pPr>
      <w:r>
        <w:rPr>
          <w:rFonts w:ascii="Consolas" w:cs="Consolas" w:eastAsia="Consolas" w:hAnsi="Consolas"/>
          <w:sz w:val="20"/>
          <w:szCs w:val="20"/>
        </w:rPr>
        <w:t xml:space="preserve">│   ├── 11_transfer_evaluation.py</w:t>
      </w:r>
    </w:p>
    <w:p>
      <w:pPr>
        <w:pBdr>
          <w:left w:val="single" w:color="BFBFBF" w:sz="8" w:space="8"/>
        </w:pBdr>
        <w:spacing w:after="80" w:before="40"/>
        <w:ind w:left="360"/>
      </w:pPr>
      <w:r>
        <w:rPr>
          <w:rFonts w:ascii="Consolas" w:cs="Consolas" w:eastAsia="Consolas" w:hAnsi="Consolas"/>
          <w:sz w:val="20"/>
          <w:szCs w:val="20"/>
        </w:rPr>
        <w:t xml:space="preserve">│   └── 12_groundwater_integration.py</w:t>
      </w:r>
    </w:p>
    <w:p>
      <w:pPr>
        <w:pBdr>
          <w:left w:val="single" w:color="BFBFBF" w:sz="8" w:space="8"/>
        </w:pBdr>
        <w:spacing w:after="80" w:before="40"/>
        <w:ind w:left="360"/>
      </w:pPr>
      <w:r>
        <w:rPr>
          <w:rFonts w:ascii="Consolas" w:cs="Consolas" w:eastAsia="Consolas" w:hAnsi="Consolas"/>
          <w:sz w:val="20"/>
          <w:szCs w:val="20"/>
        </w:rPr>
        <w:t xml:space="preserve">├── src/</w:t>
      </w:r>
    </w:p>
    <w:p>
      <w:pPr>
        <w:pBdr>
          <w:left w:val="single" w:color="BFBFBF" w:sz="8" w:space="8"/>
        </w:pBdr>
        <w:spacing w:after="80" w:before="40"/>
        <w:ind w:left="360"/>
      </w:pPr>
      <w:r>
        <w:rPr>
          <w:rFonts w:ascii="Consolas" w:cs="Consolas" w:eastAsia="Consolas" w:hAnsi="Consolas"/>
          <w:sz w:val="20"/>
          <w:szCs w:val="20"/>
        </w:rPr>
        <w:t xml:space="preserve">│   ├── io_data.py       # readers/writers; one entry point per source</w:t>
      </w:r>
    </w:p>
    <w:p>
      <w:pPr>
        <w:pBdr>
          <w:left w:val="single" w:color="BFBFBF" w:sz="8" w:space="8"/>
        </w:pBdr>
        <w:spacing w:after="80" w:before="40"/>
        <w:ind w:left="360"/>
      </w:pPr>
      <w:r>
        <w:rPr>
          <w:rFonts w:ascii="Consolas" w:cs="Consolas" w:eastAsia="Consolas" w:hAnsi="Consolas"/>
          <w:sz w:val="20"/>
          <w:szCs w:val="20"/>
        </w:rPr>
        <w:t xml:space="preserve">│   ├── features.py      # feature engineering (deltas, lags, etc.)</w:t>
      </w:r>
    </w:p>
    <w:p>
      <w:pPr>
        <w:pBdr>
          <w:left w:val="single" w:color="BFBFBF" w:sz="8" w:space="8"/>
        </w:pBdr>
        <w:spacing w:after="80" w:before="40"/>
        <w:ind w:left="360"/>
      </w:pPr>
      <w:r>
        <w:rPr>
          <w:rFonts w:ascii="Consolas" w:cs="Consolas" w:eastAsia="Consolas" w:hAnsi="Consolas"/>
          <w:sz w:val="20"/>
          <w:szCs w:val="20"/>
        </w:rPr>
        <w:t xml:space="preserve">│   ├── models/          # one file per model family</w:t>
      </w:r>
    </w:p>
    <w:p>
      <w:pPr>
        <w:pBdr>
          <w:left w:val="single" w:color="BFBFBF" w:sz="8" w:space="8"/>
        </w:pBdr>
        <w:spacing w:after="80" w:before="40"/>
        <w:ind w:left="360"/>
      </w:pPr>
      <w:r>
        <w:rPr>
          <w:rFonts w:ascii="Consolas" w:cs="Consolas" w:eastAsia="Consolas" w:hAnsi="Consolas"/>
          <w:sz w:val="20"/>
          <w:szCs w:val="20"/>
        </w:rPr>
        <w:t xml:space="preserve">│   └── eval.py          # evaluation protocol</w:t>
      </w:r>
    </w:p>
    <w:p>
      <w:pPr>
        <w:pBdr>
          <w:left w:val="single" w:color="BFBFBF" w:sz="8" w:space="8"/>
        </w:pBdr>
        <w:spacing w:after="80" w:before="40"/>
        <w:ind w:left="360"/>
      </w:pPr>
      <w:r>
        <w:rPr>
          <w:rFonts w:ascii="Consolas" w:cs="Consolas" w:eastAsia="Consolas" w:hAnsi="Consolas"/>
          <w:sz w:val="20"/>
          <w:szCs w:val="20"/>
        </w:rPr>
        <w:t xml:space="preserve">├── results/           # plots, tables, model artifacts</w:t>
      </w:r>
    </w:p>
    <w:p>
      <w:pPr>
        <w:pBdr>
          <w:left w:val="single" w:color="BFBFBF" w:sz="8" w:space="8"/>
        </w:pBdr>
        <w:spacing w:after="80" w:before="40"/>
        <w:ind w:left="360"/>
      </w:pPr>
      <w:r>
        <w:rPr>
          <w:rFonts w:ascii="Consolas" w:cs="Consolas" w:eastAsia="Consolas" w:hAnsi="Consolas"/>
          <w:sz w:val="20"/>
          <w:szCs w:val="20"/>
        </w:rPr>
        <w:t xml:space="preserve">├── docs/              # predecessor-notes.md, decisions log</w:t>
      </w:r>
    </w:p>
    <w:p>
      <w:pPr>
        <w:pBdr>
          <w:left w:val="single" w:color="BFBFBF" w:sz="8" w:space="8"/>
        </w:pBdr>
        <w:spacing w:after="80" w:before="40"/>
        <w:ind w:left="360"/>
      </w:pPr>
      <w:r>
        <w:rPr>
          <w:rFonts w:ascii="Consolas" w:cs="Consolas" w:eastAsia="Consolas" w:hAnsi="Consolas"/>
          <w:sz w:val="20"/>
          <w:szCs w:val="20"/>
        </w:rPr>
        <w:t xml:space="preserve">├── environment.yml    # conda env spec</w:t>
      </w:r>
    </w:p>
    <w:p>
      <w:pPr>
        <w:pBdr>
          <w:left w:val="single" w:color="BFBFBF" w:sz="8" w:space="8"/>
        </w:pBdr>
        <w:spacing w:after="80" w:before="40"/>
        <w:ind w:left="360"/>
      </w:pPr>
      <w:r>
        <w:rPr>
          <w:rFonts w:ascii="Consolas" w:cs="Consolas" w:eastAsia="Consolas" w:hAnsi="Consolas"/>
          <w:sz w:val="20"/>
          <w:szCs w:val="20"/>
        </w:rPr>
        <w:t xml:space="preserve">├── README.md          # how to reproduce results</w:t>
      </w:r>
    </w:p>
    <w:p>
      <w:pPr>
        <w:pBdr>
          <w:left w:val="single" w:color="BFBFBF" w:sz="8" w:space="8"/>
        </w:pBdr>
        <w:spacing w:after="80" w:before="40"/>
        <w:ind w:left="360"/>
      </w:pPr>
      <w:r>
        <w:rPr>
          <w:rFonts w:ascii="Consolas" w:cs="Consolas" w:eastAsia="Consolas" w:hAnsi="Consolas"/>
          <w:sz w:val="20"/>
          <w:szCs w:val="20"/>
        </w:rPr>
        <w:t xml:space="preserve">└── .gitignore         # exclude data/, results/</w:t>
      </w:r>
    </w:p>
    <w:p>
      <w:pPr>
        <w:pStyle w:val="ListParagraph"/>
        <w:numPr>
          <w:ilvl w:val="0"/>
          <w:numId w:val="2"/>
        </w:numPr>
        <w:spacing w:after="80"/>
      </w:pPr>
      <w:r>
        <w:rPr>
          <w:b/>
          <w:bCs/>
        </w:rPr>
        <w:t xml:space="preserve">Why scripts/ + src/ both</w:t>
      </w:r>
      <w:r>
        <w:t xml:space="preserve"> — scripts/ are top-level runnable Python files (one per analysis step, numbered for ordering); src/ is the importable package with stable, reusable code. Scripts import from src/, never the other way. Plots and tables are written to results/. No notebooks — every analytical step is a reproducible script you can run end-to-end.</w:t>
      </w:r>
    </w:p>
    <w:p>
      <w:pPr>
        <w:pStyle w:val="ListParagraph"/>
        <w:numPr>
          <w:ilvl w:val="0"/>
          <w:numId w:val="2"/>
        </w:numPr>
        <w:spacing w:after="80"/>
      </w:pPr>
      <w:r>
        <w:rPr>
          <w:b/>
          <w:bCs/>
        </w:rPr>
        <w:t xml:space="preserve">Output</w:t>
      </w:r>
      <w:r>
        <w:t xml:space="preserve"> — Initialized git repo with the above structure, committed locally. Pushed to a private remote if you want backup.</w:t>
      </w:r>
    </w:p>
    <w:p>
      <w:pPr>
        <w:pStyle w:val="ListParagraph"/>
        <w:numPr>
          <w:ilvl w:val="0"/>
          <w:numId w:val="2"/>
        </w:numPr>
        <w:spacing w:after="80"/>
      </w:pPr>
      <w:r>
        <w:rPr>
          <w:b/>
          <w:bCs/>
        </w:rPr>
        <w:t xml:space="preserve">Time</w:t>
      </w:r>
      <w:r>
        <w:t xml:space="preserve"> — Half-day.</w:t>
      </w:r>
    </w:p>
    <w:p>
      <w:pPr>
        <w:pStyle w:val="Heading2"/>
        <w:spacing w:after="120" w:before="240"/>
      </w:pPr>
      <w:r>
        <w:t xml:space="preserve">PW-3. Build the Python environment</w:t>
      </w:r>
    </w:p>
    <w:p>
      <w:pPr>
        <w:pStyle w:val="ListParagraph"/>
        <w:numPr>
          <w:ilvl w:val="0"/>
          <w:numId w:val="2"/>
        </w:numPr>
        <w:spacing w:after="80"/>
      </w:pPr>
      <w:r>
        <w:rPr>
          <w:b/>
          <w:bCs/>
        </w:rPr>
        <w:t xml:space="preserve">Why</w:t>
      </w:r>
      <w:r>
        <w:t xml:space="preserve"> — Reproducible env spec means examiners (and future-you) can re-run everything.</w:t>
      </w:r>
    </w:p>
    <w:p>
      <w:pPr>
        <w:spacing w:after="160"/>
      </w:pPr>
      <w:r>
        <w:t xml:space="preserve">Minimal environment.yml:</w:t>
      </w:r>
    </w:p>
    <w:p>
      <w:pPr>
        <w:pBdr>
          <w:left w:val="single" w:color="BFBFBF" w:sz="8" w:space="8"/>
        </w:pBdr>
        <w:spacing w:after="80" w:before="40"/>
        <w:ind w:left="360"/>
      </w:pPr>
      <w:r>
        <w:rPr>
          <w:rFonts w:ascii="Consolas" w:cs="Consolas" w:eastAsia="Consolas" w:hAnsi="Consolas"/>
          <w:sz w:val="20"/>
          <w:szCs w:val="20"/>
        </w:rPr>
        <w:t xml:space="preserve">name: chapter-xx</w:t>
      </w:r>
    </w:p>
    <w:p>
      <w:pPr>
        <w:pBdr>
          <w:left w:val="single" w:color="BFBFBF" w:sz="8" w:space="8"/>
        </w:pBdr>
        <w:spacing w:after="80" w:before="40"/>
        <w:ind w:left="360"/>
      </w:pPr>
      <w:r>
        <w:rPr>
          <w:rFonts w:ascii="Consolas" w:cs="Consolas" w:eastAsia="Consolas" w:hAnsi="Consolas"/>
          <w:sz w:val="20"/>
          <w:szCs w:val="20"/>
        </w:rPr>
        <w:t xml:space="preserve">channels: [conda-forge, defaults]</w:t>
      </w:r>
    </w:p>
    <w:p>
      <w:pPr>
        <w:pBdr>
          <w:left w:val="single" w:color="BFBFBF" w:sz="8" w:space="8"/>
        </w:pBdr>
        <w:spacing w:after="80" w:before="40"/>
        <w:ind w:left="360"/>
      </w:pPr>
      <w:r>
        <w:rPr>
          <w:rFonts w:ascii="Consolas" w:cs="Consolas" w:eastAsia="Consolas" w:hAnsi="Consolas"/>
          <w:sz w:val="20"/>
          <w:szCs w:val="20"/>
        </w:rPr>
        <w:t xml:space="preserve">dependencies:</w:t>
      </w:r>
    </w:p>
    <w:p>
      <w:pPr>
        <w:pBdr>
          <w:left w:val="single" w:color="BFBFBF" w:sz="8" w:space="8"/>
        </w:pBdr>
        <w:spacing w:after="80" w:before="40"/>
        <w:ind w:left="360"/>
      </w:pPr>
      <w:r>
        <w:rPr>
          <w:rFonts w:ascii="Consolas" w:cs="Consolas" w:eastAsia="Consolas" w:hAnsi="Consolas"/>
          <w:sz w:val="20"/>
          <w:szCs w:val="20"/>
        </w:rPr>
        <w:t xml:space="preserve">  - python=3.11</w:t>
      </w:r>
    </w:p>
    <w:p>
      <w:pPr>
        <w:pBdr>
          <w:left w:val="single" w:color="BFBFBF" w:sz="8" w:space="8"/>
        </w:pBdr>
        <w:spacing w:after="80" w:before="40"/>
        <w:ind w:left="360"/>
      </w:pPr>
      <w:r>
        <w:rPr>
          <w:rFonts w:ascii="Consolas" w:cs="Consolas" w:eastAsia="Consolas" w:hAnsi="Consolas"/>
          <w:sz w:val="20"/>
          <w:szCs w:val="20"/>
        </w:rPr>
        <w:t xml:space="preserve">  - numpy, pandas, scipy</w:t>
      </w:r>
    </w:p>
    <w:p>
      <w:pPr>
        <w:pBdr>
          <w:left w:val="single" w:color="BFBFBF" w:sz="8" w:space="8"/>
        </w:pBdr>
        <w:spacing w:after="80" w:before="40"/>
        <w:ind w:left="360"/>
      </w:pPr>
      <w:r>
        <w:rPr>
          <w:rFonts w:ascii="Consolas" w:cs="Consolas" w:eastAsia="Consolas" w:hAnsi="Consolas"/>
          <w:sz w:val="20"/>
          <w:szCs w:val="20"/>
        </w:rPr>
        <w:t xml:space="preserve">  - matplotlib, seaborn</w:t>
      </w:r>
    </w:p>
    <w:p>
      <w:pPr>
        <w:pBdr>
          <w:left w:val="single" w:color="BFBFBF" w:sz="8" w:space="8"/>
        </w:pBdr>
        <w:spacing w:after="80" w:before="40"/>
        <w:ind w:left="360"/>
      </w:pPr>
      <w:r>
        <w:rPr>
          <w:rFonts w:ascii="Consolas" w:cs="Consolas" w:eastAsia="Consolas" w:hAnsi="Consolas"/>
          <w:sz w:val="20"/>
          <w:szCs w:val="20"/>
        </w:rPr>
        <w:t xml:space="preserve">  - statsmodels       # SARIMAX, ADF, KPSS, Diebold-Mariano</w:t>
      </w:r>
    </w:p>
    <w:p>
      <w:pPr>
        <w:pBdr>
          <w:left w:val="single" w:color="BFBFBF" w:sz="8" w:space="8"/>
        </w:pBdr>
        <w:spacing w:after="80" w:before="40"/>
        <w:ind w:left="360"/>
      </w:pPr>
      <w:r>
        <w:rPr>
          <w:rFonts w:ascii="Consolas" w:cs="Consolas" w:eastAsia="Consolas" w:hAnsi="Consolas"/>
          <w:sz w:val="20"/>
          <w:szCs w:val="20"/>
        </w:rPr>
        <w:t xml:space="preserve">  - scikit-learn      # Isolation Forest, logistic regression baselines</w:t>
      </w:r>
    </w:p>
    <w:p>
      <w:pPr>
        <w:pBdr>
          <w:left w:val="single" w:color="BFBFBF" w:sz="8" w:space="8"/>
        </w:pBdr>
        <w:spacing w:after="80" w:before="40"/>
        <w:ind w:left="360"/>
      </w:pPr>
      <w:r>
        <w:rPr>
          <w:rFonts w:ascii="Consolas" w:cs="Consolas" w:eastAsia="Consolas" w:hAnsi="Consolas"/>
          <w:sz w:val="20"/>
          <w:szCs w:val="20"/>
        </w:rPr>
        <w:t xml:space="preserve">  - pip</w:t>
      </w:r>
    </w:p>
    <w:p>
      <w:pPr>
        <w:pBdr>
          <w:left w:val="single" w:color="BFBFBF" w:sz="8" w:space="8"/>
        </w:pBdr>
        <w:spacing w:after="80" w:before="40"/>
        <w:ind w:left="360"/>
      </w:pPr>
      <w:r>
        <w:rPr>
          <w:rFonts w:ascii="Consolas" w:cs="Consolas" w:eastAsia="Consolas" w:hAnsi="Consolas"/>
          <w:sz w:val="20"/>
          <w:szCs w:val="20"/>
        </w:rPr>
        <w:t xml:space="preserve">  - pip:</w:t>
      </w:r>
    </w:p>
    <w:p>
      <w:pPr>
        <w:pBdr>
          <w:left w:val="single" w:color="BFBFBF" w:sz="8" w:space="8"/>
        </w:pBdr>
        <w:spacing w:after="80" w:before="40"/>
        <w:ind w:left="360"/>
      </w:pPr>
      <w:r>
        <w:rPr>
          <w:rFonts w:ascii="Consolas" w:cs="Consolas" w:eastAsia="Consolas" w:hAnsi="Consolas"/>
          <w:sz w:val="20"/>
          <w:szCs w:val="20"/>
        </w:rPr>
        <w:t xml:space="preserve">      - filterpy      # Kalman filter implementations</w:t>
      </w:r>
    </w:p>
    <w:p>
      <w:pPr>
        <w:pBdr>
          <w:left w:val="single" w:color="BFBFBF" w:sz="8" w:space="8"/>
        </w:pBdr>
        <w:spacing w:after="80" w:before="40"/>
        <w:ind w:left="360"/>
      </w:pPr>
      <w:r>
        <w:rPr>
          <w:rFonts w:ascii="Consolas" w:cs="Consolas" w:eastAsia="Consolas" w:hAnsi="Consolas"/>
          <w:sz w:val="20"/>
          <w:szCs w:val="20"/>
        </w:rPr>
        <w:t xml:space="preserve">      - pykalman      # alternative Kalman library</w:t>
      </w:r>
    </w:p>
    <w:p>
      <w:pPr>
        <w:pBdr>
          <w:left w:val="single" w:color="BFBFBF" w:sz="8" w:space="8"/>
        </w:pBdr>
        <w:spacing w:after="80" w:before="40"/>
        <w:ind w:left="360"/>
      </w:pPr>
      <w:r>
        <w:rPr>
          <w:rFonts w:ascii="Consolas" w:cs="Consolas" w:eastAsia="Consolas" w:hAnsi="Consolas"/>
          <w:sz w:val="20"/>
          <w:szCs w:val="20"/>
        </w:rPr>
        <w:t xml:space="preserve">      - ipython         # interactive REPL only</w:t>
      </w:r>
    </w:p>
    <w:p>
      <w:pPr>
        <w:pStyle w:val="ListParagraph"/>
        <w:numPr>
          <w:ilvl w:val="0"/>
          <w:numId w:val="2"/>
        </w:numPr>
        <w:spacing w:after="80"/>
      </w:pPr>
      <w:r>
        <w:rPr>
          <w:b/>
          <w:bCs/>
        </w:rPr>
        <w:t xml:space="preserve">How</w:t>
      </w:r>
      <w:r>
        <w:t xml:space="preserve"> — conda env create -f environment.yml &amp;&amp; conda activate chapter-xx</w:t>
      </w:r>
    </w:p>
    <w:p>
      <w:pPr>
        <w:pStyle w:val="ListParagraph"/>
        <w:numPr>
          <w:ilvl w:val="0"/>
          <w:numId w:val="2"/>
        </w:numPr>
        <w:spacing w:after="80"/>
      </w:pPr>
      <w:r>
        <w:rPr>
          <w:b/>
          <w:bCs/>
        </w:rPr>
        <w:t xml:space="preserve">Output</w:t>
      </w:r>
      <w:r>
        <w:t xml:space="preserve"> — Working environment, locked. environment.yml committed.</w:t>
      </w:r>
    </w:p>
    <w:p>
      <w:pPr>
        <w:pStyle w:val="ListParagraph"/>
        <w:numPr>
          <w:ilvl w:val="0"/>
          <w:numId w:val="2"/>
        </w:numPr>
        <w:spacing w:after="80"/>
      </w:pPr>
      <w:r>
        <w:rPr>
          <w:b/>
          <w:bCs/>
        </w:rPr>
        <w:t xml:space="preserve">Time</w:t>
      </w:r>
      <w:r>
        <w:t xml:space="preserve"> — 1-2 hours including dependency resolution.</w:t>
      </w:r>
    </w:p>
    <w:p>
      <w:pPr>
        <w:pStyle w:val="Heading2"/>
        <w:spacing w:after="120" w:before="240"/>
      </w:pPr>
      <w:r>
        <w:t xml:space="preserve">PW-4. Set up the decisions log</w:t>
      </w:r>
    </w:p>
    <w:p>
      <w:pPr>
        <w:pStyle w:val="ListParagraph"/>
        <w:numPr>
          <w:ilvl w:val="0"/>
          <w:numId w:val="2"/>
        </w:numPr>
        <w:spacing w:after="80"/>
      </w:pPr>
      <w:r>
        <w:rPr>
          <w:b/>
          <w:bCs/>
        </w:rPr>
        <w:t xml:space="preserve">Why</w:t>
      </w:r>
      <w:r>
        <w:t xml:space="preserve"> — A PhD chapter accumulates many small methodological choices (windows, thresholds, fill strategies). Writing them down as you make them is much cheaper than reconstructing them at thesis-defense time.</w:t>
      </w:r>
    </w:p>
    <w:p>
      <w:pPr>
        <w:pStyle w:val="ListParagraph"/>
        <w:numPr>
          <w:ilvl w:val="0"/>
          <w:numId w:val="2"/>
        </w:numPr>
        <w:spacing w:after="80"/>
      </w:pPr>
      <w:r>
        <w:rPr>
          <w:b/>
          <w:bCs/>
        </w:rPr>
        <w:t xml:space="preserve">How</w:t>
      </w:r>
      <w:r>
        <w:t xml:space="preserve"> — docs/decisions.md as a running log. Each entry: date, decision, alternatives considered, why chosen. Examples to be filled in as you go: "set leak threshold to 1000 ppm (following Viefhues / WHO 2000)"; "removed July 14 outlier — sensor drift, not real signal".</w:t>
      </w:r>
    </w:p>
    <w:p>
      <w:pPr>
        <w:pStyle w:val="ListParagraph"/>
        <w:numPr>
          <w:ilvl w:val="0"/>
          <w:numId w:val="2"/>
        </w:numPr>
        <w:spacing w:after="80"/>
      </w:pPr>
      <w:r>
        <w:rPr>
          <w:b/>
          <w:bCs/>
        </w:rPr>
        <w:t xml:space="preserve">Time</w:t>
      </w:r>
      <w:r>
        <w:t xml:space="preserve"> — 5 minutes to start; ongoing throughout.</w:t>
      </w:r>
    </w:p>
    <w:p>
      <w:pPr>
        <w:pStyle w:val="Heading1"/>
        <w:spacing w:after="180" w:before="360"/>
      </w:pPr>
      <w:r>
        <w:t xml:space="preserve">Week 1 (June 1-7): Data ingestion and inspection</w:t>
      </w:r>
    </w:p>
    <w:p>
      <w:pPr>
        <w:pStyle w:val="Heading2"/>
        <w:spacing w:after="120" w:before="240"/>
      </w:pPr>
      <w:r>
        <w:t xml:space="preserve">Task 1.1 — Ingest the Kerkrade IoT stream</w:t>
      </w:r>
    </w:p>
    <w:p>
      <w:pPr>
        <w:pStyle w:val="ListParagraph"/>
        <w:numPr>
          <w:ilvl w:val="0"/>
          <w:numId w:val="2"/>
        </w:numPr>
        <w:spacing w:after="80"/>
      </w:pPr>
      <w:r>
        <w:rPr>
          <w:b/>
          <w:bCs/>
        </w:rPr>
        <w:t xml:space="preserve">Why</w:t>
      </w:r>
      <w:r>
        <w:t xml:space="preserve"> — Need a clean, time-aligned, indexed pandas DataFrame before anything else happens.</w:t>
      </w:r>
    </w:p>
    <w:p>
      <w:pPr>
        <w:pStyle w:val="ListParagraph"/>
        <w:numPr>
          <w:ilvl w:val="0"/>
          <w:numId w:val="2"/>
        </w:numPr>
        <w:spacing w:after="80"/>
      </w:pPr>
      <w:r>
        <w:rPr>
          <w:b/>
          <w:bCs/>
        </w:rPr>
        <w:t xml:space="preserve">How</w:t>
      </w:r>
      <w:r>
        <w:t xml:space="preserve"> — Write src/io_data.py::load_iot() that: reads the raw CSV; parses timestamps to UTC; reindexes to a consistent frequency (suggest hourly, matching Viefhues / Eryilmaz); fills small gaps (≤20 min) by interpolation; flags larger gaps; returns DataFrame with index, columns CO2/temp/humidity/pressure/PM2.5/PM10.</w:t>
      </w:r>
    </w:p>
    <w:p>
      <w:pPr>
        <w:pStyle w:val="ListParagraph"/>
        <w:numPr>
          <w:ilvl w:val="0"/>
          <w:numId w:val="2"/>
        </w:numPr>
        <w:spacing w:after="80"/>
      </w:pPr>
      <w:r>
        <w:rPr>
          <w:b/>
          <w:bCs/>
        </w:rPr>
        <w:t xml:space="preserve">Output</w:t>
      </w:r>
      <w:r>
        <w:t xml:space="preserve"> — 01_eda.py that loads the data, shows summary statistics, flags any gaps or calibration shifts. Save a plot of CO2 over the full window as results/eda/co2-fullwindow.png.</w:t>
      </w:r>
    </w:p>
    <w:p>
      <w:pPr>
        <w:pStyle w:val="ListParagraph"/>
        <w:numPr>
          <w:ilvl w:val="0"/>
          <w:numId w:val="2"/>
        </w:numPr>
        <w:spacing w:after="80"/>
      </w:pPr>
      <w:r>
        <w:rPr>
          <w:b/>
          <w:bCs/>
        </w:rPr>
        <w:t xml:space="preserve">Watch for</w:t>
      </w:r>
      <w:r>
        <w:t xml:space="preserve"> — The ABC autocalibration issue Viefhues documented — if the sensor recalibrates daily to 400 ppm, you'll see suspicious sharp drops. Document handling in decisions log.</w:t>
      </w:r>
    </w:p>
    <w:p>
      <w:pPr>
        <w:pStyle w:val="ListParagraph"/>
        <w:numPr>
          <w:ilvl w:val="0"/>
          <w:numId w:val="2"/>
        </w:numPr>
        <w:spacing w:after="80"/>
      </w:pPr>
      <w:r>
        <w:rPr>
          <w:b/>
          <w:bCs/>
        </w:rPr>
        <w:t xml:space="preserve">Time</w:t>
      </w:r>
      <w:r>
        <w:t xml:space="preserve"> — Half-day.</w:t>
      </w:r>
    </w:p>
    <w:p>
      <w:pPr>
        <w:pStyle w:val="Heading2"/>
        <w:spacing w:after="120" w:before="240"/>
      </w:pPr>
      <w:r>
        <w:t xml:space="preserve">Task 1.2 — Ingest Visualcrossing weather</w:t>
      </w:r>
    </w:p>
    <w:p>
      <w:pPr>
        <w:pStyle w:val="ListParagraph"/>
        <w:numPr>
          <w:ilvl w:val="0"/>
          <w:numId w:val="2"/>
        </w:numPr>
        <w:spacing w:after="80"/>
      </w:pPr>
      <w:r>
        <w:rPr>
          <w:b/>
          <w:bCs/>
        </w:rPr>
        <w:t xml:space="preserve">Why</w:t>
      </w:r>
      <w:r>
        <w:t xml:space="preserve"> — Same window, hourly, aligned to the IoT stream.</w:t>
      </w:r>
    </w:p>
    <w:p>
      <w:pPr>
        <w:pStyle w:val="ListParagraph"/>
        <w:numPr>
          <w:ilvl w:val="0"/>
          <w:numId w:val="2"/>
        </w:numPr>
        <w:spacing w:after="80"/>
      </w:pPr>
      <w:r>
        <w:rPr>
          <w:b/>
          <w:bCs/>
        </w:rPr>
        <w:t xml:space="preserve">How</w:t>
      </w:r>
      <w:r>
        <w:t xml:space="preserve"> — src/io_data.py::load_weather(). Same temporal index as IoT. Save the joined DataFrame to data/interim/.</w:t>
      </w:r>
    </w:p>
    <w:p>
      <w:pPr>
        <w:pStyle w:val="ListParagraph"/>
        <w:numPr>
          <w:ilvl w:val="0"/>
          <w:numId w:val="2"/>
        </w:numPr>
        <w:spacing w:after="80"/>
      </w:pPr>
      <w:r>
        <w:rPr>
          <w:b/>
          <w:bCs/>
        </w:rPr>
        <w:t xml:space="preserve">Output</w:t>
      </w:r>
      <w:r>
        <w:t xml:space="preserve"> — Joined DataFrame, plot showing weather vs. CO2 over a few example periods.</w:t>
      </w:r>
    </w:p>
    <w:p>
      <w:pPr>
        <w:pStyle w:val="ListParagraph"/>
        <w:numPr>
          <w:ilvl w:val="0"/>
          <w:numId w:val="2"/>
        </w:numPr>
        <w:spacing w:after="80"/>
      </w:pPr>
      <w:r>
        <w:rPr>
          <w:b/>
          <w:bCs/>
        </w:rPr>
        <w:t xml:space="preserve">Time</w:t>
      </w:r>
      <w:r>
        <w:t xml:space="preserve"> — Half-day including QC plots.</w:t>
      </w:r>
    </w:p>
    <w:p>
      <w:pPr>
        <w:pStyle w:val="Heading2"/>
        <w:spacing w:after="120" w:before="240"/>
      </w:pPr>
      <w:r>
        <w:t xml:space="preserve">Task 1.3 — Pull Worm and Geul discharge</w:t>
      </w:r>
    </w:p>
    <w:p>
      <w:pPr>
        <w:pStyle w:val="ListParagraph"/>
        <w:numPr>
          <w:ilvl w:val="0"/>
          <w:numId w:val="2"/>
        </w:numPr>
        <w:spacing w:after="80"/>
      </w:pPr>
      <w:r>
        <w:rPr>
          <w:b/>
          <w:bCs/>
        </w:rPr>
        <w:t xml:space="preserve">Why</w:t>
      </w:r>
      <w:r>
        <w:t xml:space="preserve"> — Without local discharge for Jan 2025-present you have no labels at all. This is the unblock-everything task.</w:t>
      </w:r>
    </w:p>
    <w:p>
      <w:pPr>
        <w:pStyle w:val="ListParagraph"/>
        <w:numPr>
          <w:ilvl w:val="0"/>
          <w:numId w:val="2"/>
        </w:numPr>
        <w:spacing w:after="80"/>
      </w:pPr>
      <w:r>
        <w:rPr>
          <w:b/>
          <w:bCs/>
        </w:rPr>
        <w:t xml:space="preserve">How</w:t>
      </w:r>
      <w:r>
        <w:t xml:space="preserve"> — Worm/Wurm: WVER at Wurmtal (https://wver.de) — download CSV for Jan 2025-present. Geul: Waterstand Limburg / Waterschap Limburg (https://www.waterschaplimburg.nl) — Hommerich and Meerssen stations. Hourly or sub-hourly. Save raw to data/raw/discharge/.</w:t>
      </w:r>
    </w:p>
    <w:p>
      <w:pPr>
        <w:pStyle w:val="ListParagraph"/>
        <w:numPr>
          <w:ilvl w:val="0"/>
          <w:numId w:val="2"/>
        </w:numPr>
        <w:spacing w:after="80"/>
      </w:pPr>
      <w:r>
        <w:rPr>
          <w:b/>
          <w:bCs/>
        </w:rPr>
        <w:t xml:space="preserve">Output</w:t>
      </w:r>
      <w:r>
        <w:t xml:space="preserve"> — Two CSV files in data/raw/discharge/. Loader in src/io_data.py::load_discharge() that returns a DataFrame aligned to the IoT/weather index.</w:t>
      </w:r>
    </w:p>
    <w:p>
      <w:pPr>
        <w:pStyle w:val="ListParagraph"/>
        <w:numPr>
          <w:ilvl w:val="0"/>
          <w:numId w:val="2"/>
        </w:numPr>
        <w:spacing w:after="80"/>
      </w:pPr>
      <w:r>
        <w:rPr>
          <w:b/>
          <w:bCs/>
        </w:rPr>
        <w:t xml:space="preserve">Time</w:t>
      </w:r>
      <w:r>
        <w:t xml:space="preserve"> — Half-day.</w:t>
      </w:r>
    </w:p>
    <w:p>
      <w:pPr>
        <w:pStyle w:val="Heading2"/>
        <w:spacing w:after="120" w:before="240"/>
      </w:pPr>
      <w:r>
        <w:t xml:space="preserve">Task 1.4 — Build the soft-label event catalogue</w:t>
      </w:r>
    </w:p>
    <w:p>
      <w:pPr>
        <w:pStyle w:val="ListParagraph"/>
        <w:numPr>
          <w:ilvl w:val="0"/>
          <w:numId w:val="2"/>
        </w:numPr>
        <w:spacing w:after="80"/>
      </w:pPr>
      <w:r>
        <w:rPr>
          <w:b/>
          <w:bCs/>
        </w:rPr>
        <w:t xml:space="preserve">Why</w:t>
      </w:r>
      <w:r>
        <w:t xml:space="preserve"> — Eryilmaz's data didn't include the flood; Viefhues had one flood. You have ~17 months with whatever discharge events happened. Need to enumerate them.</w:t>
      </w:r>
    </w:p>
    <w:p>
      <w:pPr>
        <w:pStyle w:val="ListParagraph"/>
        <w:numPr>
          <w:ilvl w:val="0"/>
          <w:numId w:val="2"/>
        </w:numPr>
        <w:spacing w:after="80"/>
      </w:pPr>
      <w:r>
        <w:rPr>
          <w:b/>
          <w:bCs/>
        </w:rPr>
        <w:t xml:space="preserve">How</w:t>
      </w:r>
      <w:r>
        <w:t xml:space="preserve"> — For each gauge, compute the 90th and 95th percentile of discharge over a comparable historical baseline (use the longer historical record if available, not just the 17-month window). Mark sustained exceedance windows (e.g. discharge &gt; 90th for at least 6 hours = one event). Define antecedent windows: 24h, 72h, 7d before event start.</w:t>
      </w:r>
    </w:p>
    <w:p>
      <w:pPr>
        <w:pStyle w:val="ListParagraph"/>
        <w:numPr>
          <w:ilvl w:val="0"/>
          <w:numId w:val="2"/>
        </w:numPr>
        <w:spacing w:after="80"/>
      </w:pPr>
      <w:r>
        <w:rPr>
          <w:b/>
          <w:bCs/>
        </w:rPr>
        <w:t xml:space="preserve">Output</w:t>
      </w:r>
      <w:r>
        <w:t xml:space="preserve"> — data/processed/events.csv with columns: start, end, gauge, peak_discharge, percentile, antecedent_24h_start, antecedent_72h_start, antecedent_7d_start.</w:t>
      </w:r>
    </w:p>
    <w:p>
      <w:pPr>
        <w:pStyle w:val="ListParagraph"/>
        <w:numPr>
          <w:ilvl w:val="0"/>
          <w:numId w:val="2"/>
        </w:numPr>
        <w:spacing w:after="80"/>
      </w:pPr>
      <w:r>
        <w:rPr>
          <w:b/>
          <w:bCs/>
        </w:rPr>
        <w:t xml:space="preserve">Time</w:t>
      </w:r>
      <w:r>
        <w:t xml:space="preserve"> — Half-day.</w:t>
      </w:r>
    </w:p>
    <w:p>
      <w:pPr>
        <w:pStyle w:val="Heading1"/>
        <w:spacing w:after="180" w:before="360"/>
      </w:pPr>
      <w:r>
        <w:t xml:space="preserve">Week 2 (June 8-14): Barometric baseline and first kill check</w:t>
      </w:r>
    </w:p>
    <w:p>
      <w:pPr>
        <w:pStyle w:val="Heading2"/>
        <w:spacing w:after="120" w:before="240"/>
      </w:pPr>
      <w:r>
        <w:t xml:space="preserve">Task 2.1 — Compute pressure tendency features</w:t>
      </w:r>
    </w:p>
    <w:p>
      <w:pPr>
        <w:pStyle w:val="ListParagraph"/>
        <w:numPr>
          <w:ilvl w:val="0"/>
          <w:numId w:val="2"/>
        </w:numPr>
        <w:spacing w:after="80"/>
      </w:pPr>
      <w:r>
        <w:rPr>
          <w:b/>
          <w:bCs/>
        </w:rPr>
        <w:t xml:space="preserve">Why</w:t>
      </w:r>
      <w:r>
        <w:t xml:space="preserve"> — Eryilmaz showed that ΔAP-6h (6-hour pressure change) is the dominant feature. Recreate it. Also compute deltas at 1h, 3h, 12h, 24h for completeness.</w:t>
      </w:r>
    </w:p>
    <w:p>
      <w:pPr>
        <w:pStyle w:val="ListParagraph"/>
        <w:numPr>
          <w:ilvl w:val="0"/>
          <w:numId w:val="2"/>
        </w:numPr>
        <w:spacing w:after="80"/>
      </w:pPr>
      <w:r>
        <w:rPr>
          <w:b/>
          <w:bCs/>
        </w:rPr>
        <w:t xml:space="preserve">How</w:t>
      </w:r>
      <w:r>
        <w:t xml:space="preserve"> — src/features.py::pressure_deltas(df, lags=[1,3,6,12,24]).</w:t>
      </w:r>
    </w:p>
    <w:p>
      <w:pPr>
        <w:pStyle w:val="ListParagraph"/>
        <w:numPr>
          <w:ilvl w:val="0"/>
          <w:numId w:val="2"/>
        </w:numPr>
        <w:spacing w:after="80"/>
      </w:pPr>
      <w:r>
        <w:rPr>
          <w:b/>
          <w:bCs/>
        </w:rPr>
        <w:t xml:space="preserve">Output</w:t>
      </w:r>
      <w:r>
        <w:t xml:space="preserve"> — Augmented feature DataFrame with delta_pressure_{lag}h columns.</w:t>
      </w:r>
    </w:p>
    <w:p>
      <w:pPr>
        <w:pStyle w:val="ListParagraph"/>
        <w:numPr>
          <w:ilvl w:val="0"/>
          <w:numId w:val="2"/>
        </w:numPr>
        <w:spacing w:after="80"/>
      </w:pPr>
      <w:r>
        <w:rPr>
          <w:b/>
          <w:bCs/>
        </w:rPr>
        <w:t xml:space="preserve">Time</w:t>
      </w:r>
      <w:r>
        <w:t xml:space="preserve"> — 1-2 hours.</w:t>
      </w:r>
    </w:p>
    <w:p>
      <w:pPr>
        <w:pStyle w:val="Heading2"/>
        <w:spacing w:after="120" w:before="240"/>
      </w:pPr>
      <w:r>
        <w:t xml:space="preserve">Task 2.2 — Fit the barometric regression</w:t>
      </w:r>
    </w:p>
    <w:p>
      <w:pPr>
        <w:pStyle w:val="ListParagraph"/>
        <w:numPr>
          <w:ilvl w:val="0"/>
          <w:numId w:val="2"/>
        </w:numPr>
        <w:spacing w:after="80"/>
      </w:pPr>
      <w:r>
        <w:rPr>
          <w:b/>
          <w:bCs/>
        </w:rPr>
        <w:t xml:space="preserve">Why</w:t>
      </w:r>
      <w:r>
        <w:t xml:space="preserve"> — This is the chapter's Stage 1 decomposition. What fraction of CO2 variance does pressure (level + tendency) explain?</w:t>
      </w:r>
    </w:p>
    <w:p>
      <w:pPr>
        <w:pStyle w:val="ListParagraph"/>
        <w:numPr>
          <w:ilvl w:val="0"/>
          <w:numId w:val="2"/>
        </w:numPr>
        <w:spacing w:after="80"/>
      </w:pPr>
      <w:r>
        <w:rPr>
          <w:b/>
          <w:bCs/>
        </w:rPr>
        <w:t xml:space="preserve">How</w:t>
      </w:r>
      <w:r>
        <w:t xml:space="preserve"> — Linear regression: CO2 ~ pressure + delta_pressure_1h + delta_pressure_3h + delta_pressure_6h + delta_pressure_12h + delta_pressure_24h. Report R². Then GAM or ridge with the same features if linear is too restrictive.</w:t>
      </w:r>
    </w:p>
    <w:p>
      <w:pPr>
        <w:pStyle w:val="ListParagraph"/>
        <w:numPr>
          <w:ilvl w:val="0"/>
          <w:numId w:val="2"/>
        </w:numPr>
        <w:spacing w:after="80"/>
      </w:pPr>
      <w:r>
        <w:rPr>
          <w:b/>
          <w:bCs/>
        </w:rPr>
        <w:t xml:space="preserve">Output</w:t>
      </w:r>
      <w:r>
        <w:t xml:space="preserve"> — Script 02_barometric_baseline.py. Reported R² in results/baseline/r2.txt. Residual time series saved to data/processed/co2-residual-barometric.csv. Plot of CO2 vs. fit vs. residual.</w:t>
      </w:r>
    </w:p>
    <w:p>
      <w:pPr>
        <w:pStyle w:val="ListParagraph"/>
        <w:numPr>
          <w:ilvl w:val="0"/>
          <w:numId w:val="2"/>
        </w:numPr>
        <w:spacing w:after="80"/>
      </w:pPr>
      <w:r>
        <w:rPr>
          <w:b/>
          <w:bCs/>
        </w:rPr>
        <w:t xml:space="preserve">Time</w:t>
      </w:r>
      <w:r>
        <w:t xml:space="preserve"> — Half-day.</w:t>
      </w:r>
    </w:p>
    <w:p>
      <w:pPr>
        <w:pStyle w:val="Heading2"/>
        <w:spacing w:after="120" w:before="240"/>
      </w:pPr>
      <w:r>
        <w:t xml:space="preserve">Task 2.3 — KILL CHECK 1: Is there residual hydrological signal?</w:t>
      </w:r>
    </w:p>
    <w:p>
      <w:pPr>
        <w:pStyle w:val="ListParagraph"/>
        <w:numPr>
          <w:ilvl w:val="0"/>
          <w:numId w:val="2"/>
        </w:numPr>
        <w:spacing w:after="80"/>
      </w:pPr>
      <w:r>
        <w:rPr>
          <w:b/>
          <w:bCs/>
        </w:rPr>
        <w:t xml:space="preserve">Criterion</w:t>
      </w:r>
      <w:r>
        <w:t xml:space="preserve"> — If pressure features alone explain &gt;95% of CO2 variance, the residual signal available for the rest of the pipeline is too small to support the chapter as framed. Stop and redirect.</w:t>
      </w:r>
    </w:p>
    <w:p>
      <w:pPr>
        <w:pStyle w:val="ListParagraph"/>
        <w:numPr>
          <w:ilvl w:val="0"/>
          <w:numId w:val="2"/>
        </w:numPr>
        <w:spacing w:after="80"/>
      </w:pPr>
      <w:r>
        <w:rPr>
          <w:b/>
          <w:bCs/>
        </w:rPr>
        <w:t xml:space="preserve">Recommended threshold</w:t>
      </w:r>
      <w:r>
        <w:t xml:space="preserve"> — R² ≤ 0.85 = clearly proceed. 0.85-0.95 = proceed with caution, document. &gt; 0.95 = redirect (chapter becomes a barometric-decomposition methods paper, not a hydrological-signal paper).</w:t>
      </w:r>
    </w:p>
    <w:p>
      <w:pPr>
        <w:pStyle w:val="ListParagraph"/>
        <w:numPr>
          <w:ilvl w:val="0"/>
          <w:numId w:val="2"/>
        </w:numPr>
        <w:spacing w:after="80"/>
      </w:pPr>
      <w:r>
        <w:rPr>
          <w:b/>
          <w:bCs/>
        </w:rPr>
        <w:t xml:space="preserve">Compare to Wrona 2025</w:t>
      </w:r>
      <w:r>
        <w:t xml:space="preserve"> — Reports R² ≈ 0.67 for pressure tendency vs. CO₂ in a closed Polish shaft. If your number is in that range, you have residual variance to work with.</w:t>
      </w:r>
    </w:p>
    <w:p>
      <w:pPr>
        <w:pStyle w:val="ListParagraph"/>
        <w:numPr>
          <w:ilvl w:val="0"/>
          <w:numId w:val="2"/>
        </w:numPr>
        <w:spacing w:after="80"/>
      </w:pPr>
      <w:r>
        <w:rPr>
          <w:b/>
          <w:bCs/>
        </w:rPr>
        <w:t xml:space="preserve">Output</w:t>
      </w:r>
      <w:r>
        <w:t xml:space="preserve"> — Decision recorded in docs/decisions.md. If redirecting, pause and discuss with supervisor before proceeding.</w:t>
      </w:r>
    </w:p>
    <w:p>
      <w:pPr>
        <w:pStyle w:val="Heading1"/>
        <w:spacing w:after="180" w:before="360"/>
      </w:pPr>
      <w:r>
        <w:t xml:space="preserve">Week 3 (June 15-21): Eryilmaz replication and second kill check</w:t>
      </w:r>
    </w:p>
    <w:p>
      <w:pPr>
        <w:pStyle w:val="Heading2"/>
        <w:spacing w:after="120" w:before="240"/>
      </w:pPr>
      <w:r>
        <w:t xml:space="preserve">Task 3.1 — Recreate Eryilmaz's two logistic-regression models</w:t>
      </w:r>
    </w:p>
    <w:p>
      <w:pPr>
        <w:pStyle w:val="ListParagraph"/>
        <w:numPr>
          <w:ilvl w:val="0"/>
          <w:numId w:val="2"/>
        </w:numPr>
        <w:spacing w:after="80"/>
      </w:pPr>
      <w:r>
        <w:rPr>
          <w:b/>
          <w:bCs/>
        </w:rPr>
        <w:t xml:space="preserve">Why</w:t>
      </w:r>
      <w:r>
        <w:t xml:space="preserve"> — Confirms the empirical premise of the chapter on your own data window. Eryilmaz used Sep 2020-May 2021; you have Jan 2025-present.</w:t>
      </w:r>
    </w:p>
    <w:p>
      <w:pPr>
        <w:pStyle w:val="ListParagraph"/>
        <w:numPr>
          <w:ilvl w:val="0"/>
          <w:numId w:val="2"/>
        </w:numPr>
        <w:spacing w:after="80"/>
      </w:pPr>
      <w:r>
        <w:rPr>
          <w:b/>
          <w:bCs/>
        </w:rPr>
        <w:t xml:space="preserve">How</w:t>
      </w:r>
      <w:r>
        <w:t xml:space="preserve"> — Define target: binary CO2 &gt; 1000 ppm. Model A: features = [indoor temp, humidity, pressure, ΔAP-6h]. Model B: features = [outdoor (Visualcrossing) temp, humidity, pressure, ΔAP-6h]. Logistic regression with random 5-fold cross-validation, identical to Eryilmaz's setup. Report AUROC for each.</w:t>
      </w:r>
    </w:p>
    <w:p>
      <w:pPr>
        <w:pStyle w:val="ListParagraph"/>
        <w:numPr>
          <w:ilvl w:val="0"/>
          <w:numId w:val="2"/>
        </w:numPr>
        <w:spacing w:after="80"/>
      </w:pPr>
      <w:r>
        <w:rPr>
          <w:b/>
          <w:bCs/>
        </w:rPr>
        <w:t xml:space="preserve">CV scheme — important</w:t>
      </w:r>
      <w:r>
        <w:t xml:space="preserve"> — Eryilmaz used random 5-fold CV, which is methodologically suspect for autocorrelated time series. The chapter's own modelling (from July onward) uses time-aware schemes — blocked, rolling-origin, or forward-chaining. The random 5-fold here is intentional and confined to this replication task; the goal is faithful reproduction of the prior result on the new data window, not methodological endorsement. Document this distinction in the decisions log so it doesn't look like an inconsistency at examination.</w:t>
      </w:r>
    </w:p>
    <w:p>
      <w:pPr>
        <w:pStyle w:val="ListParagraph"/>
        <w:numPr>
          <w:ilvl w:val="0"/>
          <w:numId w:val="2"/>
        </w:numPr>
        <w:spacing w:after="80"/>
      </w:pPr>
      <w:r>
        <w:rPr>
          <w:b/>
          <w:bCs/>
        </w:rPr>
        <w:t xml:space="preserve">Output</w:t>
      </w:r>
      <w:r>
        <w:t xml:space="preserve"> — Script 03_eryilmaz_replication.py. Reported AUROCs in results/eryilmaz/. ROC curve plot. Decisions-log entry noting the deliberate use of random 5-fold for replication only.</w:t>
      </w:r>
    </w:p>
    <w:p>
      <w:pPr>
        <w:pStyle w:val="ListParagraph"/>
        <w:numPr>
          <w:ilvl w:val="0"/>
          <w:numId w:val="2"/>
        </w:numPr>
        <w:spacing w:after="80"/>
      </w:pPr>
      <w:r>
        <w:rPr>
          <w:b/>
          <w:bCs/>
        </w:rPr>
        <w:t xml:space="preserve">Watch for</w:t>
      </w:r>
      <w:r>
        <w:t xml:space="preserve"> — Eryilmaz reported A=0.96, B=0.94 on the pre-flood normal window. Your numbers may differ; that's fine. What matters is whether B is comparable to A.</w:t>
      </w:r>
    </w:p>
    <w:p>
      <w:pPr>
        <w:pStyle w:val="ListParagraph"/>
        <w:numPr>
          <w:ilvl w:val="0"/>
          <w:numId w:val="2"/>
        </w:numPr>
        <w:spacing w:after="80"/>
      </w:pPr>
      <w:r>
        <w:rPr>
          <w:b/>
          <w:bCs/>
        </w:rPr>
        <w:t xml:space="preserve">Time</w:t>
      </w:r>
      <w:r>
        <w:t xml:space="preserve"> — Half-day.</w:t>
      </w:r>
    </w:p>
    <w:p>
      <w:pPr>
        <w:pStyle w:val="Heading2"/>
        <w:spacing w:after="120" w:before="240"/>
      </w:pPr>
      <w:r>
        <w:t xml:space="preserve">Task 3.2 — KILL CHECK 2: Does the Eryilmaz result replicate?</w:t>
      </w:r>
    </w:p>
    <w:p>
      <w:pPr>
        <w:pStyle w:val="ListParagraph"/>
        <w:numPr>
          <w:ilvl w:val="0"/>
          <w:numId w:val="2"/>
        </w:numPr>
        <w:spacing w:after="80"/>
      </w:pPr>
      <w:r>
        <w:rPr>
          <w:b/>
          <w:bCs/>
        </w:rPr>
        <w:t xml:space="preserve">Criterion</w:t>
      </w:r>
      <w:r>
        <w:t xml:space="preserve"> — Model B AUROC should be within ~0.05 of Model A. If B &lt;&lt; A (large drop without indoor IoT), the empirical premise of the chapter (outdoor weather suffices) is weakened on your data.</w:t>
      </w:r>
    </w:p>
    <w:p>
      <w:pPr>
        <w:pStyle w:val="ListParagraph"/>
        <w:numPr>
          <w:ilvl w:val="0"/>
          <w:numId w:val="2"/>
        </w:numPr>
        <w:spacing w:after="80"/>
      </w:pPr>
      <w:r>
        <w:rPr>
          <w:b/>
          <w:bCs/>
        </w:rPr>
        <w:t xml:space="preserve">If it doesn't replicate</w:t>
      </w:r>
      <w:r>
        <w:t xml:space="preserve"> — Diagnose: is it the data window? Sensor drift? Different threshold needed? Don't redirect immediately — investigate first. But know that the framing in Section 9 of the scaffold needs adjustment.</w:t>
      </w:r>
    </w:p>
    <w:p>
      <w:pPr>
        <w:pStyle w:val="ListParagraph"/>
        <w:numPr>
          <w:ilvl w:val="0"/>
          <w:numId w:val="2"/>
        </w:numPr>
        <w:spacing w:after="80"/>
      </w:pPr>
      <w:r>
        <w:rPr>
          <w:b/>
          <w:bCs/>
        </w:rPr>
        <w:t xml:space="preserve">If it does replicate</w:t>
      </w:r>
      <w:r>
        <w:t xml:space="preserve"> — Document the AUROCs and proceed. Section 9 framing is on solid ground.</w:t>
      </w:r>
    </w:p>
    <w:p>
      <w:pPr>
        <w:pStyle w:val="Heading1"/>
        <w:spacing w:after="180" w:before="360"/>
      </w:pPr>
      <w:r>
        <w:t xml:space="preserve">Week 4 (June 22-30): Initial signal characterization and data engineering</w:t>
      </w:r>
    </w:p>
    <w:p>
      <w:pPr>
        <w:pStyle w:val="Heading2"/>
        <w:spacing w:after="120" w:before="240"/>
      </w:pPr>
      <w:r>
        <w:t xml:space="preserve">Task 4.1 — Characterize the multivariate residual structure</w:t>
      </w:r>
    </w:p>
    <w:p>
      <w:pPr>
        <w:pStyle w:val="ListParagraph"/>
        <w:numPr>
          <w:ilvl w:val="0"/>
          <w:numId w:val="2"/>
        </w:numPr>
        <w:spacing w:after="80"/>
      </w:pPr>
      <w:r>
        <w:rPr>
          <w:b/>
          <w:bCs/>
        </w:rPr>
        <w:t xml:space="preserve">Why</w:t>
      </w:r>
      <w:r>
        <w:t xml:space="preserve"> — Section 9 of the scaffold asks: what is the signal Eryilmaz showed exists? Now answer it.</w:t>
      </w:r>
    </w:p>
    <w:p>
      <w:pPr>
        <w:pStyle w:val="ListParagraph"/>
        <w:numPr>
          <w:ilvl w:val="0"/>
          <w:numId w:val="2"/>
        </w:numPr>
        <w:spacing w:after="80"/>
      </w:pPr>
      <w:r>
        <w:rPr>
          <w:b/>
          <w:bCs/>
        </w:rPr>
        <w:t xml:space="preserve">How</w:t>
      </w:r>
      <w:r>
        <w:t xml:space="preserve"> — Starting from the barometric residual (Task 2.2 output) and the wider feature set (humidity, temp, PM2.5/PM10, deltas of each): cross-correlation analysis of residual with each non-pressure feature, at lags from -24h to +14d. Random Forest feature importance on the residual (target = some hydrological proxy: discharge, soft-label event flag). PCA / loadings on the multivariate stream.</w:t>
      </w:r>
    </w:p>
    <w:p>
      <w:pPr>
        <w:pStyle w:val="ListParagraph"/>
        <w:numPr>
          <w:ilvl w:val="0"/>
          <w:numId w:val="2"/>
        </w:numPr>
        <w:spacing w:after="80"/>
      </w:pPr>
      <w:r>
        <w:rPr>
          <w:b/>
          <w:bCs/>
        </w:rPr>
        <w:t xml:space="preserve">Output</w:t>
      </w:r>
      <w:r>
        <w:t xml:space="preserve"> — Script 04_signal_characterization.py. Document which channels carry the residual signal and at what timescales. Save as results/signal/ assets.</w:t>
      </w:r>
    </w:p>
    <w:p>
      <w:pPr>
        <w:pStyle w:val="ListParagraph"/>
        <w:numPr>
          <w:ilvl w:val="0"/>
          <w:numId w:val="2"/>
        </w:numPr>
        <w:spacing w:after="80"/>
      </w:pPr>
      <w:r>
        <w:rPr>
          <w:b/>
          <w:bCs/>
        </w:rPr>
        <w:t xml:space="preserve">Time</w:t>
      </w:r>
      <w:r>
        <w:t xml:space="preserve"> — 1-2 days.</w:t>
      </w:r>
    </w:p>
    <w:p>
      <w:pPr>
        <w:pStyle w:val="Heading2"/>
        <w:spacing w:after="120" w:before="240"/>
      </w:pPr>
      <w:r>
        <w:t xml:space="preserve">Task 4.2 — Pull KNMI reference met data</w:t>
      </w:r>
    </w:p>
    <w:p>
      <w:pPr>
        <w:pStyle w:val="ListParagraph"/>
        <w:numPr>
          <w:ilvl w:val="0"/>
          <w:numId w:val="2"/>
        </w:numPr>
        <w:spacing w:after="80"/>
      </w:pPr>
      <w:r>
        <w:rPr>
          <w:b/>
          <w:bCs/>
        </w:rPr>
        <w:t xml:space="preserve">Why</w:t>
      </w:r>
      <w:r>
        <w:t xml:space="preserve"> — Disambiguate Visualcrossing artefacts from real weather. KNMI Maastricht-Beek or Heerlen is the standard.</w:t>
      </w:r>
    </w:p>
    <w:p>
      <w:pPr>
        <w:pStyle w:val="ListParagraph"/>
        <w:numPr>
          <w:ilvl w:val="0"/>
          <w:numId w:val="2"/>
        </w:numPr>
        <w:spacing w:after="80"/>
      </w:pPr>
      <w:r>
        <w:rPr>
          <w:b/>
          <w:bCs/>
        </w:rPr>
        <w:t xml:space="preserve">How</w:t>
      </w:r>
      <w:r>
        <w:t xml:space="preserve"> — KNMI Data Platform (https://www.knmi.nl/dataplatform) — hourly or 10-min observations for the full data window. CSV download or API.</w:t>
      </w:r>
    </w:p>
    <w:p>
      <w:pPr>
        <w:pStyle w:val="ListParagraph"/>
        <w:numPr>
          <w:ilvl w:val="0"/>
          <w:numId w:val="2"/>
        </w:numPr>
        <w:spacing w:after="80"/>
      </w:pPr>
      <w:r>
        <w:rPr>
          <w:b/>
          <w:bCs/>
        </w:rPr>
        <w:t xml:space="preserve">Output</w:t>
      </w:r>
      <w:r>
        <w:t xml:space="preserve"> — data/raw/knmi/. Loader in io_data.py. Quick plot comparing KNMI vs Visualcrossing pressure, temperature — confirm they track.</w:t>
      </w:r>
    </w:p>
    <w:p>
      <w:pPr>
        <w:pStyle w:val="ListParagraph"/>
        <w:numPr>
          <w:ilvl w:val="0"/>
          <w:numId w:val="2"/>
        </w:numPr>
        <w:spacing w:after="80"/>
      </w:pPr>
      <w:r>
        <w:rPr>
          <w:b/>
          <w:bCs/>
        </w:rPr>
        <w:t xml:space="preserve">Time</w:t>
      </w:r>
      <w:r>
        <w:t xml:space="preserve"> — Half-day.</w:t>
      </w:r>
    </w:p>
    <w:p>
      <w:pPr>
        <w:pStyle w:val="Heading2"/>
        <w:spacing w:after="120" w:before="240"/>
      </w:pPr>
      <w:r>
        <w:t xml:space="preserve">Task 4.3 — Begin transfer-site data acquisition (RIVM Luchtmeetnet)</w:t>
      </w:r>
    </w:p>
    <w:p>
      <w:pPr>
        <w:pStyle w:val="ListParagraph"/>
        <w:numPr>
          <w:ilvl w:val="0"/>
          <w:numId w:val="2"/>
        </w:numPr>
        <w:spacing w:after="80"/>
      </w:pPr>
      <w:r>
        <w:rPr>
          <w:b/>
          <w:bCs/>
        </w:rPr>
        <w:t xml:space="preserve">Why</w:t>
      </w:r>
      <w:r>
        <w:t xml:space="preserve"> — Transfer-site data is the slowest part of the project; start early. RIVM is the easiest API (Dutch national AQ network).</w:t>
      </w:r>
    </w:p>
    <w:p>
      <w:pPr>
        <w:pStyle w:val="ListParagraph"/>
        <w:numPr>
          <w:ilvl w:val="0"/>
          <w:numId w:val="2"/>
        </w:numPr>
        <w:spacing w:after="80"/>
      </w:pPr>
      <w:r>
        <w:rPr>
          <w:b/>
          <w:bCs/>
        </w:rPr>
        <w:t xml:space="preserve">How</w:t>
      </w:r>
      <w:r>
        <w:t xml:space="preserve"> — API docs at https://www.luchtmeetnet.nl. Identify candidate stations (Maastricht, Roermond) and query their continuous variables for Jan 2025-present. Save to data/raw/transfer/rivm/.</w:t>
      </w:r>
    </w:p>
    <w:p>
      <w:pPr>
        <w:pStyle w:val="ListParagraph"/>
        <w:numPr>
          <w:ilvl w:val="0"/>
          <w:numId w:val="2"/>
        </w:numPr>
        <w:spacing w:after="80"/>
      </w:pPr>
      <w:r>
        <w:rPr>
          <w:b/>
          <w:bCs/>
        </w:rPr>
        <w:t xml:space="preserve">Output</w:t>
      </w:r>
      <w:r>
        <w:t xml:space="preserve"> — At minimum, one RIVM station fully ingested and aligned to the same hourly schema as Kerkrade. Loader in io_data.py.</w:t>
      </w:r>
    </w:p>
    <w:p>
      <w:pPr>
        <w:pStyle w:val="ListParagraph"/>
        <w:numPr>
          <w:ilvl w:val="0"/>
          <w:numId w:val="2"/>
        </w:numPr>
        <w:spacing w:after="80"/>
      </w:pPr>
      <w:r>
        <w:rPr>
          <w:b/>
          <w:bCs/>
        </w:rPr>
        <w:t xml:space="preserve">Time</w:t>
      </w:r>
      <w:r>
        <w:t xml:space="preserve"> — 1 day (API exploration + download + alignment).</w:t>
      </w:r>
    </w:p>
    <w:p>
      <w:pPr>
        <w:pStyle w:val="Heading2"/>
        <w:spacing w:after="120" w:before="240"/>
      </w:pPr>
      <w:r>
        <w:t xml:space="preserve">Task 4.4 — Solicit groundwater data</w:t>
      </w:r>
    </w:p>
    <w:p>
      <w:pPr>
        <w:pStyle w:val="ListParagraph"/>
        <w:numPr>
          <w:ilvl w:val="0"/>
          <w:numId w:val="2"/>
        </w:numPr>
        <w:spacing w:after="80"/>
      </w:pPr>
      <w:r>
        <w:rPr>
          <w:b/>
          <w:bCs/>
        </w:rPr>
        <w:t xml:space="preserve">Why</w:t>
      </w:r>
      <w:r>
        <w:t xml:space="preserve"> — Viefhues sourced ground/mine water via Jean Hacking (Provincie Limburg) and Rene Mols (Waterschap Limburg). Same data exists; you don't yet have it. Send the request now so it can return during July.</w:t>
      </w:r>
    </w:p>
    <w:p>
      <w:pPr>
        <w:pStyle w:val="ListParagraph"/>
        <w:numPr>
          <w:ilvl w:val="0"/>
          <w:numId w:val="2"/>
        </w:numPr>
        <w:spacing w:after="80"/>
      </w:pPr>
      <w:r>
        <w:rPr>
          <w:b/>
          <w:bCs/>
        </w:rPr>
        <w:t xml:space="preserve">How</w:t>
      </w:r>
      <w:r>
        <w:t xml:space="preserve"> — Direct email referencing Viefhues 2022 and asking for the same dataset extended to present. The thesis acknowledgements name them explicitly.</w:t>
      </w:r>
    </w:p>
    <w:p>
      <w:pPr>
        <w:pStyle w:val="ListParagraph"/>
        <w:numPr>
          <w:ilvl w:val="0"/>
          <w:numId w:val="2"/>
        </w:numPr>
        <w:spacing w:after="80"/>
      </w:pPr>
      <w:r>
        <w:rPr>
          <w:b/>
          <w:bCs/>
        </w:rPr>
        <w:t xml:space="preserve">Output</w:t>
      </w:r>
      <w:r>
        <w:t xml:space="preserve"> — Email sent. Track in docs/data-requests.md.</w:t>
      </w:r>
    </w:p>
    <w:p>
      <w:pPr>
        <w:pStyle w:val="ListParagraph"/>
        <w:numPr>
          <w:ilvl w:val="0"/>
          <w:numId w:val="2"/>
        </w:numPr>
        <w:spacing w:after="80"/>
      </w:pPr>
      <w:r>
        <w:rPr>
          <w:b/>
          <w:bCs/>
        </w:rPr>
        <w:t xml:space="preserve">Time</w:t>
      </w:r>
      <w:r>
        <w:t xml:space="preserve"> — 30 minutes.</w:t>
      </w:r>
    </w:p>
    <w:p>
      <w:pPr>
        <w:pStyle w:val="Heading1"/>
        <w:spacing w:after="180" w:before="360"/>
      </w:pPr>
      <w:r>
        <w:t xml:space="preserve">End-of-June review</w:t>
      </w:r>
    </w:p>
    <w:p>
      <w:pPr>
        <w:spacing w:after="160"/>
      </w:pPr>
      <w:r>
        <w:t xml:space="preserve">Before starting July, run through this self-check:</w:t>
      </w:r>
    </w:p>
    <w:p>
      <w:pPr>
        <w:pStyle w:val="ListParagraph"/>
        <w:numPr>
          <w:ilvl w:val="0"/>
          <w:numId w:val="2"/>
        </w:numPr>
        <w:spacing w:after="80"/>
      </w:pPr>
      <w:r>
        <w:rPr>
          <w:b w:val="false"/>
          <w:bCs w:val="false"/>
        </w:rPr>
        <w:t xml:space="preserve">[ ] Pre-work tasks all complete (notes, repo, env, decisions log).</w:t>
      </w:r>
    </w:p>
    <w:p>
      <w:pPr>
        <w:pStyle w:val="ListParagraph"/>
        <w:numPr>
          <w:ilvl w:val="0"/>
          <w:numId w:val="2"/>
        </w:numPr>
        <w:spacing w:after="80"/>
      </w:pPr>
      <w:r>
        <w:rPr>
          <w:b w:val="false"/>
          <w:bCs w:val="false"/>
        </w:rPr>
        <w:t xml:space="preserve">[ ] Discharge for Worm and Geul ingested; soft-label catalogue built.</w:t>
      </w:r>
    </w:p>
    <w:p>
      <w:pPr>
        <w:pStyle w:val="ListParagraph"/>
        <w:numPr>
          <w:ilvl w:val="0"/>
          <w:numId w:val="2"/>
        </w:numPr>
        <w:spacing w:after="80"/>
      </w:pPr>
      <w:r>
        <w:rPr>
          <w:b w:val="false"/>
          <w:bCs w:val="false"/>
        </w:rPr>
        <w:t xml:space="preserve">[ ] Barometric R² computed; KILL CHECK 1 passed (or supervisor consulted).</w:t>
      </w:r>
    </w:p>
    <w:p>
      <w:pPr>
        <w:pStyle w:val="ListParagraph"/>
        <w:numPr>
          <w:ilvl w:val="0"/>
          <w:numId w:val="2"/>
        </w:numPr>
        <w:spacing w:after="80"/>
      </w:pPr>
      <w:r>
        <w:rPr>
          <w:b w:val="false"/>
          <w:bCs w:val="false"/>
        </w:rPr>
        <w:t xml:space="preserve">[ ] Eryilmaz replication run; KILL CHECK 2 passed (or framing adjusted).</w:t>
      </w:r>
    </w:p>
    <w:p>
      <w:pPr>
        <w:pStyle w:val="ListParagraph"/>
        <w:numPr>
          <w:ilvl w:val="0"/>
          <w:numId w:val="2"/>
        </w:numPr>
        <w:spacing w:after="80"/>
      </w:pPr>
      <w:r>
        <w:rPr>
          <w:b w:val="false"/>
          <w:bCs w:val="false"/>
        </w:rPr>
        <w:t xml:space="preserve">[ ] Initial signal characterization done; you can name which non-CO2 channels carry residual structure.</w:t>
      </w:r>
    </w:p>
    <w:p>
      <w:pPr>
        <w:pStyle w:val="ListParagraph"/>
        <w:numPr>
          <w:ilvl w:val="0"/>
          <w:numId w:val="2"/>
        </w:numPr>
        <w:spacing w:after="80"/>
      </w:pPr>
      <w:r>
        <w:rPr>
          <w:b w:val="false"/>
          <w:bCs w:val="false"/>
        </w:rPr>
        <w:t xml:space="preserve">[ ] KNMI met data ingested; Visualcrossing comparison made.</w:t>
      </w:r>
    </w:p>
    <w:p>
      <w:pPr>
        <w:pStyle w:val="ListParagraph"/>
        <w:numPr>
          <w:ilvl w:val="0"/>
          <w:numId w:val="2"/>
        </w:numPr>
        <w:spacing w:after="80"/>
      </w:pPr>
      <w:r>
        <w:rPr>
          <w:b w:val="false"/>
          <w:bCs w:val="false"/>
        </w:rPr>
        <w:t xml:space="preserve">[ ] At least one transfer site (RIVM) ingested end-to-end.</w:t>
      </w:r>
    </w:p>
    <w:p>
      <w:pPr>
        <w:pStyle w:val="ListParagraph"/>
        <w:numPr>
          <w:ilvl w:val="0"/>
          <w:numId w:val="2"/>
        </w:numPr>
        <w:spacing w:after="80"/>
      </w:pPr>
      <w:r>
        <w:rPr>
          <w:b w:val="false"/>
          <w:bCs w:val="false"/>
        </w:rPr>
        <w:t xml:space="preserve">[ ] Groundwater data request sent.</w:t>
      </w:r>
    </w:p>
    <w:p>
      <w:pPr>
        <w:pBdr>
          <w:left w:val="single" w:color="999999" w:sz="12" w:space="8"/>
        </w:pBdr>
        <w:spacing w:after="160" w:before="80"/>
        <w:ind w:left="240"/>
      </w:pPr>
      <w:r>
        <w:rPr>
          <w:b/>
          <w:bCs/>
          <w:i/>
          <w:iCs/>
        </w:rPr>
        <w:t xml:space="preserve">If a check fails </w:t>
      </w:r>
      <w:r>
        <w:rPr>
          <w:i/>
          <w:iCs/>
        </w:rPr>
        <w:t xml:space="preserve">Don't paper over it. The chapter is structured to survive failed checks via narrative repositioning, but only if you know which check failed. Document and consult supervisor.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2026-06-01T18:13:36.384Z</dcterms:created>
  <dcterms:modified xsi:type="dcterms:W3CDTF">2026-06-01T18:13:36.384Z</dcterms:modified>
</cp:coreProperties>
</file>

<file path=docProps/custom.xml><?xml version="1.0" encoding="utf-8"?>
<Properties xmlns="http://schemas.openxmlformats.org/officeDocument/2006/custom-properties" xmlns:vt="http://schemas.openxmlformats.org/officeDocument/2006/docPropsVTypes"/>
</file>