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6"/>
          <w:szCs w:val="36"/>
        </w:rPr>
        <w:t xml:space="preserve">Mendeley Import Plan</w:t>
      </w:r>
    </w:p>
    <w:p>
      <w:pPr>
        <w:spacing w:after="240"/>
      </w:pPr>
      <w:r>
        <w:rPr>
          <w:i/>
          <w:iCs/>
          <w:sz w:val="26"/>
          <w:szCs w:val="26"/>
        </w:rPr>
        <w:t xml:space="preserve">Porting the chapter references into a working Mendeley library</w:t>
      </w:r>
    </w:p>
    <w:p>
      <w:pPr>
        <w:spacing w:after="240"/>
      </w:pPr>
      <w:r>
        <w:rPr>
          <w:i/>
          <w:iCs/>
        </w:rPr>
        <w:t xml:space="preserve">One-pass workflow to move from the chapter-references.bib file to a fully populated, deduplicated, folder-organized Mendeley library. Estimated total time: 60-90 minutes.</w:t>
      </w:r>
    </w:p>
    <w:p>
      <w:pPr>
        <w:pStyle w:val="Heading1"/>
        <w:spacing w:after="180" w:before="360"/>
      </w:pPr>
      <w:r>
        <w:t xml:space="preserve">0. Before you start</w:t>
      </w:r>
    </w:p>
    <w:p>
      <w:pPr>
        <w:spacing w:after="160"/>
      </w:pPr>
      <w:r>
        <w:t xml:space="preserve">If you don't already have a Mendeley reference library for the dissertation, decide now whether to use a single library for the whole dissertation or one per chapter. Recommendation: single library, with chapter folders inside it. Cross-chapter sources stay deduplicated and you can run citation searches across the whole project.</w:t>
      </w:r>
    </w:p>
    <w:p>
      <w:pPr>
        <w:pStyle w:val="ListParagraph"/>
        <w:numPr>
          <w:ilvl w:val="0"/>
          <w:numId w:val="2"/>
        </w:numPr>
        <w:spacing w:after="80"/>
      </w:pPr>
      <w:r>
        <w:rPr>
          <w:b w:val="false"/>
          <w:bCs w:val="false"/>
        </w:rPr>
        <w:t xml:space="preserve">Mendeley Reference Manager (desktop, current version) — install if not already.</w:t>
      </w:r>
    </w:p>
    <w:p>
      <w:pPr>
        <w:pStyle w:val="ListParagraph"/>
        <w:numPr>
          <w:ilvl w:val="0"/>
          <w:numId w:val="2"/>
        </w:numPr>
        <w:spacing w:after="80"/>
      </w:pPr>
      <w:r>
        <w:rPr>
          <w:b w:val="false"/>
          <w:bCs w:val="false"/>
        </w:rPr>
        <w:t xml:space="preserve">Mendeley Cite plugin for Word — install if you'll write the chapter in Word.</w:t>
      </w:r>
    </w:p>
    <w:p>
      <w:pPr>
        <w:pStyle w:val="ListParagraph"/>
        <w:numPr>
          <w:ilvl w:val="0"/>
          <w:numId w:val="2"/>
        </w:numPr>
        <w:spacing w:after="80"/>
      </w:pPr>
      <w:r>
        <w:rPr>
          <w:b w:val="false"/>
          <w:bCs w:val="false"/>
        </w:rPr>
        <w:t xml:space="preserve">Confirm you're signed in to the same Elsevier/Mendeley account on both desktop and web.</w:t>
      </w:r>
    </w:p>
    <w:p>
      <w:pPr>
        <w:pStyle w:val="Heading1"/>
        <w:spacing w:after="180" w:before="360"/>
      </w:pPr>
      <w:r>
        <w:t xml:space="preserve">1. Pre-import sanity check on the .bib file</w:t>
      </w:r>
    </w:p>
    <w:p>
      <w:pPr>
        <w:spacing w:after="160"/>
      </w:pPr>
      <w:r>
        <w:t xml:space="preserve">The file is at chapter-references.bib in this folder, containing ~80 entries with DOIs where available. A few quick checks before import will save deduplication work later.</w:t>
      </w:r>
    </w:p>
    <w:p>
      <w:pPr>
        <w:pStyle w:val="Heading3"/>
        <w:spacing w:after="100" w:before="180"/>
      </w:pPr>
      <w:r>
        <w:t xml:space="preserve">Check 1: scan for known venue corrections</w:t>
      </w:r>
    </w:p>
    <w:p>
      <w:pPr>
        <w:pStyle w:val="ListParagraph"/>
        <w:numPr>
          <w:ilvl w:val="0"/>
          <w:numId w:val="2"/>
        </w:numPr>
        <w:spacing w:after="80"/>
      </w:pPr>
      <w:r>
        <w:rPr>
          <w:b w:val="false"/>
          <w:bCs w:val="false"/>
        </w:rPr>
        <w:t xml:space="preserve">Two entries had venue corrections during the DOI pass: Frame et al. is 2021 in JAWRA (not 2022); Ba-Alawi 2021 is in J. Water Process Engineering (not J. Hazardous Materials). Both are now correct in the .bib but worth flagging if you cross-reference against the scaffold.</w:t>
      </w:r>
    </w:p>
    <w:p>
      <w:pPr>
        <w:pStyle w:val="Heading3"/>
        <w:spacing w:after="100" w:before="180"/>
      </w:pPr>
      <w:r>
        <w:t xml:space="preserve">Check 2: confirm DOI strings are bare (no URLs)</w:t>
      </w:r>
    </w:p>
    <w:p>
      <w:pPr>
        <w:spacing w:after="160"/>
      </w:pPr>
      <w:r>
        <w:t xml:space="preserve">Mendeley parses DOIs more cleanly when they're bare (e.g. 10.1038/s41586-019-1495-6) rather than as URLs. The .bib uses the bare form already. If you edit it later, keep the convention.</w:t>
      </w:r>
    </w:p>
    <w:p>
      <w:pPr>
        <w:pStyle w:val="Heading3"/>
        <w:spacing w:after="100" w:before="180"/>
      </w:pPr>
      <w:r>
        <w:t xml:space="preserve">Check 3: look for any "venue TBC" entries</w:t>
      </w:r>
    </w:p>
    <w:p>
      <w:pPr>
        <w:pStyle w:val="ListParagraph"/>
        <w:numPr>
          <w:ilvl w:val="0"/>
          <w:numId w:val="2"/>
        </w:numPr>
        <w:spacing w:after="80"/>
      </w:pPr>
      <w:r>
        <w:rPr>
          <w:b w:val="false"/>
          <w:bCs w:val="false"/>
        </w:rPr>
        <w:t xml:space="preserve">Russo et al. 2021 (env. sensor TSAD) has venue TBC. On import, Mendeley will create a partial record — verify and complete it manually after the import (see Section 4).</w:t>
      </w:r>
    </w:p>
    <w:p>
      <w:pPr>
        <w:pStyle w:val="ListParagraph"/>
        <w:numPr>
          <w:ilvl w:val="0"/>
          <w:numId w:val="2"/>
        </w:numPr>
        <w:spacing w:after="80"/>
      </w:pPr>
      <w:r>
        <w:rPr>
          <w:b w:val="false"/>
          <w:bCs w:val="false"/>
        </w:rPr>
        <w:t xml:space="preserve">Eryilmaz 2025 has venue TBC. Same handling.</w:t>
      </w:r>
    </w:p>
    <w:p>
      <w:pPr>
        <w:pStyle w:val="Heading1"/>
        <w:spacing w:after="180" w:before="360"/>
      </w:pPr>
      <w:r>
        <w:t xml:space="preserve">2. Import</w:t>
      </w:r>
    </w:p>
    <w:p>
      <w:pPr>
        <w:pStyle w:val="Heading2"/>
        <w:spacing w:after="120" w:before="240"/>
      </w:pPr>
      <w:r>
        <w:t xml:space="preserve">2.1 Desktop import</w:t>
      </w:r>
    </w:p>
    <w:p>
      <w:pPr>
        <w:spacing w:after="160"/>
      </w:pPr>
      <w:r>
        <w:t xml:space="preserve">In Mendeley Reference Manager:</w:t>
      </w:r>
    </w:p>
    <w:p>
      <w:pPr>
        <w:pStyle w:val="ListParagraph"/>
        <w:numPr>
          <w:ilvl w:val="0"/>
          <w:numId w:val="2"/>
        </w:numPr>
        <w:spacing w:after="80"/>
      </w:pPr>
      <w:r>
        <w:rPr>
          <w:b w:val="false"/>
          <w:bCs w:val="false"/>
        </w:rPr>
        <w:t xml:space="preserve">File → Add Files → select chapter-references.bib</w:t>
      </w:r>
    </w:p>
    <w:p>
      <w:pPr>
        <w:pStyle w:val="ListParagraph"/>
        <w:numPr>
          <w:ilvl w:val="0"/>
          <w:numId w:val="2"/>
        </w:numPr>
        <w:spacing w:after="80"/>
      </w:pPr>
      <w:r>
        <w:rPr>
          <w:b w:val="false"/>
          <w:bCs w:val="false"/>
        </w:rPr>
        <w:t xml:space="preserve">OR drag-and-drop the .bib file into the All References list</w:t>
      </w:r>
    </w:p>
    <w:p>
      <w:pPr>
        <w:spacing w:after="160"/>
      </w:pPr>
      <w:r>
        <w:t xml:space="preserve">Mendeley will create entries for each citation. The keywords field in each entry (which maps to the chapter section, e.g. "2 Post-mining hydrogeology") will appear as tags.</w:t>
      </w:r>
    </w:p>
    <w:p>
      <w:pPr>
        <w:pStyle w:val="Heading2"/>
        <w:spacing w:after="120" w:before="240"/>
      </w:pPr>
      <w:r>
        <w:t xml:space="preserve">2.2 Auto-fetch missing metadata via DOI</w:t>
      </w:r>
    </w:p>
    <w:p>
      <w:pPr>
        <w:spacing w:after="160"/>
      </w:pPr>
      <w:r>
        <w:t xml:space="preserve">For entries where the .bib was sparse (Russo 2021, Eryilmaz 2025), or where you want richer abstracts/keywords from CrossRef:</w:t>
      </w:r>
    </w:p>
    <w:p>
      <w:pPr>
        <w:pStyle w:val="ListParagraph"/>
        <w:numPr>
          <w:ilvl w:val="0"/>
          <w:numId w:val="2"/>
        </w:numPr>
        <w:spacing w:after="80"/>
      </w:pPr>
      <w:r>
        <w:rPr>
          <w:b w:val="false"/>
          <w:bCs w:val="false"/>
        </w:rPr>
        <w:t xml:space="preserve">Right-click each entry → "Update details from DOI" — pulls full metadata for any entry with a valid DOI.</w:t>
      </w:r>
    </w:p>
    <w:p>
      <w:pPr>
        <w:pStyle w:val="ListParagraph"/>
        <w:numPr>
          <w:ilvl w:val="0"/>
          <w:numId w:val="2"/>
        </w:numPr>
        <w:spacing w:after="80"/>
      </w:pPr>
      <w:r>
        <w:rPr>
          <w:b w:val="false"/>
          <w:bCs w:val="false"/>
        </w:rPr>
        <w:t xml:space="preserve">For entries without DOIs (textbooks, tech reports, IAHS proceedings), the manual fields you supplied in the .bib are the final state. No further action needed unless you want to add an abstract.</w:t>
      </w:r>
    </w:p>
    <w:p>
      <w:pPr>
        <w:pStyle w:val="Heading1"/>
        <w:spacing w:after="180" w:before="360"/>
      </w:pPr>
      <w:r>
        <w:t xml:space="preserve">3. Organize into folders</w:t>
      </w:r>
    </w:p>
    <w:p>
      <w:pPr>
        <w:spacing w:after="160"/>
      </w:pPr>
      <w:r>
        <w:t xml:space="preserve">Mendeley's tags from the keywords field let you build folders quickly. Create one folder per scaffold section.</w:t>
      </w:r>
    </w:p>
    <w:p>
      <w:pPr>
        <w:pStyle w:val="ListParagraph"/>
        <w:numPr>
          <w:ilvl w:val="0"/>
          <w:numId w:val="2"/>
        </w:numPr>
        <w:spacing w:after="80"/>
      </w:pPr>
      <w:r>
        <w:rPr>
          <w:b w:val="false"/>
          <w:bCs w:val="false"/>
        </w:rPr>
        <w:t xml:space="preserve">Folder: 1 Basin and site context</w:t>
      </w:r>
    </w:p>
    <w:p>
      <w:pPr>
        <w:pStyle w:val="ListParagraph"/>
        <w:numPr>
          <w:ilvl w:val="0"/>
          <w:numId w:val="2"/>
        </w:numPr>
        <w:spacing w:after="80"/>
      </w:pPr>
      <w:r>
        <w:rPr>
          <w:b w:val="false"/>
          <w:bCs w:val="false"/>
        </w:rPr>
        <w:t xml:space="preserve">Folder: 2 Post-mining hydrogeology</w:t>
      </w:r>
    </w:p>
    <w:p>
      <w:pPr>
        <w:pStyle w:val="ListParagraph"/>
        <w:numPr>
          <w:ilvl w:val="0"/>
          <w:numId w:val="2"/>
        </w:numPr>
        <w:spacing w:after="80"/>
      </w:pPr>
      <w:r>
        <w:rPr>
          <w:b w:val="false"/>
          <w:bCs w:val="false"/>
        </w:rPr>
        <w:t xml:space="preserve">Folder: 3 Mine-gas dynamics</w:t>
      </w:r>
    </w:p>
    <w:p>
      <w:pPr>
        <w:pStyle w:val="ListParagraph"/>
        <w:numPr>
          <w:ilvl w:val="0"/>
          <w:numId w:val="2"/>
        </w:numPr>
        <w:spacing w:after="80"/>
      </w:pPr>
      <w:r>
        <w:rPr>
          <w:b w:val="false"/>
          <w:bCs w:val="false"/>
        </w:rPr>
        <w:t xml:space="preserve">Folder: 4 Water table proxy</w:t>
      </w:r>
    </w:p>
    <w:p>
      <w:pPr>
        <w:pStyle w:val="ListParagraph"/>
        <w:numPr>
          <w:ilvl w:val="0"/>
          <w:numId w:val="2"/>
        </w:numPr>
        <w:spacing w:after="80"/>
      </w:pPr>
      <w:r>
        <w:rPr>
          <w:b w:val="false"/>
          <w:bCs w:val="false"/>
        </w:rPr>
        <w:t xml:space="preserve">Folder: 5 TSAD foundations and evaluation</w:t>
      </w:r>
    </w:p>
    <w:p>
      <w:pPr>
        <w:pStyle w:val="ListParagraph"/>
        <w:numPr>
          <w:ilvl w:val="0"/>
          <w:numId w:val="2"/>
        </w:numPr>
        <w:spacing w:after="80"/>
      </w:pPr>
      <w:r>
        <w:rPr>
          <w:b w:val="false"/>
          <w:bCs w:val="false"/>
        </w:rPr>
        <w:t xml:space="preserve">Folder: 6 Three candidate models</w:t>
      </w:r>
    </w:p>
    <w:p>
      <w:pPr>
        <w:pStyle w:val="ListParagraph"/>
        <w:numPr>
          <w:ilvl w:val="0"/>
          <w:numId w:val="2"/>
        </w:numPr>
        <w:spacing w:after="80"/>
      </w:pPr>
      <w:r>
        <w:rPr>
          <w:b w:val="false"/>
          <w:bCs w:val="false"/>
        </w:rPr>
        <w:t xml:space="preserve">Folder: 7 Env sensor TSAD</w:t>
      </w:r>
    </w:p>
    <w:p>
      <w:pPr>
        <w:pStyle w:val="ListParagraph"/>
        <w:numPr>
          <w:ilvl w:val="0"/>
          <w:numId w:val="2"/>
        </w:numPr>
        <w:spacing w:after="80"/>
      </w:pPr>
      <w:r>
        <w:rPr>
          <w:b w:val="false"/>
          <w:bCs w:val="false"/>
        </w:rPr>
        <w:t xml:space="preserve">Folder: 8 Compound events UQ</w:t>
      </w:r>
    </w:p>
    <w:p>
      <w:pPr>
        <w:pStyle w:val="ListParagraph"/>
        <w:numPr>
          <w:ilvl w:val="0"/>
          <w:numId w:val="2"/>
        </w:numPr>
        <w:spacing w:after="80"/>
      </w:pPr>
      <w:r>
        <w:rPr>
          <w:b w:val="false"/>
          <w:bCs w:val="false"/>
        </w:rPr>
        <w:t xml:space="preserve">Folder: 9 Predecessor work</w:t>
      </w:r>
    </w:p>
    <w:p>
      <w:pPr>
        <w:pStyle w:val="ListParagraph"/>
        <w:numPr>
          <w:ilvl w:val="0"/>
          <w:numId w:val="2"/>
        </w:numPr>
        <w:spacing w:after="80"/>
      </w:pPr>
      <w:r>
        <w:rPr>
          <w:b w:val="false"/>
          <w:bCs w:val="false"/>
        </w:rPr>
        <w:t xml:space="preserve">Folder: 10 Transferability</w:t>
      </w:r>
    </w:p>
    <w:p>
      <w:pPr>
        <w:pStyle w:val="ListParagraph"/>
        <w:numPr>
          <w:ilvl w:val="0"/>
          <w:numId w:val="2"/>
        </w:numPr>
        <w:spacing w:after="80"/>
      </w:pPr>
      <w:r>
        <w:rPr>
          <w:b w:val="false"/>
          <w:bCs w:val="false"/>
        </w:rPr>
        <w:t xml:space="preserve">Folder: 11 Mine-water infrastructure</w:t>
      </w:r>
    </w:p>
    <w:p>
      <w:pPr>
        <w:spacing w:after="160"/>
      </w:pPr>
      <w:r>
        <w:t xml:space="preserve">Then for each tag, filter All References → that tag → select all → Add to Folder. Roughly 5 minutes per folder, but you can batch by sorting the All References list by the keywords column.</w:t>
      </w:r>
    </w:p>
    <w:p>
      <w:pPr>
        <w:pStyle w:val="Heading1"/>
        <w:spacing w:after="180" w:before="360"/>
      </w:pPr>
      <w:r>
        <w:t xml:space="preserve">4. Manual cleanup pass</w:t>
      </w:r>
    </w:p>
    <w:p>
      <w:pPr>
        <w:spacing w:after="160"/>
      </w:pPr>
      <w:r>
        <w:t xml:space="preserve">After the bulk import and folder organization, run this pass to catch the entries that need human attention.</w:t>
      </w:r>
    </w:p>
    <w:p>
      <w:pPr>
        <w:pStyle w:val="Heading3"/>
        <w:spacing w:after="100" w:before="180"/>
      </w:pPr>
      <w:r>
        <w:t xml:space="preserve">4.1 Sparse-venue entries to verify</w:t>
      </w:r>
    </w:p>
    <w:p>
      <w:pPr>
        <w:pStyle w:val="ListParagraph"/>
        <w:numPr>
          <w:ilvl w:val="0"/>
          <w:numId w:val="2"/>
        </w:numPr>
        <w:spacing w:after="80"/>
      </w:pPr>
      <w:r>
        <w:rPr>
          <w:b w:val="false"/>
          <w:bCs w:val="false"/>
        </w:rPr>
        <w:t xml:space="preserve">Russo et al. 2021: Confirm journal venue (likely Environmental Modelling &amp; Software). Originally cited as arXiv:2002.03843.</w:t>
      </w:r>
    </w:p>
    <w:p>
      <w:pPr>
        <w:pStyle w:val="ListParagraph"/>
        <w:numPr>
          <w:ilvl w:val="0"/>
          <w:numId w:val="2"/>
        </w:numPr>
        <w:spacing w:after="80"/>
      </w:pPr>
      <w:r>
        <w:rPr>
          <w:b w:val="false"/>
          <w:bCs w:val="false"/>
        </w:rPr>
        <w:t xml:space="preserve">Eryilmaz, S. 2025: Confirm venue (likely under review at an Elsevier journal). Author affiliation also missing — request from the source if possible.</w:t>
      </w:r>
    </w:p>
    <w:p>
      <w:pPr>
        <w:pStyle w:val="Heading3"/>
        <w:spacing w:after="100" w:before="180"/>
      </w:pPr>
      <w:r>
        <w:t xml:space="preserve">4.2 Predecessor theses</w:t>
      </w:r>
    </w:p>
    <w:p>
      <w:pPr>
        <w:pStyle w:val="ListParagraph"/>
        <w:numPr>
          <w:ilvl w:val="0"/>
          <w:numId w:val="2"/>
        </w:numPr>
        <w:spacing w:after="80"/>
      </w:pPr>
      <w:r>
        <w:rPr>
          <w:b w:val="false"/>
          <w:bCs w:val="false"/>
        </w:rPr>
        <w:t xml:space="preserve">Viefhues 2022: Verify the citation matches the official Maastricht thesis record. The .bib uses provisional format. Drop the PDF into the entry (you have it) so it's attached for retrieval.</w:t>
      </w:r>
    </w:p>
    <w:p>
      <w:pPr>
        <w:pStyle w:val="ListParagraph"/>
        <w:numPr>
          <w:ilvl w:val="0"/>
          <w:numId w:val="2"/>
        </w:numPr>
        <w:spacing w:after="80"/>
      </w:pPr>
      <w:r>
        <w:rPr>
          <w:b w:val="false"/>
          <w:bCs w:val="false"/>
        </w:rPr>
        <w:t xml:space="preserve">Eryilmaz 2025: Drop the PDF in as well.</w:t>
      </w:r>
    </w:p>
    <w:p>
      <w:pPr>
        <w:pStyle w:val="Heading3"/>
        <w:spacing w:after="100" w:before="180"/>
      </w:pPr>
      <w:r>
        <w:t xml:space="preserve">4.3 Authors with diacritics</w:t>
      </w:r>
    </w:p>
    <w:p>
      <w:pPr>
        <w:pStyle w:val="ListParagraph"/>
        <w:numPr>
          <w:ilvl w:val="0"/>
          <w:numId w:val="2"/>
        </w:numPr>
        <w:spacing w:after="80"/>
      </w:pPr>
      <w:r>
        <w:rPr>
          <w:b w:val="false"/>
          <w:bCs w:val="false"/>
        </w:rPr>
        <w:t xml:space="preserve">Blöschl, Pöttgens, Kędzior, Blázquez-García, etc. — confirm Mendeley rendered them correctly. The .bib uses LaTeX escaping; modern Mendeley unescapes these automatically, but spot-check a few.</w:t>
      </w:r>
    </w:p>
    <w:p>
      <w:pPr>
        <w:pStyle w:val="Heading1"/>
        <w:spacing w:after="180" w:before="360"/>
      </w:pPr>
      <w:r>
        <w:t xml:space="preserve">5. Future workflow</w:t>
      </w:r>
    </w:p>
    <w:p>
      <w:pPr>
        <w:pStyle w:val="Heading2"/>
        <w:spacing w:after="120" w:before="240"/>
      </w:pPr>
      <w:r>
        <w:t xml:space="preserve">5.1 Adding new references during writing</w:t>
      </w:r>
    </w:p>
    <w:p>
      <w:pPr>
        <w:pStyle w:val="ListParagraph"/>
        <w:numPr>
          <w:ilvl w:val="0"/>
          <w:numId w:val="2"/>
        </w:numPr>
        <w:spacing w:after="80"/>
      </w:pPr>
      <w:r>
        <w:rPr>
          <w:b w:val="false"/>
          <w:bCs w:val="false"/>
        </w:rPr>
        <w:t xml:space="preserve">By DOI: in Mendeley, Add New → Identifier (DOI). Fastest path for any new paper.</w:t>
      </w:r>
    </w:p>
    <w:p>
      <w:pPr>
        <w:pStyle w:val="ListParagraph"/>
        <w:numPr>
          <w:ilvl w:val="0"/>
          <w:numId w:val="2"/>
        </w:numPr>
        <w:spacing w:after="80"/>
      </w:pPr>
      <w:r>
        <w:rPr>
          <w:b w:val="false"/>
          <w:bCs w:val="false"/>
        </w:rPr>
        <w:t xml:space="preserve">From a PDF: drag into Mendeley; it'll attempt metadata extraction.</w:t>
      </w:r>
    </w:p>
    <w:p>
      <w:pPr>
        <w:pStyle w:val="ListParagraph"/>
        <w:numPr>
          <w:ilvl w:val="0"/>
          <w:numId w:val="2"/>
        </w:numPr>
        <w:spacing w:after="80"/>
      </w:pPr>
      <w:r>
        <w:rPr>
          <w:b w:val="false"/>
          <w:bCs w:val="false"/>
        </w:rPr>
        <w:t xml:space="preserve">From a search: use Mendeley's built-in CrossRef search.</w:t>
      </w:r>
    </w:p>
    <w:p>
      <w:pPr>
        <w:pStyle w:val="ListParagraph"/>
        <w:numPr>
          <w:ilvl w:val="0"/>
          <w:numId w:val="2"/>
        </w:numPr>
        <w:spacing w:after="80"/>
      </w:pPr>
      <w:r>
        <w:rPr>
          <w:b w:val="false"/>
          <w:bCs w:val="false"/>
        </w:rPr>
        <w:t xml:space="preserve">Tag with the chapter-section keyword as you add — keeps the folder structure clean.</w:t>
      </w:r>
    </w:p>
    <w:p>
      <w:pPr>
        <w:pStyle w:val="Heading2"/>
        <w:spacing w:after="120" w:before="240"/>
      </w:pPr>
      <w:r>
        <w:t xml:space="preserve">5.2 Citing in Word</w:t>
      </w:r>
    </w:p>
    <w:p>
      <w:pPr>
        <w:spacing w:after="160"/>
      </w:pPr>
      <w:r>
        <w:t xml:space="preserve">Mendeley Cite (the Word plugin) lets you insert citations from your library. Recommended citation style for hydrology/HESS-style submissions: Author-Year (APA 7th or a journal-specific .csl). Set this once in Mendeley Cite settings.</w:t>
      </w:r>
    </w:p>
    <w:p>
      <w:pPr>
        <w:pStyle w:val="Heading2"/>
        <w:spacing w:after="120" w:before="240"/>
      </w:pPr>
      <w:r>
        <w:t xml:space="preserve">5.3 Backup and sync</w:t>
      </w:r>
    </w:p>
    <w:p>
      <w:pPr>
        <w:pStyle w:val="ListParagraph"/>
        <w:numPr>
          <w:ilvl w:val="0"/>
          <w:numId w:val="2"/>
        </w:numPr>
        <w:spacing w:after="80"/>
      </w:pPr>
      <w:r>
        <w:rPr>
          <w:b w:val="false"/>
          <w:bCs w:val="false"/>
        </w:rPr>
        <w:t xml:space="preserve">Mendeley syncs to your Mendeley web account automatically. The library is the source of truth — don't edit the .bib by hand after import.</w:t>
      </w:r>
    </w:p>
    <w:p>
      <w:pPr>
        <w:pStyle w:val="ListParagraph"/>
        <w:numPr>
          <w:ilvl w:val="0"/>
          <w:numId w:val="2"/>
        </w:numPr>
        <w:spacing w:after="80"/>
      </w:pPr>
      <w:r>
        <w:rPr>
          <w:b w:val="false"/>
          <w:bCs w:val="false"/>
        </w:rPr>
        <w:t xml:space="preserve">Export to BibTeX periodically (Mendeley → File → Export → BibTeX) for archive and for use with LaTeX if you switch.</w:t>
      </w:r>
    </w:p>
    <w:p>
      <w:pPr>
        <w:pStyle w:val="Heading1"/>
        <w:spacing w:after="180" w:before="360"/>
      </w:pPr>
      <w:r>
        <w:t xml:space="preserve">6. Quick post-import audit checklist</w:t>
      </w:r>
    </w:p>
    <w:p>
      <w:pPr>
        <w:spacing w:after="160"/>
      </w:pPr>
      <w:r>
        <w:t xml:space="preserve">Run through this once after the import to confirm everything landed cleanly.</w:t>
      </w:r>
    </w:p>
    <w:p>
      <w:pPr>
        <w:pStyle w:val="ListParagraph"/>
        <w:numPr>
          <w:ilvl w:val="0"/>
          <w:numId w:val="2"/>
        </w:numPr>
        <w:spacing w:after="80"/>
      </w:pPr>
      <w:r>
        <w:rPr>
          <w:b w:val="false"/>
          <w:bCs w:val="false"/>
        </w:rPr>
        <w:t xml:space="preserve">[ ] All ~80 entries imported (count matches the .bib).</w:t>
      </w:r>
    </w:p>
    <w:p>
      <w:pPr>
        <w:pStyle w:val="ListParagraph"/>
        <w:numPr>
          <w:ilvl w:val="0"/>
          <w:numId w:val="2"/>
        </w:numPr>
        <w:spacing w:after="80"/>
      </w:pPr>
      <w:r>
        <w:rPr>
          <w:b w:val="false"/>
          <w:bCs w:val="false"/>
        </w:rPr>
        <w:t xml:space="preserve">[ ] All entries have a primary keyword tag matching a chapter section.</w:t>
      </w:r>
    </w:p>
    <w:p>
      <w:pPr>
        <w:pStyle w:val="ListParagraph"/>
        <w:numPr>
          <w:ilvl w:val="0"/>
          <w:numId w:val="2"/>
        </w:numPr>
        <w:spacing w:after="80"/>
      </w:pPr>
      <w:r>
        <w:rPr>
          <w:b w:val="false"/>
          <w:bCs w:val="false"/>
        </w:rPr>
        <w:t xml:space="preserve">[ ] All entries with DOI fields have those DOIs resolved (no broken links).</w:t>
      </w:r>
    </w:p>
    <w:p>
      <w:pPr>
        <w:pStyle w:val="ListParagraph"/>
        <w:numPr>
          <w:ilvl w:val="0"/>
          <w:numId w:val="2"/>
        </w:numPr>
        <w:spacing w:after="80"/>
      </w:pPr>
      <w:r>
        <w:rPr>
          <w:b w:val="false"/>
          <w:bCs w:val="false"/>
        </w:rPr>
        <w:t xml:space="preserve">[ ] Russo 2021 and Eryilmaz 2025 venue gaps resolved or flagged.</w:t>
      </w:r>
    </w:p>
    <w:p>
      <w:pPr>
        <w:pStyle w:val="ListParagraph"/>
        <w:numPr>
          <w:ilvl w:val="0"/>
          <w:numId w:val="2"/>
        </w:numPr>
        <w:spacing w:after="80"/>
      </w:pPr>
      <w:r>
        <w:rPr>
          <w:b w:val="false"/>
          <w:bCs w:val="false"/>
        </w:rPr>
        <w:t xml:space="preserve">[ ] PDFs attached for the two predecessor works (Viefhues, Eryilmaz).</w:t>
      </w:r>
    </w:p>
    <w:p>
      <w:pPr>
        <w:pStyle w:val="ListParagraph"/>
        <w:numPr>
          <w:ilvl w:val="0"/>
          <w:numId w:val="2"/>
        </w:numPr>
        <w:spacing w:after="80"/>
      </w:pPr>
      <w:r>
        <w:rPr>
          <w:b w:val="false"/>
          <w:bCs w:val="false"/>
        </w:rPr>
        <w:t xml:space="preserve">[ ] Folder structure mirrors scaffold section numbering.</w:t>
      </w:r>
    </w:p>
    <w:p>
      <w:pPr>
        <w:pStyle w:val="ListParagraph"/>
        <w:numPr>
          <w:ilvl w:val="0"/>
          <w:numId w:val="2"/>
        </w:numPr>
        <w:spacing w:after="80"/>
      </w:pPr>
      <w:r>
        <w:rPr>
          <w:b w:val="false"/>
          <w:bCs w:val="false"/>
        </w:rPr>
        <w:t xml:space="preserve">[ ] Mendeley Cite plugin installed in Word and pointed at this library.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180"/>
      <w:outlineLvl w:val="2"/>
    </w:pPr>
    <w:rPr>
      <w:rFonts w:ascii="Calibri" w:cs="Calibri" w:eastAsia="Calibri" w:hAnsi="Calibri"/>
      <w:b/>
      <w:bCs/>
      <w:i/>
      <w:i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2026-06-01T18:13:36.374Z</dcterms:created>
  <dcterms:modified xsi:type="dcterms:W3CDTF">2026-06-01T18:13:36.375Z</dcterms:modified>
</cp:coreProperties>
</file>

<file path=docProps/custom.xml><?xml version="1.0" encoding="utf-8"?>
<Properties xmlns="http://schemas.openxmlformats.org/officeDocument/2006/custom-properties" xmlns:vt="http://schemas.openxmlformats.org/officeDocument/2006/docPropsVTypes"/>
</file>