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vised-assessment-report"/>
    <w:p>
      <w:pPr>
        <w:pStyle w:val="Heading1"/>
      </w:pPr>
      <w:r>
        <w:t xml:space="preserve">Revised Assessment Report</w:t>
      </w:r>
    </w:p>
    <w:bookmarkStart w:id="21" w:name="X69f4e4536a17a2e61c29b27c7883c625fd8b3d7"/>
    <w:p>
      <w:pPr>
        <w:pStyle w:val="Heading2"/>
      </w:pPr>
      <w:r>
        <w:t xml:space="preserve">PhD Chapter Feasibility and Literature Positioning</w:t>
      </w:r>
    </w:p>
    <w:bookmarkStart w:id="20" w:name="X299812e27f6755a2d4b1c98187a07d5c68763ba"/>
    <w:p>
      <w:pPr>
        <w:pStyle w:val="Heading3"/>
      </w:pPr>
      <w:r>
        <w:t xml:space="preserve">Antecedent-state signal in low-cost IoT data: Kerkrade calibration site and limited Maas-basin transfer test</w:t>
      </w:r>
    </w:p>
    <w:bookmarkEnd w:id="20"/>
    <w:bookmarkEnd w:id="21"/>
    <w:bookmarkStart w:id="22" w:name="executive-assessment"/>
    <w:p>
      <w:pPr>
        <w:pStyle w:val="Heading2"/>
      </w:pPr>
      <w:r>
        <w:t xml:space="preserve">1. Executive assessment</w:t>
      </w:r>
    </w:p>
    <w:p>
      <w:pPr>
        <w:pStyle w:val="FirstParagraph"/>
      </w:pPr>
      <w:r>
        <w:t xml:space="preserve">The proposed Kerkrade chapter remains technically feasible and intellectually coherent, but it should be framed as one bounded empirical-methodological chapter within a broader dissertation on weather-event analytics, rather than as the methodological core of the entire PhD. This distinction matters. The chapter does not need to establish a general dissertation-wide method, nor does it need to prove that low-cost IoT data can support basin-scale flood forecasting. Its appropriate role is narrower and more defensible: to test whether a physically plausible antecedent-state signal can be extracted from a highly site-specific post-mining sensor environment, and whether that signal has any limited transfer value when evaluated against conventional hydrometeorological baselines.</w:t>
      </w:r>
    </w:p>
    <w:p>
      <w:pPr>
        <w:pStyle w:val="BodyText"/>
      </w:pPr>
      <w:r>
        <w:t xml:space="preserve">With that framing, the chapter’s logic still tracks. Prior work on the Kerkrade site establishes that basement CO₂ dynamics are strongly related to atmospheric pressure and that nearby weather-station data can predict CO₂ leakage events with performance similar to indoor IoT data. The proposed chapter extends that precursor work by moving from binary leakage classification to continuous signal characterization, explicitly separating barometric and candidate hydrological components, and treating transfer to other Maas-basin sites as a stress test rather than a promised operational deployment.</w:t>
      </w:r>
    </w:p>
    <w:p>
      <w:pPr>
        <w:pStyle w:val="BodyText"/>
      </w:pPr>
      <w:r>
        <w:t xml:space="preserve">The chapter should therefore be written as a case-based contribution to environmental time-series analysis under data constraints. Its strongest contribution is not</w:t>
      </w:r>
      <w:r>
        <w:t xml:space="preserve"> </w:t>
      </w:r>
      <w:r>
        <w:t xml:space="preserve">“we can monitor the Maas basin using basement CO₂ sensors.”</w:t>
      </w:r>
      <w:r>
        <w:t xml:space="preserve"> </w:t>
      </w:r>
      <w:r>
        <w:t xml:space="preserve">The stronger claim is:</w:t>
      </w:r>
      <w:r>
        <w:t xml:space="preserve"> </w:t>
      </w:r>
      <w:r>
        <w:t xml:space="preserve">“At a post-mining calibration site, low-cost environmental sensor data contain a dominant barometric CO₂ signal; after decomposing that component, it is possible to test whether residual multivariate structure contains antecedent hydrological information beyond simple rainfall, soil-moisture, and discharge baselines.”</w:t>
      </w:r>
    </w:p>
    <w:bookmarkEnd w:id="22"/>
    <w:bookmarkStart w:id="23" w:name="revised-dissertation-level-framing"/>
    <w:p>
      <w:pPr>
        <w:pStyle w:val="Heading2"/>
      </w:pPr>
      <w:r>
        <w:t xml:space="preserve">2. Revised dissertation-level framing</w:t>
      </w:r>
    </w:p>
    <w:p>
      <w:pPr>
        <w:pStyle w:val="FirstParagraph"/>
      </w:pPr>
      <w:r>
        <w:t xml:space="preserve">The most important adjustment is at the dissertation level. Since this is one chapter in a three- or four-chapter dissertation, and the other chapters will use different data and methods, this chapter should not be forced to carry the dissertation’s methodological identity. Instead, the dissertation can be unified by a broader substantive problem: how weather events and their impacts can be studied using heterogeneous, imperfect, indirect, and sometimes opportunistic data sources.</w:t>
      </w:r>
    </w:p>
    <w:p>
      <w:pPr>
        <w:pStyle w:val="BodyText"/>
      </w:pPr>
      <w:r>
        <w:t xml:space="preserve">A suitable dissertation-level throughline would be:</w:t>
      </w:r>
    </w:p>
    <w:p>
      <w:pPr>
        <w:pStyle w:val="BlockText"/>
      </w:pPr>
      <w:r>
        <w:t xml:space="preserve">This dissertation examines how weather-event risk, environmental response, and decision-relevant signals can be characterized using heterogeneous and imperfect data. Each chapter studies a different weather-event setting with a fit-for-purpose analytical strategy, rather than imposing a single model class across all cases.</w:t>
      </w:r>
    </w:p>
    <w:p>
      <w:pPr>
        <w:pStyle w:val="FirstParagraph"/>
      </w:pPr>
      <w:r>
        <w:t xml:space="preserve">This framing gives the Kerkrade chapter permission to be unusual. It can combine post-mining hydrogeology, mine-gas dynamics, low-cost IoT, weather-station features, and anomaly detection without needing the later chapters to repeat those ingredients. The coherence comes from the shared weather-event problem space and from a common concern with indirect signals, uncertainty, and data limitations.</w:t>
      </w:r>
    </w:p>
    <w:p>
      <w:pPr>
        <w:pStyle w:val="BodyText"/>
      </w:pPr>
      <w:r>
        <w:t xml:space="preserve">The scaffold already moves in this direction by describing the chapter as a standalone publishable empirical study with loose thematic linkage to the dissertation. That language should be retained and strengthened. The chapter should be introduced as an empirical case study in weather-event signal extraction under constrained observation, not as a general hydrological forecasting framework.</w:t>
      </w:r>
    </w:p>
    <w:bookmarkEnd w:id="23"/>
    <w:bookmarkStart w:id="24" w:name="how-eryilmaz-2025-should-be-positioned"/>
    <w:p>
      <w:pPr>
        <w:pStyle w:val="Heading2"/>
      </w:pPr>
      <w:r>
        <w:t xml:space="preserve">3. How Eryilmaz (2025) should be positioned</w:t>
      </w:r>
    </w:p>
    <w:p>
      <w:pPr>
        <w:pStyle w:val="FirstParagraph"/>
      </w:pPr>
      <w:r>
        <w:t xml:space="preserve">Eryilmaz (2025) still supports the chapter, but only if positioned carefully. The paper should be treated as a precursor study on same-site CO₂ leakage prediction, not as evidence that basin-scale transfer will work.</w:t>
      </w:r>
    </w:p>
    <w:p>
      <w:pPr>
        <w:pStyle w:val="BodyText"/>
      </w:pPr>
      <w:r>
        <w:t xml:space="preserve">Its core finding is useful: a logistic regression model using indoor sensor variables predicts basement CO₂ leakage events very well, and a second model using nearby publicly available weather-station data achieves similar performance. The dominant role of 6-hour pressure change is especially important. It shows that the weather-driven component of the CO₂ signal is not incidental; it is central to prediction.</w:t>
      </w:r>
    </w:p>
    <w:p>
      <w:pPr>
        <w:pStyle w:val="BodyText"/>
      </w:pPr>
      <w:r>
        <w:t xml:space="preserve">However, the result should not be overstated. Eryilmaz does not show that weather-station data can replace all on-site monitoring in general. It shows that, for this specific Kerkrade site and this specific historical window, nearby meteorological variables can predict a binary indoor CO₂ threshold event with high AUROC. The target variable remains the indoor basement CO₂ event. The weather data are not independently validating a flood, groundwater, or basin antecedent-state outcome.</w:t>
      </w:r>
    </w:p>
    <w:p>
      <w:pPr>
        <w:pStyle w:val="BodyText"/>
      </w:pPr>
      <w:r>
        <w:t xml:space="preserve">That distinction is crucial. Eryilmaz supports the starting premise that external meteorological forcing captures much of the CO₂-event signal at the calibration site. It does not prove that residual hydrological information exists after pressure decomposition. It also does not prove that the learned signal transfers to other locations. Those are exactly the gaps the proposed chapter should investigate.</w:t>
      </w:r>
    </w:p>
    <w:p>
      <w:pPr>
        <w:pStyle w:val="BodyText"/>
      </w:pPr>
      <w:r>
        <w:t xml:space="preserve">The chapter should therefore describe Eryilmaz as establishing three things:</w:t>
      </w:r>
    </w:p>
    <w:p>
      <w:pPr>
        <w:pStyle w:val="Compact"/>
        <w:numPr>
          <w:ilvl w:val="0"/>
          <w:numId w:val="1001"/>
        </w:numPr>
      </w:pPr>
      <w:r>
        <w:t xml:space="preserve">Basement CO₂ behavior at Kerkrade is predictable from simple environmental variables.</w:t>
      </w:r>
    </w:p>
    <w:p>
      <w:pPr>
        <w:pStyle w:val="Compact"/>
        <w:numPr>
          <w:ilvl w:val="0"/>
          <w:numId w:val="1001"/>
        </w:numPr>
      </w:pPr>
      <w:r>
        <w:t xml:space="preserve">Pressure tendency is a dominant predictor of leakage events.</w:t>
      </w:r>
    </w:p>
    <w:p>
      <w:pPr>
        <w:pStyle w:val="Compact"/>
        <w:numPr>
          <w:ilvl w:val="0"/>
          <w:numId w:val="1001"/>
        </w:numPr>
      </w:pPr>
      <w:r>
        <w:t xml:space="preserve">Nearby public weather data capture much of the same predictive structure as indoor IoT data at the same site.</w:t>
      </w:r>
    </w:p>
    <w:p>
      <w:pPr>
        <w:pStyle w:val="FirstParagraph"/>
      </w:pPr>
      <w:r>
        <w:t xml:space="preserve">The chapter then asks the next question: once this dominant pressure component is acknowledged and decomposed, is there any remaining signal that corresponds to antecedent hydrological state?</w:t>
      </w:r>
    </w:p>
    <w:bookmarkEnd w:id="24"/>
    <w:bookmarkStart w:id="25" w:name="X2c07e01c198b58866a507ff46f02765d5010af5"/>
    <w:p>
      <w:pPr>
        <w:pStyle w:val="Heading2"/>
      </w:pPr>
      <w:r>
        <w:t xml:space="preserve">4. Technical feasibility of the proposed chapter</w:t>
      </w:r>
    </w:p>
    <w:p>
      <w:pPr>
        <w:pStyle w:val="FirstParagraph"/>
      </w:pPr>
      <w:r>
        <w:t xml:space="preserve">The chapter is feasible, but it depends on disciplined scope control. The available 17-month data window is enough for exploratory and case-based time-series analysis, but not enough for strong seasonal modeling, rare-event inference, or broad claims about recurrence behavior. The chapter should therefore avoid language that implies robust climatological generalization.</w:t>
      </w:r>
    </w:p>
    <w:p>
      <w:pPr>
        <w:pStyle w:val="BodyText"/>
      </w:pPr>
      <w:r>
        <w:t xml:space="preserve">The two-stage decomposition is technically defensible. Stage 1 removes or models the barometric component of CO₂ variation using atmospheric pressure level and pressure tendency. This is supported by the strong role of pressure tendency in the Kerkrade precursor study and by the broader mine-gas and vadose-zone literature on barometric pumping. Stage 2 then analyzes the remaining residual signal as a candidate hydrological or antecedent-state component.</w:t>
      </w:r>
    </w:p>
    <w:p>
      <w:pPr>
        <w:pStyle w:val="BodyText"/>
      </w:pPr>
      <w:r>
        <w:t xml:space="preserve">This is a sound analytical choice because it makes the most important confound explicit. A one-stage black-box model might perform better, but it would be harder to defend mechanistically. In a PhD examination, interpretability matters. The two-stage approach allows the chapter to say: first, we quantify the pressure-driven component; second, we ask whether anything meaningful remains.</w:t>
      </w:r>
    </w:p>
    <w:p>
      <w:pPr>
        <w:pStyle w:val="BodyText"/>
      </w:pPr>
      <w:r>
        <w:t xml:space="preserve">The main risk is that barometric forcing may explain nearly all usable variation in the CO₂ channel. If that happens, the chapter is not a failure, but the contribution changes. The chapter would become a barometric-decomposition and negative-transfer study rather than a hydrological-proxy study. That outcome is still publishable if the methods and uncertainty framing are clear.</w:t>
      </w:r>
    </w:p>
    <w:p>
      <w:pPr>
        <w:pStyle w:val="BodyText"/>
      </w:pPr>
      <w:r>
        <w:t xml:space="preserve">The ensemble time-series anomaly detection plan is also feasible, provided the models are treated as complementary diagnostic tools rather than as a competition for the highest score. SARIMAX residuals, Kalman innovations, and Isolation Forest scores cover three useful modeling families: parametric time-series structure, recursive state-space prediction, and non-parametric multivariate isolation. Their agreement and disagreement can be interpreted as evidence about signal robustness.</w:t>
      </w:r>
    </w:p>
    <w:p>
      <w:pPr>
        <w:pStyle w:val="BodyText"/>
      </w:pPr>
      <w:r>
        <w:t xml:space="preserve">Deep-learning anomaly detection should remain out of scope unless there is a very specific reason to include it. With one calibration site, limited labels, and a short data window, deep TSAD would likely add complexity without improving defensibility. The chapter is stronger if it explicitly argues for interpretable, low-data methods.</w:t>
      </w:r>
    </w:p>
    <w:bookmarkEnd w:id="25"/>
    <w:bookmarkStart w:id="26" w:name="evaluation-under-low-label-conditions"/>
    <w:p>
      <w:pPr>
        <w:pStyle w:val="Heading2"/>
      </w:pPr>
      <w:r>
        <w:t xml:space="preserve">5. Evaluation under low-label conditions</w:t>
      </w:r>
    </w:p>
    <w:p>
      <w:pPr>
        <w:pStyle w:val="FirstParagraph"/>
      </w:pPr>
      <w:r>
        <w:t xml:space="preserve">The proposed evaluation protocol is appropriate, but it should be presented as triangulation rather than validation in the conventional supervised-learning sense. This chapter will not have abundant ground-truth labels. July 2021 is outside the analysis window, and the 2025–present period will likely contain only soft hydrological-event labels derived from discharge percentiles, rainfall history, and incident reports.</w:t>
      </w:r>
    </w:p>
    <w:p>
      <w:pPr>
        <w:pStyle w:val="BodyText"/>
      </w:pPr>
      <w:r>
        <w:t xml:space="preserve">That means AUROC-style evaluation should not be the main evidence base for the proposed chapter. Eryilmaz could use AUROC because it had a binary target: CO₂ above or below 1000 ppm. The new chapter is asking a subtler question about residual antecedent-state signal. For that, the stronger evaluation design is multi-part:</w:t>
      </w:r>
    </w:p>
    <w:p>
      <w:pPr>
        <w:pStyle w:val="BodyText"/>
      </w:pPr>
      <w:r>
        <w:t xml:space="preserve">First, compare anomaly density in antecedent windows before high-discharge events against background periods. Second, test whether residual anomaly scores add information beyond antecedent precipitation index, satellite soil moisture, and lagged discharge. Third, report agreement across detectors rather than relying on a single model. Fourth, use synthetic anomaly injection only as a calibration and stress-testing tool, not as proof that real hydrological anomalies are detected.</w:t>
      </w:r>
    </w:p>
    <w:p>
      <w:pPr>
        <w:pStyle w:val="BodyText"/>
      </w:pPr>
      <w:r>
        <w:t xml:space="preserve">This framing protects the chapter from a common criticism in time-series anomaly detection: that benchmark scores can create an illusion of progress when labels are weak or synthetic anomalies do not resemble real events. The chapter should be explicit that it is not claiming definitive event detection. It is testing whether an indirect environmental signal contains incremental information under constrained observation.</w:t>
      </w:r>
    </w:p>
    <w:bookmarkEnd w:id="26"/>
    <w:bookmarkStart w:id="27" w:name="X46a4a3583481937a068c3928ec032ddab821b7c"/>
    <w:p>
      <w:pPr>
        <w:pStyle w:val="Heading2"/>
      </w:pPr>
      <w:r>
        <w:t xml:space="preserve">6. Transfer experiment: revise from</w:t>
      </w:r>
      <w:r>
        <w:t xml:space="preserve"> </w:t>
      </w:r>
      <w:r>
        <w:t xml:space="preserve">“generalization”</w:t>
      </w:r>
      <w:r>
        <w:t xml:space="preserve"> </w:t>
      </w:r>
      <w:r>
        <w:t xml:space="preserve">to</w:t>
      </w:r>
      <w:r>
        <w:t xml:space="preserve"> </w:t>
      </w:r>
      <w:r>
        <w:t xml:space="preserve">“stress test”</w:t>
      </w:r>
    </w:p>
    <w:p>
      <w:pPr>
        <w:pStyle w:val="FirstParagraph"/>
      </w:pPr>
      <w:r>
        <w:t xml:space="preserve">The transfer experiment remains valuable, but its role should be narrowed. It should not be framed as proving that a Kerkrade-trained model can be deployed across the Maas basin. That would be too strong, especially because the calibration site is geologically unusual: a basement above abandoned mine infrastructure with a CO₂ channel tied to local post-mining conditions.</w:t>
      </w:r>
    </w:p>
    <w:p>
      <w:pPr>
        <w:pStyle w:val="BodyText"/>
      </w:pPr>
      <w:r>
        <w:t xml:space="preserve">Instead, transfer should be framed as a designed stress test of signal portability. The research question becomes:</w:t>
      </w:r>
    </w:p>
    <w:p>
      <w:pPr>
        <w:pStyle w:val="BlockText"/>
      </w:pPr>
      <w:r>
        <w:t xml:space="preserve">Does the signal structure learned at a post-mining calibration site have any detectable analogue at selected Maas-basin environmental monitoring locations, once evaluated against local discharge-derived soft labels and simple hydrometeorological baselines?</w:t>
      </w:r>
    </w:p>
    <w:p>
      <w:pPr>
        <w:pStyle w:val="FirstParagraph"/>
      </w:pPr>
      <w:r>
        <w:t xml:space="preserve">A weak or null transfer result would still be meaningful. It would show that the Kerkrade signal is strongly site-specific and that public weather features predict local CO₂ leakage without necessarily carrying basin-transferable antecedent-state information. That would be a useful scientific result and a defensible PhD chapter outcome.</w:t>
      </w:r>
    </w:p>
    <w:p>
      <w:pPr>
        <w:pStyle w:val="BodyText"/>
      </w:pPr>
      <w:r>
        <w:t xml:space="preserve">The transfer sites should therefore be selected conservatively. A small number of well-curated sites is preferable to a larger set of poorly matched stations. The site-selection logic should prioritize overlapping variables, stable hourly records, nearby discharge gauges, and clear metadata. The chapter can still mention jurisdictional diversity across the Netherlands, Belgium, Germany, and France, but the final sample should be driven by data quality rather than geographic symmetry.</w:t>
      </w:r>
    </w:p>
    <w:bookmarkEnd w:id="27"/>
    <w:bookmarkStart w:id="28" w:name="literature-positioning"/>
    <w:p>
      <w:pPr>
        <w:pStyle w:val="Heading2"/>
      </w:pPr>
      <w:r>
        <w:t xml:space="preserve">7. Literature positioning</w:t>
      </w:r>
    </w:p>
    <w:p>
      <w:pPr>
        <w:pStyle w:val="FirstParagraph"/>
      </w:pPr>
      <w:r>
        <w:t xml:space="preserve">The literature framing is generally strong, but the final chapter should avoid appearing to over-claim novelty across too many fields. The chapter currently touches hydrology, mine-water rebound, mine-gas dynamics, low-cost IoT, environmental anomaly detection, compound events, uncertainty, and prediction in ungauged basins. That is intellectually rich, but it could read as overextended if every area is presented as equally central.</w:t>
      </w:r>
    </w:p>
    <w:p>
      <w:pPr>
        <w:pStyle w:val="BodyText"/>
      </w:pPr>
      <w:r>
        <w:t xml:space="preserve">The final literature hierarchy should be:</w:t>
      </w:r>
    </w:p>
    <w:p>
      <w:pPr>
        <w:pStyle w:val="Compact"/>
        <w:numPr>
          <w:ilvl w:val="0"/>
          <w:numId w:val="1002"/>
        </w:numPr>
      </w:pPr>
      <w:r>
        <w:t xml:space="preserve">Mine-gas and post-mining hydrogeology as the physical basis for the calibration site.</w:t>
      </w:r>
    </w:p>
    <w:p>
      <w:pPr>
        <w:pStyle w:val="Compact"/>
        <w:numPr>
          <w:ilvl w:val="0"/>
          <w:numId w:val="1002"/>
        </w:numPr>
      </w:pPr>
      <w:r>
        <w:t xml:space="preserve">Barometric pumping as the main confound and first-order explanatory mechanism.</w:t>
      </w:r>
    </w:p>
    <w:p>
      <w:pPr>
        <w:pStyle w:val="Compact"/>
        <w:numPr>
          <w:ilvl w:val="0"/>
          <w:numId w:val="1002"/>
        </w:numPr>
      </w:pPr>
      <w:r>
        <w:t xml:space="preserve">Environmental time-series anomaly detection as the methodological backbone.</w:t>
      </w:r>
    </w:p>
    <w:p>
      <w:pPr>
        <w:pStyle w:val="Compact"/>
        <w:numPr>
          <w:ilvl w:val="0"/>
          <w:numId w:val="1002"/>
        </w:numPr>
      </w:pPr>
      <w:r>
        <w:t xml:space="preserve">Hydrological antecedent-state and transfer literature as the motivation for the residual-signal test.</w:t>
      </w:r>
    </w:p>
    <w:p>
      <w:pPr>
        <w:pStyle w:val="Compact"/>
        <w:numPr>
          <w:ilvl w:val="0"/>
          <w:numId w:val="1002"/>
        </w:numPr>
      </w:pPr>
      <w:r>
        <w:t xml:space="preserve">Weather-event analytics as the dissertation-level bridge to the other chapters.</w:t>
      </w:r>
    </w:p>
    <w:p>
      <w:pPr>
        <w:pStyle w:val="FirstParagraph"/>
      </w:pPr>
      <w:r>
        <w:t xml:space="preserve">This ordering keeps the chapter grounded. The chapter is not primarily a rainfall-runoff modeling paper. It is not primarily an operational flood forecasting paper. It is a sensor-signal decomposition paper motivated by hydrological antecedent state and weather-event risk.</w:t>
      </w:r>
    </w:p>
    <w:p>
      <w:pPr>
        <w:pStyle w:val="BodyText"/>
      </w:pPr>
      <w:r>
        <w:t xml:space="preserve">The Kratzert/Nearing/PUB literature should be used carefully. It is useful as a conceptual comparison: hydrology has moved toward cross-site learning and prediction in ungauged basins, so a single-site environmental ML result should be stress-tested for transfer. But the chapter should not imply that its low-cost IoT transfer experiment is directly comparable to large-sample rainfall-runoff modeling. It is an analogy and a motivation, not a benchmark the chapter must meet.</w:t>
      </w:r>
    </w:p>
    <w:bookmarkEnd w:id="28"/>
    <w:bookmarkStart w:id="29" w:name="X9b46942df1970d6c1d5e604c24b544bdc6cfe79"/>
    <w:p>
      <w:pPr>
        <w:pStyle w:val="Heading2"/>
      </w:pPr>
      <w:r>
        <w:t xml:space="preserve">8. Main examination risks and recommended defenses</w:t>
      </w:r>
    </w:p>
    <w:p>
      <w:pPr>
        <w:pStyle w:val="FirstParagraph"/>
      </w:pPr>
      <w:r>
        <w:t xml:space="preserve">The first examination risk is causal overreach. A committee may ask whether the residual CO₂ signal is truly hydrological or merely pressure, ventilation, sensor drift, occupancy, or unmodeled seasonality. The defense is to avoid causal language until groundwater or shaft-water data are incorporated. Use</w:t>
      </w:r>
      <w:r>
        <w:t xml:space="preserve"> </w:t>
      </w:r>
      <w:r>
        <w:t xml:space="preserve">“candidate antecedent-state signal,”</w:t>
      </w:r>
      <w:r>
        <w:t xml:space="preserve"> </w:t>
      </w:r>
      <w:r>
        <w:t xml:space="preserve">“consistent with,”</w:t>
      </w:r>
      <w:r>
        <w:t xml:space="preserve"> </w:t>
      </w:r>
      <w:r>
        <w:t xml:space="preserve">and</w:t>
      </w:r>
      <w:r>
        <w:t xml:space="preserve"> </w:t>
      </w:r>
      <w:r>
        <w:t xml:space="preserve">“incremental association”</w:t>
      </w:r>
      <w:r>
        <w:t xml:space="preserve"> </w:t>
      </w:r>
      <w:r>
        <w:t xml:space="preserve">rather than</w:t>
      </w:r>
      <w:r>
        <w:t xml:space="preserve"> </w:t>
      </w:r>
      <w:r>
        <w:t xml:space="preserve">“proves groundwater state.”</w:t>
      </w:r>
    </w:p>
    <w:p>
      <w:pPr>
        <w:pStyle w:val="BodyText"/>
      </w:pPr>
      <w:r>
        <w:t xml:space="preserve">The second risk is data sufficiency. Seventeen months is short for seasonal hydrology and SARIMAX seasonality. The defense is to state this limitation upfront, avoid overtraining seasonal terms, use external meteorological/climatological features where appropriate, and emphasize event-window analysis rather than long-term climatological inference.</w:t>
      </w:r>
    </w:p>
    <w:p>
      <w:pPr>
        <w:pStyle w:val="BodyText"/>
      </w:pPr>
      <w:r>
        <w:t xml:space="preserve">The third risk is transfer overclaim. The defense is to define transfer as a stress test, not deployment. The chapter should be considered successful if it produces a clear, reproducible answer about whether the Kerkrade signal adds information beyond simple baselines at selected sites.</w:t>
      </w:r>
    </w:p>
    <w:p>
      <w:pPr>
        <w:pStyle w:val="BodyText"/>
      </w:pPr>
      <w:r>
        <w:t xml:space="preserve">The fourth risk is leakage from random cross-validation or time dependence. Eryilmaz used 5-fold cross-validation, but the proposed chapter should use time-aware validation wherever possible. Blocked, rolling, or forward-chaining splits are more defensible for time-series data. When discussing Eryilmaz, note that its AUROC values are useful as precursor evidence but should not be treated as final proof of out-of-sample operational performance.</w:t>
      </w:r>
    </w:p>
    <w:p>
      <w:pPr>
        <w:pStyle w:val="BodyText"/>
      </w:pPr>
      <w:r>
        <w:t xml:space="preserve">The fifth risk is weak labels. The defense is to avoid claiming hard validation. Use discharge percentile windows, permutation tests, detector agreement, baseline comparisons, and sensitivity analysis. The strength of the chapter should come from converging evidence, not a single metric.</w:t>
      </w:r>
    </w:p>
    <w:bookmarkEnd w:id="29"/>
    <w:bookmarkStart w:id="30" w:name="revised-chapter-claim"/>
    <w:p>
      <w:pPr>
        <w:pStyle w:val="Heading2"/>
      </w:pPr>
      <w:r>
        <w:t xml:space="preserve">9. Revised chapter claim</w:t>
      </w:r>
    </w:p>
    <w:p>
      <w:pPr>
        <w:pStyle w:val="FirstParagraph"/>
      </w:pPr>
      <w:r>
        <w:t xml:space="preserve">A defensible final claim would be:</w:t>
      </w:r>
    </w:p>
    <w:p>
      <w:pPr>
        <w:pStyle w:val="BlockText"/>
      </w:pPr>
      <w:r>
        <w:t xml:space="preserve">This chapter investigates whether low-cost environmental IoT data from a post-mining calibration site contain a residual antecedent-state signal after explicit removal of dominant barometric forcing. Building on prior same-site CO₂ leakage prediction work, the study shifts from binary leak classification to multivariate residual characterization using interpretable time-series anomaly detection. The analysis evaluates whether the residual signal adds information beyond established hydrometeorological baselines and tests limited transfer to selected Maas-basin monitoring sites as a stress test of portability rather than as an operational forecasting claim.</w:t>
      </w:r>
    </w:p>
    <w:p>
      <w:pPr>
        <w:pStyle w:val="FirstParagraph"/>
      </w:pPr>
      <w:r>
        <w:t xml:space="preserve">This claim is strong enough for a PhD chapter and modest enough to survive examination.</w:t>
      </w:r>
    </w:p>
    <w:bookmarkEnd w:id="30"/>
    <w:bookmarkStart w:id="31" w:name="recommendation"/>
    <w:p>
      <w:pPr>
        <w:pStyle w:val="Heading2"/>
      </w:pPr>
      <w:r>
        <w:t xml:space="preserve">10. Recommendation</w:t>
      </w:r>
    </w:p>
    <w:p>
      <w:pPr>
        <w:pStyle w:val="FirstParagraph"/>
      </w:pPr>
      <w:r>
        <w:t xml:space="preserve">Proceed with the chapter, but revise the scaffold in four ways.</w:t>
      </w:r>
    </w:p>
    <w:p>
      <w:pPr>
        <w:pStyle w:val="BodyText"/>
      </w:pPr>
      <w:r>
        <w:t xml:space="preserve">First, move the dissertation-level justification earlier: this is one chapter in a broader weather-events dissertation using heterogeneous methods.</w:t>
      </w:r>
    </w:p>
    <w:p>
      <w:pPr>
        <w:pStyle w:val="BodyText"/>
      </w:pPr>
      <w:r>
        <w:t xml:space="preserve">Second, narrow the role of Eryilmaz. It is a precursor that establishes pressure-dominated same-site predictability, not a proof of general substitutability or transfer.</w:t>
      </w:r>
    </w:p>
    <w:p>
      <w:pPr>
        <w:pStyle w:val="BodyText"/>
      </w:pPr>
      <w:r>
        <w:t xml:space="preserve">Third, make the barometric decomposition the methodological center of the chapter. The hydrological residual is the question under test, not the assumed result.</w:t>
      </w:r>
    </w:p>
    <w:p>
      <w:pPr>
        <w:pStyle w:val="BodyText"/>
      </w:pPr>
      <w:r>
        <w:t xml:space="preserve">Fourth, frame transfer as a stress test with publishable outcomes whether positive, weak, or null.</w:t>
      </w:r>
    </w:p>
    <w:p>
      <w:pPr>
        <w:pStyle w:val="BodyText"/>
      </w:pPr>
      <w:r>
        <w:t xml:space="preserve">With these changes, the chapter becomes more defensible. It no longer depends on proving a basin-wide IoT forecasting concept. Instead, it makes a focused contribution: a carefully bounded test of whether an indirect, pressure-dominated, post-mining environmental sensor stream contains any additional antecedent-state information relevant to weather-event analysis.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2026-05-31T23:17:09Z</dcterms:created>
  <dcterms:modified xsi:type="dcterms:W3CDTF">2026-05-31T23:17:09Z</dcterms:modified>
</cp:coreProperties>
</file>

<file path=docProps/custom.xml><?xml version="1.0" encoding="utf-8"?>
<Properties xmlns="http://schemas.openxmlformats.org/officeDocument/2006/custom-properties" xmlns:vt="http://schemas.openxmlformats.org/officeDocument/2006/docPropsVTypes"/>
</file>