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CDDB" w14:textId="77777777" w:rsidR="007D7803" w:rsidRPr="007D7803" w:rsidRDefault="007D7803" w:rsidP="007D78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7803">
        <w:rPr>
          <w:rFonts w:ascii="Times New Roman" w:eastAsia="Times New Roman" w:hAnsi="Times New Roman" w:cs="Times New Roman"/>
          <w:b/>
          <w:bCs/>
          <w:kern w:val="36"/>
          <w:sz w:val="48"/>
          <w:szCs w:val="48"/>
          <w14:ligatures w14:val="none"/>
        </w:rPr>
        <w:t xml:space="preserve">Juxtaposition — </w:t>
      </w:r>
      <w:r w:rsidRPr="007D7803">
        <w:rPr>
          <w:rFonts w:ascii="Times New Roman" w:eastAsia="Times New Roman" w:hAnsi="Times New Roman" w:cs="Times New Roman"/>
          <w:b/>
          <w:bCs/>
          <w:i/>
          <w:iCs/>
          <w:kern w:val="36"/>
          <w:sz w:val="48"/>
          <w:szCs w:val="48"/>
          <w14:ligatures w14:val="none"/>
        </w:rPr>
        <w:t>Session31B_Gillikin.pptx</w:t>
      </w:r>
      <w:r w:rsidRPr="007D7803">
        <w:rPr>
          <w:rFonts w:ascii="Times New Roman" w:eastAsia="Times New Roman" w:hAnsi="Times New Roman" w:cs="Times New Roman"/>
          <w:b/>
          <w:bCs/>
          <w:kern w:val="36"/>
          <w:sz w:val="48"/>
          <w:szCs w:val="48"/>
          <w14:ligatures w14:val="none"/>
        </w:rPr>
        <w:t xml:space="preserve"> against the project reference universe</w:t>
      </w:r>
    </w:p>
    <w:p w14:paraId="0875144B"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i/>
          <w:iCs/>
          <w:kern w:val="0"/>
          <w14:ligatures w14:val="none"/>
        </w:rPr>
        <w:t xml:space="preserve">A slide-by-slide and theme-by-theme cross-reading of the Gillikin / Békési / Can deck (26 March 2026, "CO₂ and Time-Series Flood Anomaly Detection") against the 690 deduplicated bibliographic references and 62 web resources consolidated from the seven project documents in Files. The goal is to flag, for each part of the deck, what the project files </w:t>
      </w:r>
      <w:r w:rsidRPr="007D7803">
        <w:rPr>
          <w:rFonts w:ascii="Times New Roman" w:eastAsia="Times New Roman" w:hAnsi="Times New Roman" w:cs="Times New Roman"/>
          <w:b/>
          <w:bCs/>
          <w:i/>
          <w:iCs/>
          <w:kern w:val="0"/>
          <w14:ligatures w14:val="none"/>
        </w:rPr>
        <w:t>already cover</w:t>
      </w:r>
      <w:r w:rsidRPr="007D7803">
        <w:rPr>
          <w:rFonts w:ascii="Times New Roman" w:eastAsia="Times New Roman" w:hAnsi="Times New Roman" w:cs="Times New Roman"/>
          <w:i/>
          <w:iCs/>
          <w:kern w:val="0"/>
          <w14:ligatures w14:val="none"/>
        </w:rPr>
        <w:t xml:space="preserve">, what </w:t>
      </w:r>
      <w:r w:rsidRPr="007D7803">
        <w:rPr>
          <w:rFonts w:ascii="Times New Roman" w:eastAsia="Times New Roman" w:hAnsi="Times New Roman" w:cs="Times New Roman"/>
          <w:b/>
          <w:bCs/>
          <w:i/>
          <w:iCs/>
          <w:kern w:val="0"/>
          <w14:ligatures w14:val="none"/>
        </w:rPr>
        <w:t>complicates or contradicts</w:t>
      </w:r>
      <w:r w:rsidRPr="007D7803">
        <w:rPr>
          <w:rFonts w:ascii="Times New Roman" w:eastAsia="Times New Roman" w:hAnsi="Times New Roman" w:cs="Times New Roman"/>
          <w:i/>
          <w:iCs/>
          <w:kern w:val="0"/>
          <w14:ligatures w14:val="none"/>
        </w:rPr>
        <w:t xml:space="preserve"> the deck's framing, and what is </w:t>
      </w:r>
      <w:r w:rsidRPr="007D7803">
        <w:rPr>
          <w:rFonts w:ascii="Times New Roman" w:eastAsia="Times New Roman" w:hAnsi="Times New Roman" w:cs="Times New Roman"/>
          <w:b/>
          <w:bCs/>
          <w:i/>
          <w:iCs/>
          <w:kern w:val="0"/>
          <w14:ligatures w14:val="none"/>
        </w:rPr>
        <w:t>conspicuously absent</w:t>
      </w:r>
      <w:r w:rsidRPr="007D7803">
        <w:rPr>
          <w:rFonts w:ascii="Times New Roman" w:eastAsia="Times New Roman" w:hAnsi="Times New Roman" w:cs="Times New Roman"/>
          <w:i/>
          <w:iCs/>
          <w:kern w:val="0"/>
          <w14:ligatures w14:val="none"/>
        </w:rPr>
        <w:t xml:space="preserve"> on either side.</w:t>
      </w:r>
    </w:p>
    <w:p w14:paraId="0E982A89" w14:textId="77777777" w:rsidR="007D7803" w:rsidRPr="007D7803" w:rsidRDefault="007C1183" w:rsidP="007D7803">
      <w:pPr>
        <w:spacing w:after="0" w:line="240" w:lineRule="auto"/>
        <w:rPr>
          <w:rFonts w:ascii="Times New Roman" w:eastAsia="Times New Roman" w:hAnsi="Times New Roman" w:cs="Times New Roman"/>
          <w:kern w:val="0"/>
          <w14:ligatures w14:val="none"/>
        </w:rPr>
      </w:pPr>
      <w:r w:rsidRPr="007C1183">
        <w:rPr>
          <w:rFonts w:ascii="Times New Roman" w:eastAsia="Times New Roman" w:hAnsi="Times New Roman" w:cs="Times New Roman"/>
          <w:noProof/>
          <w:kern w:val="0"/>
        </w:rPr>
        <w:pict w14:anchorId="38E51F17">
          <v:rect id="_x0000_i1041" alt="" style="width:468pt;height:.05pt;mso-width-percent:0;mso-height-percent:0;mso-width-percent:0;mso-height-percent:0" o:hralign="center" o:hrstd="t" o:hr="t" fillcolor="#a0a0a0" stroked="f"/>
        </w:pict>
      </w:r>
    </w:p>
    <w:p w14:paraId="7EA48077" w14:textId="77777777" w:rsidR="007D7803" w:rsidRPr="007D7803" w:rsidRDefault="007D7803" w:rsidP="007D78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803">
        <w:rPr>
          <w:rFonts w:ascii="Times New Roman" w:eastAsia="Times New Roman" w:hAnsi="Times New Roman" w:cs="Times New Roman"/>
          <w:b/>
          <w:bCs/>
          <w:kern w:val="0"/>
          <w:sz w:val="36"/>
          <w:szCs w:val="36"/>
          <w14:ligatures w14:val="none"/>
        </w:rPr>
        <w:t>1. Executive juxtaposition</w:t>
      </w:r>
    </w:p>
    <w:p w14:paraId="07E14600"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The deck and the project files are aimed at the same target — flood prediction in the Meuse / Maas basin, anchored on the July 2021 catastrophe — but they look at it from almost opposite ends of the methodological telescope:</w:t>
      </w:r>
    </w:p>
    <w:p w14:paraId="68472FB6" w14:textId="77777777" w:rsidR="007D7803" w:rsidRPr="007D7803" w:rsidRDefault="007D7803" w:rsidP="007D78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The deck is </w:t>
      </w:r>
      <w:r w:rsidRPr="007D7803">
        <w:rPr>
          <w:rFonts w:ascii="Times New Roman" w:eastAsia="Times New Roman" w:hAnsi="Times New Roman" w:cs="Times New Roman"/>
          <w:b/>
          <w:bCs/>
          <w:kern w:val="0"/>
          <w14:ligatures w14:val="none"/>
        </w:rPr>
        <w:t>method-first, data-thin</w:t>
      </w:r>
      <w:r w:rsidRPr="007D7803">
        <w:rPr>
          <w:rFonts w:ascii="Times New Roman" w:eastAsia="Times New Roman" w:hAnsi="Times New Roman" w:cs="Times New Roman"/>
          <w:kern w:val="0"/>
          <w14:ligatures w14:val="none"/>
        </w:rPr>
        <w:t>. It commits to three specific algorithms (Isolation Forest, Kalman Filter, SARIMAX) deployed on high-frequency CO₂ readings from one IoT device in a Kerkrade basement, plus hourly Visualcrossing weather, with the 2021 flood as the only labeled anomaly.</w:t>
      </w:r>
    </w:p>
    <w:p w14:paraId="0DFE3E6C" w14:textId="77777777" w:rsidR="007D7803" w:rsidRPr="007D7803" w:rsidRDefault="007D7803" w:rsidP="007D78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The reference universe is </w:t>
      </w:r>
      <w:r w:rsidRPr="007D7803">
        <w:rPr>
          <w:rFonts w:ascii="Times New Roman" w:eastAsia="Times New Roman" w:hAnsi="Times New Roman" w:cs="Times New Roman"/>
          <w:b/>
          <w:bCs/>
          <w:kern w:val="0"/>
          <w14:ligatures w14:val="none"/>
        </w:rPr>
        <w:t>basin-first, method-broad</w:t>
      </w:r>
      <w:r w:rsidRPr="007D7803">
        <w:rPr>
          <w:rFonts w:ascii="Times New Roman" w:eastAsia="Times New Roman" w:hAnsi="Times New Roman" w:cs="Times New Roman"/>
          <w:kern w:val="0"/>
          <w14:ligatures w14:val="none"/>
        </w:rPr>
        <w:t>. It contains 84 references on Meuse hydrology, 130 in supplementary Q1 outlets, 196 covering the methods chapter (including substantial coverage of all three of the deck's models), 146 on compound events / non-stationarity / verification / uncertainty, 36 dedicated to July 2021, 60 in the institutional grey literature, and 24 on catchment characteristics.</w:t>
      </w:r>
    </w:p>
    <w:p w14:paraId="6DAD7EE3"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That gives three structural mismatches worth naming up front:</w:t>
      </w:r>
    </w:p>
    <w:p w14:paraId="33E9B982" w14:textId="77777777" w:rsidR="007D7803" w:rsidRPr="007D7803" w:rsidRDefault="007D7803" w:rsidP="007D78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The CO₂-as-flood-precursor frame</w:t>
      </w:r>
      <w:r w:rsidRPr="007D7803">
        <w:rPr>
          <w:rFonts w:ascii="Times New Roman" w:eastAsia="Times New Roman" w:hAnsi="Times New Roman" w:cs="Times New Roman"/>
          <w:kern w:val="0"/>
          <w14:ligatures w14:val="none"/>
        </w:rPr>
        <w:t xml:space="preserve"> that motivates the entire deck is present in </w:t>
      </w:r>
      <w:r w:rsidRPr="007D7803">
        <w:rPr>
          <w:rFonts w:ascii="Times New Roman" w:eastAsia="Times New Roman" w:hAnsi="Times New Roman" w:cs="Times New Roman"/>
          <w:b/>
          <w:bCs/>
          <w:kern w:val="0"/>
          <w14:ligatures w14:val="none"/>
        </w:rPr>
        <w:t>zero</w:t>
      </w:r>
      <w:r w:rsidRPr="007D7803">
        <w:rPr>
          <w:rFonts w:ascii="Times New Roman" w:eastAsia="Times New Roman" w:hAnsi="Times New Roman" w:cs="Times New Roman"/>
          <w:kern w:val="0"/>
          <w14:ligatures w14:val="none"/>
        </w:rPr>
        <w:t xml:space="preserve"> of the 690 references. Neither Viefhues (2022) nor Eryilmaz (2025) — the two MU/DAD papers the deck builds on — appears anywhere in the consolidated list, and no entry in the list connects coal- mine CO₂ leakage to flood occurrence. This is either (a) a genuine and defensible niche the deck is opening, or (b) a literature the compendia never tried to cover. Either way it should be made explicit.</w:t>
      </w:r>
    </w:p>
    <w:p w14:paraId="287E9169" w14:textId="77777777" w:rsidR="007D7803" w:rsidRPr="007D7803" w:rsidRDefault="007D7803" w:rsidP="007D78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The deck's case site (Kerkrade) is a literature blank</w:t>
      </w:r>
      <w:r w:rsidRPr="007D7803">
        <w:rPr>
          <w:rFonts w:ascii="Times New Roman" w:eastAsia="Times New Roman" w:hAnsi="Times New Roman" w:cs="Times New Roman"/>
          <w:kern w:val="0"/>
          <w14:ligatures w14:val="none"/>
        </w:rPr>
        <w:t>. The string "Kerkrade" returns zero hits across the 690 refs. Adjacent locations in the same Dutch / Belgian / German tri-border are well covered — Liège (13), Limburg (6), Geul (5), Inde / Vicht (1–2), Maastricht (4) — but the specific post-mining locality of Kerkrade is invisible in the project's literature universe.</w:t>
      </w:r>
    </w:p>
    <w:p w14:paraId="1A9D332D" w14:textId="77777777" w:rsidR="007D7803" w:rsidRPr="007D7803" w:rsidRDefault="007D7803" w:rsidP="007D78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The deck's validation philosophy ignores most of Compendium 4</w:t>
      </w:r>
      <w:r w:rsidRPr="007D7803">
        <w:rPr>
          <w:rFonts w:ascii="Times New Roman" w:eastAsia="Times New Roman" w:hAnsi="Times New Roman" w:cs="Times New Roman"/>
          <w:kern w:val="0"/>
          <w14:ligatures w14:val="none"/>
        </w:rPr>
        <w:t xml:space="preserve">. Compendium 4's two themes (compound events / non-stationarity; verification / uncertainty) total 146 references covering CRPS, Brier scores, rank histograms, ROC, fair-CRPS for finite ensembles, KGE vs NSE, formal vs informal likelihoods, GLUE / DREAM / ABC, </w:t>
      </w:r>
      <w:r w:rsidRPr="007D7803">
        <w:rPr>
          <w:rFonts w:ascii="Times New Roman" w:eastAsia="Times New Roman" w:hAnsi="Times New Roman" w:cs="Times New Roman"/>
          <w:kern w:val="0"/>
          <w14:ligatures w14:val="none"/>
        </w:rPr>
        <w:lastRenderedPageBreak/>
        <w:t xml:space="preserve">predictive uncertainty, and forecast-verification frameworks. The deck's slide on validation (signature injection, prospective monitoring, ablation, regional replication) draws on </w:t>
      </w:r>
      <w:r w:rsidRPr="007D7803">
        <w:rPr>
          <w:rFonts w:ascii="Times New Roman" w:eastAsia="Times New Roman" w:hAnsi="Times New Roman" w:cs="Times New Roman"/>
          <w:b/>
          <w:bCs/>
          <w:kern w:val="0"/>
          <w14:ligatures w14:val="none"/>
        </w:rPr>
        <w:t>none</w:t>
      </w:r>
      <w:r w:rsidRPr="007D7803">
        <w:rPr>
          <w:rFonts w:ascii="Times New Roman" w:eastAsia="Times New Roman" w:hAnsi="Times New Roman" w:cs="Times New Roman"/>
          <w:kern w:val="0"/>
          <w14:ligatures w14:val="none"/>
        </w:rPr>
        <w:t xml:space="preserve"> of this — and it could.</w:t>
      </w:r>
    </w:p>
    <w:p w14:paraId="1BC10A82"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The rest of this document walks through the deck slide by slide, then closes with five thematic juxtapositions and a list of the most actionable absences.</w:t>
      </w:r>
    </w:p>
    <w:p w14:paraId="57BCE9CD"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7C8D8505">
          <v:rect id="_x0000_i1026" style="width:0;height:1.5pt" o:hralign="center" o:hrstd="t" o:hr="t" fillcolor="#a0a0a0" stroked="f"/>
        </w:pict>
      </w:r>
    </w:p>
    <w:p w14:paraId="05624FBE" w14:textId="77777777" w:rsidR="007D7803" w:rsidRPr="007D7803" w:rsidRDefault="007D7803" w:rsidP="007D78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803">
        <w:rPr>
          <w:rFonts w:ascii="Times New Roman" w:eastAsia="Times New Roman" w:hAnsi="Times New Roman" w:cs="Times New Roman"/>
          <w:b/>
          <w:bCs/>
          <w:kern w:val="0"/>
          <w:sz w:val="36"/>
          <w:szCs w:val="36"/>
          <w14:ligatures w14:val="none"/>
        </w:rPr>
        <w:t>2. Slide-by-slide juxtaposition</w:t>
      </w:r>
    </w:p>
    <w:p w14:paraId="2799DF93"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 xml:space="preserve">Slide 1 — Title &amp; authors </w:t>
      </w:r>
      <w:r w:rsidRPr="007D7803">
        <w:rPr>
          <w:rFonts w:ascii="Times New Roman" w:eastAsia="Times New Roman" w:hAnsi="Times New Roman" w:cs="Times New Roman"/>
          <w:b/>
          <w:bCs/>
          <w:i/>
          <w:iCs/>
          <w:kern w:val="0"/>
          <w:sz w:val="27"/>
          <w:szCs w:val="27"/>
          <w14:ligatures w14:val="none"/>
        </w:rPr>
        <w:t>(Brian Gillikin, Petra Békési, Burak Can; 26 March 2026)</w:t>
      </w:r>
    </w:p>
    <w:p w14:paraId="5522E30B"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r w:rsidRPr="007D7803">
        <w:rPr>
          <w:rFonts w:ascii="Times New Roman" w:eastAsia="Times New Roman" w:hAnsi="Times New Roman" w:cs="Times New Roman"/>
          <w:kern w:val="0"/>
          <w14:ligatures w14:val="none"/>
        </w:rPr>
        <w:t xml:space="preserve"> Title: </w:t>
      </w:r>
      <w:r w:rsidRPr="007D7803">
        <w:rPr>
          <w:rFonts w:ascii="Times New Roman" w:eastAsia="Times New Roman" w:hAnsi="Times New Roman" w:cs="Times New Roman"/>
          <w:i/>
          <w:iCs/>
          <w:kern w:val="0"/>
          <w14:ligatures w14:val="none"/>
        </w:rPr>
        <w:t>CO₂ and Time-Series Flood Anomaly Detection</w:t>
      </w:r>
      <w:r w:rsidRPr="007D7803">
        <w:rPr>
          <w:rFonts w:ascii="Times New Roman" w:eastAsia="Times New Roman" w:hAnsi="Times New Roman" w:cs="Times New Roman"/>
          <w:kern w:val="0"/>
          <w14:ligatures w14:val="none"/>
        </w:rPr>
        <w:t>. Three authors, a date, no abstract.</w:t>
      </w:r>
    </w:p>
    <w:p w14:paraId="366CF244"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w:t>
      </w:r>
      <w:r w:rsidRPr="007D7803">
        <w:rPr>
          <w:rFonts w:ascii="Times New Roman" w:eastAsia="Times New Roman" w:hAnsi="Times New Roman" w:cs="Times New Roman"/>
          <w:kern w:val="0"/>
          <w14:ligatures w14:val="none"/>
        </w:rPr>
        <w:t xml:space="preserve"> No direct hits — the consolidated list contains no entries authored by Gillikin, Békési, or Can, and no entries with the exact title phrase. As a working title, the closest siblings in the file universe are the TSAD-survey papers in §7.7 (Schmidl, Wenig &amp; Papenbrock 2022; Blázquez-García et al. 2021; Boniol et al.; Wu &amp; Keogh 2023) and the operational-anomaly benchmarks (Numenta NAB, Audibert/USAD, Anomaly Transformer / TranAD), all of which would be natural anchors for a "time-series anomaly detection" project even outside the CO₂ angle.</w:t>
      </w:r>
    </w:p>
    <w:p w14:paraId="0C96E94E"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A title that names a methodological frame ("time-series anomaly detection") and a substantive driver ("CO₂") deserves a one-line abstract that tells the audience which one is doing the work. The reference universe makes clear that the methodological frame is a busy field; the substantive driver is, at least within these compendia, unprecedented.</w:t>
      </w:r>
    </w:p>
    <w:p w14:paraId="14811D92"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5C3518F6">
          <v:rect id="_x0000_i1027" style="width:0;height:1.5pt" o:hralign="center" o:hrstd="t" o:hr="t" fillcolor="#a0a0a0" stroked="f"/>
        </w:pict>
      </w:r>
    </w:p>
    <w:p w14:paraId="38582169"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2 — Motivation: Viefhues (2022)</w:t>
      </w:r>
    </w:p>
    <w:p w14:paraId="28069BE7"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r w:rsidRPr="007D7803">
        <w:rPr>
          <w:rFonts w:ascii="Times New Roman" w:eastAsia="Times New Roman" w:hAnsi="Times New Roman" w:cs="Times New Roman"/>
          <w:kern w:val="0"/>
          <w14:ligatures w14:val="none"/>
        </w:rPr>
        <w:t xml:space="preserve"> Cites Viefhues, J.P. (2002 — </w:t>
      </w:r>
      <w:r w:rsidRPr="007D7803">
        <w:rPr>
          <w:rFonts w:ascii="Times New Roman" w:eastAsia="Times New Roman" w:hAnsi="Times New Roman" w:cs="Times New Roman"/>
          <w:i/>
          <w:iCs/>
          <w:kern w:val="0"/>
          <w14:ligatures w14:val="none"/>
        </w:rPr>
        <w:t>sic</w:t>
      </w:r>
      <w:r w:rsidRPr="007D7803">
        <w:rPr>
          <w:rFonts w:ascii="Times New Roman" w:eastAsia="Times New Roman" w:hAnsi="Times New Roman" w:cs="Times New Roman"/>
          <w:kern w:val="0"/>
          <w14:ligatures w14:val="none"/>
        </w:rPr>
        <w:t xml:space="preserve">; presumably 2022). </w:t>
      </w:r>
      <w:r w:rsidRPr="007D7803">
        <w:rPr>
          <w:rFonts w:ascii="Times New Roman" w:eastAsia="Times New Roman" w:hAnsi="Times New Roman" w:cs="Times New Roman"/>
          <w:i/>
          <w:iCs/>
          <w:kern w:val="0"/>
          <w14:ligatures w14:val="none"/>
        </w:rPr>
        <w:t>Prediction of CO₂ leakage and flood using machine learning models: A data-driven approach in the historic coal mining district in the province of Limburg (Kerkrade)</w:t>
      </w:r>
      <w:r w:rsidRPr="007D7803">
        <w:rPr>
          <w:rFonts w:ascii="Times New Roman" w:eastAsia="Times New Roman" w:hAnsi="Times New Roman" w:cs="Times New Roman"/>
          <w:kern w:val="0"/>
          <w14:ligatures w14:val="none"/>
        </w:rPr>
        <w:t>. Random Forest model. Data: air quality, weather, water levels.</w:t>
      </w:r>
    </w:p>
    <w:p w14:paraId="2097AFD5"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w:t>
      </w:r>
      <w:r w:rsidRPr="007D7803">
        <w:rPr>
          <w:rFonts w:ascii="Times New Roman" w:eastAsia="Times New Roman" w:hAnsi="Times New Roman" w:cs="Times New Roman"/>
          <w:kern w:val="0"/>
          <w14:ligatures w14:val="none"/>
        </w:rPr>
        <w:t xml:space="preserve"> </w:t>
      </w:r>
      <w:r w:rsidRPr="007D7803">
        <w:rPr>
          <w:rFonts w:ascii="Times New Roman" w:eastAsia="Times New Roman" w:hAnsi="Times New Roman" w:cs="Times New Roman"/>
          <w:b/>
          <w:bCs/>
          <w:kern w:val="0"/>
          <w14:ligatures w14:val="none"/>
        </w:rPr>
        <w:t>Zero.</w:t>
      </w:r>
      <w:r w:rsidRPr="007D7803">
        <w:rPr>
          <w:rFonts w:ascii="Times New Roman" w:eastAsia="Times New Roman" w:hAnsi="Times New Roman" w:cs="Times New Roman"/>
          <w:kern w:val="0"/>
          <w14:ligatures w14:val="none"/>
        </w:rPr>
        <w:t xml:space="preserve"> Viefhues does not appear anywhere in the 690 references, in the URL-only list, or in the data-framework documents.</w:t>
      </w:r>
    </w:p>
    <w:p w14:paraId="764139B8"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Adjacent material in Files.</w:t>
      </w:r>
      <w:r w:rsidRPr="007D7803">
        <w:rPr>
          <w:rFonts w:ascii="Times New Roman" w:eastAsia="Times New Roman" w:hAnsi="Times New Roman" w:cs="Times New Roman"/>
          <w:kern w:val="0"/>
          <w14:ligatures w14:val="none"/>
        </w:rPr>
        <w:t xml:space="preserve"> What the files </w:t>
      </w:r>
      <w:r w:rsidRPr="007D7803">
        <w:rPr>
          <w:rFonts w:ascii="Times New Roman" w:eastAsia="Times New Roman" w:hAnsi="Times New Roman" w:cs="Times New Roman"/>
          <w:i/>
          <w:iCs/>
          <w:kern w:val="0"/>
          <w14:ligatures w14:val="none"/>
        </w:rPr>
        <w:t>do</w:t>
      </w:r>
      <w:r w:rsidRPr="007D7803">
        <w:rPr>
          <w:rFonts w:ascii="Times New Roman" w:eastAsia="Times New Roman" w:hAnsi="Times New Roman" w:cs="Times New Roman"/>
          <w:kern w:val="0"/>
          <w14:ligatures w14:val="none"/>
        </w:rPr>
        <w:t xml:space="preserve"> cover, that the Viefhues work would intersect:</w:t>
      </w:r>
    </w:p>
    <w:p w14:paraId="3F5042A7" w14:textId="77777777" w:rsidR="007D7803" w:rsidRPr="007D7803" w:rsidRDefault="007D7803" w:rsidP="007D78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lastRenderedPageBreak/>
        <w:t>Random Forest as a streamflow / flood-prediction baseline — Tyralis &amp; Papacharalampous (2017), and the broader §7.6 ML-hydrology cluster (33 refs).</w:t>
      </w:r>
    </w:p>
    <w:p w14:paraId="0519CF6C" w14:textId="77777777" w:rsidR="007D7803" w:rsidRPr="007D7803" w:rsidRDefault="007D7803" w:rsidP="007D78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Air-quality / weather-station coupling — §6.6 hosts the weather and reanalysis data infrastructure (KNMI, ERA5-Land, CERRA, E-OBS), but no reference connects ambient CO₂ to flood prediction.</w:t>
      </w:r>
    </w:p>
    <w:p w14:paraId="4A37120A" w14:textId="77777777" w:rsidR="007D7803" w:rsidRPr="007D7803" w:rsidRDefault="007D7803" w:rsidP="007D78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Water-level prediction in Limburg — five references on the Geul (the closest hydrologically meaningful catchment to Kerkrade), plus the Waterschap Limburg / Slager et al. (2022) Geul rapid assessment.</w:t>
      </w:r>
    </w:p>
    <w:p w14:paraId="3DBBDF20"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The deck inherits a causal claim ("CO₂ leakage relates to floods") from a 2022 paper that the project's 230-source Compendium 1 explicitly does not include. If this paper were truly part of a "tightly-knit author network" of Meuse hydrology, it would have been picked up. Two possibilities: it is genuinely new ground that the compendia missed, or the Viefhues paper is grey literature / student work that hasn't entered the formal Meuse hydrology citation network. The deck would be stronger if it addressed which.</w:t>
      </w:r>
    </w:p>
    <w:p w14:paraId="6B6BB221"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Note on date.</w:t>
      </w:r>
      <w:r w:rsidRPr="007D7803">
        <w:rPr>
          <w:rFonts w:ascii="Times New Roman" w:eastAsia="Times New Roman" w:hAnsi="Times New Roman" w:cs="Times New Roman"/>
          <w:kern w:val="0"/>
          <w14:ligatures w14:val="none"/>
        </w:rPr>
        <w:t xml:space="preserve"> The slide reads "Viefhues, 2022" in the header but "(2002)" in the body citation. One of these is a typo — and given the "#2: Eryilmaz, 2025" companion, 2022 is overwhelmingly the intended year.</w:t>
      </w:r>
    </w:p>
    <w:p w14:paraId="1D9D7E39"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7C0B70DA">
          <v:rect id="_x0000_i1028" style="width:0;height:1.5pt" o:hralign="center" o:hrstd="t" o:hr="t" fillcolor="#a0a0a0" stroked="f"/>
        </w:pict>
      </w:r>
    </w:p>
    <w:p w14:paraId="3E000947"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3 — Motivation: Eryilmaz (2025)</w:t>
      </w:r>
    </w:p>
    <w:p w14:paraId="2270C7F4"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r w:rsidRPr="007D7803">
        <w:rPr>
          <w:rFonts w:ascii="Times New Roman" w:eastAsia="Times New Roman" w:hAnsi="Times New Roman" w:cs="Times New Roman"/>
          <w:kern w:val="0"/>
          <w14:ligatures w14:val="none"/>
        </w:rPr>
        <w:t xml:space="preserve"> </w:t>
      </w:r>
      <w:r w:rsidRPr="007D7803">
        <w:rPr>
          <w:rFonts w:ascii="Times New Roman" w:eastAsia="Times New Roman" w:hAnsi="Times New Roman" w:cs="Times New Roman"/>
          <w:i/>
          <w:iCs/>
          <w:kern w:val="0"/>
          <w14:ligatures w14:val="none"/>
        </w:rPr>
        <w:t>Predicting CO₂ leakages in post-industrial mining zones: the case of Limburg.</w:t>
      </w:r>
      <w:r w:rsidRPr="007D7803">
        <w:rPr>
          <w:rFonts w:ascii="Times New Roman" w:eastAsia="Times New Roman" w:hAnsi="Times New Roman" w:cs="Times New Roman"/>
          <w:kern w:val="0"/>
          <w14:ligatures w14:val="none"/>
        </w:rPr>
        <w:t xml:space="preserve"> Logistic regression. Data: air quality, weather. Adds the claim that the leak can be predicted </w:t>
      </w:r>
      <w:r w:rsidRPr="007D7803">
        <w:rPr>
          <w:rFonts w:ascii="Times New Roman" w:eastAsia="Times New Roman" w:hAnsi="Times New Roman" w:cs="Times New Roman"/>
          <w:i/>
          <w:iCs/>
          <w:kern w:val="0"/>
          <w14:ligatures w14:val="none"/>
        </w:rPr>
        <w:t>without</w:t>
      </w:r>
      <w:r w:rsidRPr="007D7803">
        <w:rPr>
          <w:rFonts w:ascii="Times New Roman" w:eastAsia="Times New Roman" w:hAnsi="Times New Roman" w:cs="Times New Roman"/>
          <w:kern w:val="0"/>
          <w14:ligatures w14:val="none"/>
        </w:rPr>
        <w:t xml:space="preserve"> CO₂ as a feature.</w:t>
      </w:r>
    </w:p>
    <w:p w14:paraId="5BB3A957"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w:t>
      </w:r>
      <w:r w:rsidRPr="007D7803">
        <w:rPr>
          <w:rFonts w:ascii="Times New Roman" w:eastAsia="Times New Roman" w:hAnsi="Times New Roman" w:cs="Times New Roman"/>
          <w:kern w:val="0"/>
          <w14:ligatures w14:val="none"/>
        </w:rPr>
        <w:t xml:space="preserve"> </w:t>
      </w:r>
      <w:r w:rsidRPr="007D7803">
        <w:rPr>
          <w:rFonts w:ascii="Times New Roman" w:eastAsia="Times New Roman" w:hAnsi="Times New Roman" w:cs="Times New Roman"/>
          <w:b/>
          <w:bCs/>
          <w:kern w:val="0"/>
          <w14:ligatures w14:val="none"/>
        </w:rPr>
        <w:t>Zero.</w:t>
      </w:r>
      <w:r w:rsidRPr="007D7803">
        <w:rPr>
          <w:rFonts w:ascii="Times New Roman" w:eastAsia="Times New Roman" w:hAnsi="Times New Roman" w:cs="Times New Roman"/>
          <w:kern w:val="0"/>
          <w14:ligatures w14:val="none"/>
        </w:rPr>
        <w:t xml:space="preserve"> No Eryilmaz reference, no "post-industrial mining" reference, no logistic-regression-on-CO₂ reference.</w:t>
      </w:r>
    </w:p>
    <w:p w14:paraId="1674564F"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Adjacent material in Files.</w:t>
      </w:r>
      <w:r w:rsidRPr="007D7803">
        <w:rPr>
          <w:rFonts w:ascii="Times New Roman" w:eastAsia="Times New Roman" w:hAnsi="Times New Roman" w:cs="Times New Roman"/>
          <w:kern w:val="0"/>
          <w14:ligatures w14:val="none"/>
        </w:rPr>
        <w:t xml:space="preserve"> Logistic regression as a flood-classification baseline appears nowhere in the 690 references — the methods chapter (§7.6) goes straight from SARIMAX-class statistical models to LSTM, transformers, hybrid physics-ML, and operational ensemble systems. Logistic regression is treated, where it is treated at all, as a textbook background method (e.g., Wilks 2019, </w:t>
      </w:r>
      <w:r w:rsidRPr="007D7803">
        <w:rPr>
          <w:rFonts w:ascii="Times New Roman" w:eastAsia="Times New Roman" w:hAnsi="Times New Roman" w:cs="Times New Roman"/>
          <w:i/>
          <w:iCs/>
          <w:kern w:val="0"/>
          <w14:ligatures w14:val="none"/>
        </w:rPr>
        <w:t>Statistical Methods in the Atmospheric Sciences</w:t>
      </w:r>
      <w:r w:rsidRPr="007D7803">
        <w:rPr>
          <w:rFonts w:ascii="Times New Roman" w:eastAsia="Times New Roman" w:hAnsi="Times New Roman" w:cs="Times New Roman"/>
          <w:kern w:val="0"/>
          <w14:ligatures w14:val="none"/>
        </w:rPr>
        <w:t>).</w:t>
      </w:r>
    </w:p>
    <w:p w14:paraId="081FD72A"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Both motivation slides sit in a literature pocket the consolidated list doesn't reach. That is not a defect of the deck — it identifies where the contribution is — but it does mean the dissertation chapter behind these two references will need its own bibliographic spine (post-industrial mining hydrogeology, mine-water rebound, soil-gas CO₂ flux), and that spine is not yet in Files.</w:t>
      </w:r>
    </w:p>
    <w:p w14:paraId="488E1E27"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5DF55314">
          <v:rect id="_x0000_i1029" style="width:0;height:1.5pt" o:hralign="center" o:hrstd="t" o:hr="t" fillcolor="#a0a0a0" stroked="f"/>
        </w:pict>
      </w:r>
    </w:p>
    <w:p w14:paraId="0F27AB57"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4 — Motivation: this paper as connector</w:t>
      </w:r>
    </w:p>
    <w:p w14:paraId="7FE4F507"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lastRenderedPageBreak/>
        <w:t>Deck content.</w:t>
      </w:r>
      <w:r w:rsidRPr="007D7803">
        <w:rPr>
          <w:rFonts w:ascii="Times New Roman" w:eastAsia="Times New Roman" w:hAnsi="Times New Roman" w:cs="Times New Roman"/>
          <w:kern w:val="0"/>
          <w14:ligatures w14:val="none"/>
        </w:rPr>
        <w:t xml:space="preserve"> "Will connect the findings in Paper #1 to Paper #2 / And extrapolate model onto multiple regions that have experienced floods using publicly available data."</w:t>
      </w:r>
    </w:p>
    <w:p w14:paraId="0D99183D"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 of "publicly available flood data for multiple regions".</w:t>
      </w:r>
      <w:r w:rsidRPr="007D7803">
        <w:rPr>
          <w:rFonts w:ascii="Times New Roman" w:eastAsia="Times New Roman" w:hAnsi="Times New Roman" w:cs="Times New Roman"/>
          <w:kern w:val="0"/>
          <w14:ligatures w14:val="none"/>
        </w:rPr>
        <w:t xml:space="preserve"> This is where the project files become genuinely useful to the deck. The relevant inventory:</w:t>
      </w:r>
    </w:p>
    <w:p w14:paraId="45439807" w14:textId="77777777" w:rsidR="007D7803" w:rsidRPr="007D7803" w:rsidRDefault="007D7803" w:rsidP="007D78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Hydrometric data portals</w:t>
      </w:r>
      <w:r w:rsidRPr="007D7803">
        <w:rPr>
          <w:rFonts w:ascii="Times New Roman" w:eastAsia="Times New Roman" w:hAnsi="Times New Roman" w:cs="Times New Roman"/>
          <w:kern w:val="0"/>
          <w14:ligatures w14:val="none"/>
        </w:rPr>
        <w:t xml:space="preserve"> (§5.2, §5.3, §6.6, plus the three data-framework documents) — Rijkswaterstaat Waterinfo, hydrometrie.wallonie, waterinfo.be (VMM), Vigicrues, Hub'Eau / Hydroportail, AGE / inondations.lu, GRDC.</w:t>
      </w:r>
    </w:p>
    <w:p w14:paraId="4D2C2367" w14:textId="77777777" w:rsidR="007D7803" w:rsidRPr="007D7803" w:rsidRDefault="007D7803" w:rsidP="007D78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Meteorological data portals</w:t>
      </w:r>
      <w:r w:rsidRPr="007D7803">
        <w:rPr>
          <w:rFonts w:ascii="Times New Roman" w:eastAsia="Times New Roman" w:hAnsi="Times New Roman" w:cs="Times New Roman"/>
          <w:kern w:val="0"/>
          <w14:ligatures w14:val="none"/>
        </w:rPr>
        <w:t xml:space="preserve"> — KNMI, RMI opendata.meteo.be, Météo-France donnéespubliques, DWD open data.</w:t>
      </w:r>
    </w:p>
    <w:p w14:paraId="3156FE9C" w14:textId="77777777" w:rsidR="007D7803" w:rsidRPr="007D7803" w:rsidRDefault="007D7803" w:rsidP="007D78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Reanalyses</w:t>
      </w:r>
      <w:r w:rsidRPr="007D7803">
        <w:rPr>
          <w:rFonts w:ascii="Times New Roman" w:eastAsia="Times New Roman" w:hAnsi="Times New Roman" w:cs="Times New Roman"/>
          <w:kern w:val="0"/>
          <w14:ligatures w14:val="none"/>
        </w:rPr>
        <w:t xml:space="preserve"> — ERA5 (Hersbach et al. 2020), ERA5-Land (Muñoz-Sabater et al. 2021), CERRA (Schimanke et al. 2021), E-OBS (Cornes et al. 2018).</w:t>
      </w:r>
    </w:p>
    <w:p w14:paraId="7172787E" w14:textId="77777777" w:rsidR="007D7803" w:rsidRPr="007D7803" w:rsidRDefault="007D7803" w:rsidP="007D78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Large-sample datasets</w:t>
      </w:r>
      <w:r w:rsidRPr="007D7803">
        <w:rPr>
          <w:rFonts w:ascii="Times New Roman" w:eastAsia="Times New Roman" w:hAnsi="Times New Roman" w:cs="Times New Roman"/>
          <w:kern w:val="0"/>
          <w14:ligatures w14:val="none"/>
        </w:rPr>
        <w:t xml:space="preserve"> — LamaH-CE (Klingler et al. 2021), CAMELS-DE (Loritz et al. 2024), CAMELS-FR (Delaigue et al. 2025), GloFAS reforecasts (Harrigan et al. 2023).</w:t>
      </w:r>
    </w:p>
    <w:p w14:paraId="4F856119" w14:textId="77777777" w:rsidR="007D7803" w:rsidRPr="007D7803" w:rsidRDefault="007D7803" w:rsidP="007D78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Satellite flood mapping</w:t>
      </w:r>
      <w:r w:rsidRPr="007D7803">
        <w:rPr>
          <w:rFonts w:ascii="Times New Roman" w:eastAsia="Times New Roman" w:hAnsi="Times New Roman" w:cs="Times New Roman"/>
          <w:kern w:val="0"/>
          <w14:ligatures w14:val="none"/>
        </w:rPr>
        <w:t xml:space="preserve"> — Copernicus EMSR517/518/520 (the actual delineations of the July 2021 floods in Germany / Wallonia / Limburg).</w:t>
      </w:r>
    </w:p>
    <w:p w14:paraId="4AEAE881"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EM-DAT.</w:t>
      </w:r>
      <w:r w:rsidRPr="007D7803">
        <w:rPr>
          <w:rFonts w:ascii="Times New Roman" w:eastAsia="Times New Roman" w:hAnsi="Times New Roman" w:cs="Times New Roman"/>
          <w:kern w:val="0"/>
          <w14:ligatures w14:val="none"/>
        </w:rPr>
        <w:t xml:space="preserve"> The deck's Slide 8 mentions the EM-DAT Global Flood Database for selecting "other locations." EM-DAT does </w:t>
      </w:r>
      <w:r w:rsidRPr="007D7803">
        <w:rPr>
          <w:rFonts w:ascii="Times New Roman" w:eastAsia="Times New Roman" w:hAnsi="Times New Roman" w:cs="Times New Roman"/>
          <w:b/>
          <w:bCs/>
          <w:kern w:val="0"/>
          <w14:ligatures w14:val="none"/>
        </w:rPr>
        <w:t>not</w:t>
      </w:r>
      <w:r w:rsidRPr="007D7803">
        <w:rPr>
          <w:rFonts w:ascii="Times New Roman" w:eastAsia="Times New Roman" w:hAnsi="Times New Roman" w:cs="Times New Roman"/>
          <w:kern w:val="0"/>
          <w14:ligatures w14:val="none"/>
        </w:rPr>
        <w:t xml:space="preserve"> appear in the consolidated list. The European-equivalents that </w:t>
      </w:r>
      <w:r w:rsidRPr="007D7803">
        <w:rPr>
          <w:rFonts w:ascii="Times New Roman" w:eastAsia="Times New Roman" w:hAnsi="Times New Roman" w:cs="Times New Roman"/>
          <w:i/>
          <w:iCs/>
          <w:kern w:val="0"/>
          <w14:ligatures w14:val="none"/>
        </w:rPr>
        <w:t>do</w:t>
      </w:r>
      <w:r w:rsidRPr="007D7803">
        <w:rPr>
          <w:rFonts w:ascii="Times New Roman" w:eastAsia="Times New Roman" w:hAnsi="Times New Roman" w:cs="Times New Roman"/>
          <w:kern w:val="0"/>
          <w14:ligatures w14:val="none"/>
        </w:rPr>
        <w:t xml:space="preserve"> appear and might be more useful for this region are HANZE (Paprotny et al.; appears in the compound-events section) and the EEA flood database / EU Floods Directive PFRA inventories (§5.4, §6.4).</w:t>
      </w:r>
    </w:p>
    <w:p w14:paraId="30E67056"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The deck's "extrapolate to other regions using publicly available data" is roughly the same workspace as Compendium 2 §6.6 and the three data-framework documents. Those documents are essentially a ready-made data-sources chapter for this dissertation; whether the team has read them is unclear from the deck.</w:t>
      </w:r>
    </w:p>
    <w:p w14:paraId="1370540F"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27811815">
          <v:rect id="_x0000_i1030" style="width:0;height:1.5pt" o:hralign="center" o:hrstd="t" o:hr="t" fillcolor="#a0a0a0" stroked="f"/>
        </w:pict>
      </w:r>
    </w:p>
    <w:p w14:paraId="57557B7F"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5 — Research design: RQ1 &amp; RQ2</w:t>
      </w:r>
    </w:p>
    <w:p w14:paraId="056F8BE2"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p>
    <w:p w14:paraId="2356214A" w14:textId="77777777" w:rsidR="007D7803" w:rsidRPr="007D7803" w:rsidRDefault="007D7803" w:rsidP="007D78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RQ1: </w:t>
      </w:r>
      <w:r w:rsidRPr="007D7803">
        <w:rPr>
          <w:rFonts w:ascii="Times New Roman" w:eastAsia="Times New Roman" w:hAnsi="Times New Roman" w:cs="Times New Roman"/>
          <w:i/>
          <w:iCs/>
          <w:kern w:val="0"/>
          <w14:ligatures w14:val="none"/>
        </w:rPr>
        <w:t>Can CO₂ emissions function as an early anomaly signal for flood events?</w:t>
      </w:r>
    </w:p>
    <w:p w14:paraId="3A47D299" w14:textId="77777777" w:rsidR="007D7803" w:rsidRPr="007D7803" w:rsidRDefault="007D7803" w:rsidP="007D78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RQ2: </w:t>
      </w:r>
      <w:r w:rsidRPr="007D7803">
        <w:rPr>
          <w:rFonts w:ascii="Times New Roman" w:eastAsia="Times New Roman" w:hAnsi="Times New Roman" w:cs="Times New Roman"/>
          <w:i/>
          <w:iCs/>
          <w:kern w:val="0"/>
          <w14:ligatures w14:val="none"/>
        </w:rPr>
        <w:t>Can we detect "2021-flood-like" patterns identified by the candidate models in other regions beyond Kerkrade that don't have CO₂ emissions data?</w:t>
      </w:r>
    </w:p>
    <w:p w14:paraId="706712B1"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 of "anomaly signal for flood events".</w:t>
      </w:r>
      <w:r w:rsidRPr="007D7803">
        <w:rPr>
          <w:rFonts w:ascii="Times New Roman" w:eastAsia="Times New Roman" w:hAnsi="Times New Roman" w:cs="Times New Roman"/>
          <w:kern w:val="0"/>
          <w14:ligatures w14:val="none"/>
        </w:rPr>
        <w:t xml:space="preserve"> The compendia treat flood prediction as a forecast / detection problem in two main ways: (a) discharge-based ensemble forecasting with verification (§7.6, §8.6–8.8); (b) attribution of an observed event to causal drivers (§4.6, §8.5). Neither mode treats an upstream environmental variable (CO₂, gas flux, soil moisture, groundwater level) as a </w:t>
      </w:r>
      <w:r w:rsidRPr="007D7803">
        <w:rPr>
          <w:rFonts w:ascii="Times New Roman" w:eastAsia="Times New Roman" w:hAnsi="Times New Roman" w:cs="Times New Roman"/>
          <w:i/>
          <w:iCs/>
          <w:kern w:val="0"/>
          <w14:ligatures w14:val="none"/>
        </w:rPr>
        <w:t>leading indicator</w:t>
      </w:r>
      <w:r w:rsidRPr="007D7803">
        <w:rPr>
          <w:rFonts w:ascii="Times New Roman" w:eastAsia="Times New Roman" w:hAnsi="Times New Roman" w:cs="Times New Roman"/>
          <w:kern w:val="0"/>
          <w14:ligatures w14:val="none"/>
        </w:rPr>
        <w:t xml:space="preserve"> in the deck's sense. The closest analogues are:</w:t>
      </w:r>
    </w:p>
    <w:p w14:paraId="3D450BB5" w14:textId="77777777" w:rsidR="007D7803" w:rsidRPr="007D7803" w:rsidRDefault="007D7803" w:rsidP="007D78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lastRenderedPageBreak/>
        <w:t>Soil-moisture-as-precursor</w:t>
      </w:r>
      <w:r w:rsidRPr="007D7803">
        <w:rPr>
          <w:rFonts w:ascii="Times New Roman" w:eastAsia="Times New Roman" w:hAnsi="Times New Roman" w:cs="Times New Roman"/>
          <w:kern w:val="0"/>
          <w14:ligatures w14:val="none"/>
        </w:rPr>
        <w:t xml:space="preserve"> literature (loosely, §2.4 / §1.2). The deck does not engage with this even though it is a far more established pre-flood signal in the Meuse than CO₂.</w:t>
      </w:r>
    </w:p>
    <w:p w14:paraId="1CDEFEE4" w14:textId="77777777" w:rsidR="007D7803" w:rsidRPr="007D7803" w:rsidRDefault="007D7803" w:rsidP="007D78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Operational early warning</w:t>
      </w:r>
      <w:r w:rsidRPr="007D7803">
        <w:rPr>
          <w:rFonts w:ascii="Times New Roman" w:eastAsia="Times New Roman" w:hAnsi="Times New Roman" w:cs="Times New Roman"/>
          <w:kern w:val="0"/>
          <w14:ligatures w14:val="none"/>
        </w:rPr>
        <w:t xml:space="preserve"> (§4.7, §7.6) — Cloke &amp; Pappenberger (2009), Werner et al. (2013) Delft-FEWS, the GloFAS / EFAS literature, Busker et al. (2026, </w:t>
      </w:r>
      <w:r w:rsidRPr="007D7803">
        <w:rPr>
          <w:rFonts w:ascii="Times New Roman" w:eastAsia="Times New Roman" w:hAnsi="Times New Roman" w:cs="Times New Roman"/>
          <w:i/>
          <w:iCs/>
          <w:kern w:val="0"/>
          <w14:ligatures w14:val="none"/>
        </w:rPr>
        <w:t>NHESS</w:t>
      </w:r>
      <w:r w:rsidRPr="007D7803">
        <w:rPr>
          <w:rFonts w:ascii="Times New Roman" w:eastAsia="Times New Roman" w:hAnsi="Times New Roman" w:cs="Times New Roman"/>
          <w:kern w:val="0"/>
          <w14:ligatures w14:val="none"/>
        </w:rPr>
        <w:t>) on FFEWS performance in NW Europe in July 2021.</w:t>
      </w:r>
    </w:p>
    <w:p w14:paraId="31E52607"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 of RQ2 (transferability of "2021-like patterns").</w:t>
      </w:r>
      <w:r w:rsidRPr="007D7803">
        <w:rPr>
          <w:rFonts w:ascii="Times New Roman" w:eastAsia="Times New Roman" w:hAnsi="Times New Roman" w:cs="Times New Roman"/>
          <w:kern w:val="0"/>
          <w14:ligatures w14:val="none"/>
        </w:rPr>
        <w:t xml:space="preserve"> This is the cross-basin transfer problem. The most directly relevant references in Files:</w:t>
      </w:r>
    </w:p>
    <w:p w14:paraId="3EF0B309" w14:textId="77777777" w:rsidR="007D7803" w:rsidRPr="007D7803" w:rsidRDefault="007D7803" w:rsidP="007D78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Kratzert et al. (2024, </w:t>
      </w:r>
      <w:r w:rsidRPr="007D7803">
        <w:rPr>
          <w:rFonts w:ascii="Times New Roman" w:eastAsia="Times New Roman" w:hAnsi="Times New Roman" w:cs="Times New Roman"/>
          <w:i/>
          <w:iCs/>
          <w:kern w:val="0"/>
          <w14:ligatures w14:val="none"/>
        </w:rPr>
        <w:t>HESS Opinions</w:t>
      </w:r>
      <w:r w:rsidRPr="007D7803">
        <w:rPr>
          <w:rFonts w:ascii="Times New Roman" w:eastAsia="Times New Roman" w:hAnsi="Times New Roman" w:cs="Times New Roman"/>
          <w:kern w:val="0"/>
          <w14:ligatures w14:val="none"/>
        </w:rPr>
        <w:t>) — flagged in Compendium 3 as a caution against single-basin LSTM training, which is exactly RQ2's failure mode.</w:t>
      </w:r>
    </w:p>
    <w:p w14:paraId="3311279A" w14:textId="77777777" w:rsidR="007D7803" w:rsidRPr="007D7803" w:rsidRDefault="007D7803" w:rsidP="007D78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Nearing et al. (2024, </w:t>
      </w:r>
      <w:r w:rsidRPr="007D7803">
        <w:rPr>
          <w:rFonts w:ascii="Times New Roman" w:eastAsia="Times New Roman" w:hAnsi="Times New Roman" w:cs="Times New Roman"/>
          <w:i/>
          <w:iCs/>
          <w:kern w:val="0"/>
          <w14:ligatures w14:val="none"/>
        </w:rPr>
        <w:t>Nature</w:t>
      </w:r>
      <w:r w:rsidRPr="007D7803">
        <w:rPr>
          <w:rFonts w:ascii="Times New Roman" w:eastAsia="Times New Roman" w:hAnsi="Times New Roman" w:cs="Times New Roman"/>
          <w:kern w:val="0"/>
          <w14:ligatures w14:val="none"/>
        </w:rPr>
        <w:t>) — global AI flood model (the regional- generalization end of the spectrum).</w:t>
      </w:r>
    </w:p>
    <w:p w14:paraId="342915CA" w14:textId="77777777" w:rsidR="007D7803" w:rsidRPr="007D7803" w:rsidRDefault="007D7803" w:rsidP="007D78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Bouaziz et al. (2021, </w:t>
      </w:r>
      <w:r w:rsidRPr="007D7803">
        <w:rPr>
          <w:rFonts w:ascii="Times New Roman" w:eastAsia="Times New Roman" w:hAnsi="Times New Roman" w:cs="Times New Roman"/>
          <w:i/>
          <w:iCs/>
          <w:kern w:val="0"/>
          <w14:ligatures w14:val="none"/>
        </w:rPr>
        <w:t>HESS</w:t>
      </w:r>
      <w:r w:rsidRPr="007D7803">
        <w:rPr>
          <w:rFonts w:ascii="Times New Roman" w:eastAsia="Times New Roman" w:hAnsi="Times New Roman" w:cs="Times New Roman"/>
          <w:kern w:val="0"/>
          <w14:ligatures w14:val="none"/>
        </w:rPr>
        <w:t xml:space="preserve">) — 12-model evaluation across five Meuse sub-catchments; the closest published precedent for transfer </w:t>
      </w:r>
      <w:r w:rsidRPr="007D7803">
        <w:rPr>
          <w:rFonts w:ascii="Times New Roman" w:eastAsia="Times New Roman" w:hAnsi="Times New Roman" w:cs="Times New Roman"/>
          <w:i/>
          <w:iCs/>
          <w:kern w:val="0"/>
          <w14:ligatures w14:val="none"/>
        </w:rPr>
        <w:t>within</w:t>
      </w:r>
      <w:r w:rsidRPr="007D7803">
        <w:rPr>
          <w:rFonts w:ascii="Times New Roman" w:eastAsia="Times New Roman" w:hAnsi="Times New Roman" w:cs="Times New Roman"/>
          <w:kern w:val="0"/>
          <w14:ligatures w14:val="none"/>
        </w:rPr>
        <w:t xml:space="preserve"> the basin.</w:t>
      </w:r>
    </w:p>
    <w:p w14:paraId="2735ADDE" w14:textId="77777777" w:rsidR="007D7803" w:rsidRPr="007D7803" w:rsidRDefault="007D7803" w:rsidP="007D78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Slater et al. (2023, </w:t>
      </w:r>
      <w:r w:rsidRPr="007D7803">
        <w:rPr>
          <w:rFonts w:ascii="Times New Roman" w:eastAsia="Times New Roman" w:hAnsi="Times New Roman" w:cs="Times New Roman"/>
          <w:i/>
          <w:iCs/>
          <w:kern w:val="0"/>
          <w14:ligatures w14:val="none"/>
        </w:rPr>
        <w:t>HESS</w:t>
      </w:r>
      <w:r w:rsidRPr="007D7803">
        <w:rPr>
          <w:rFonts w:ascii="Times New Roman" w:eastAsia="Times New Roman" w:hAnsi="Times New Roman" w:cs="Times New Roman"/>
          <w:kern w:val="0"/>
          <w14:ligatures w14:val="none"/>
        </w:rPr>
        <w:t>) — hybrid forecasting with climate/AI blending, pertinent to "patterns that travel."</w:t>
      </w:r>
    </w:p>
    <w:p w14:paraId="515BDC10"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RQ2 has direct interlocutors in Files. RQ1 has essentially none. The deck would benefit from rewording RQ1 to make explicit whether the claim is causal (CO₂ flux changes drive flood-relevant subsurface hydrology) or correlative (CO₂ changes coincide with rainfall / pressure patterns that also drive floods). The compendia provide no support for either interpretation as written.</w:t>
      </w:r>
    </w:p>
    <w:p w14:paraId="4C16376A"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1E85B419">
          <v:rect id="_x0000_i1031" style="width:0;height:1.5pt" o:hralign="center" o:hrstd="t" o:hr="t" fillcolor="#a0a0a0" stroked="f"/>
        </w:pict>
      </w:r>
    </w:p>
    <w:p w14:paraId="0B58C30A"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6 — Data overview</w:t>
      </w:r>
    </w:p>
    <w:p w14:paraId="673F0ED4"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r w:rsidRPr="007D7803">
        <w:rPr>
          <w:rFonts w:ascii="Times New Roman" w:eastAsia="Times New Roman" w:hAnsi="Times New Roman" w:cs="Times New Roman"/>
          <w:kern w:val="0"/>
          <w14:ligatures w14:val="none"/>
        </w:rPr>
        <w:t xml:space="preserve"> Time-series merged from (a) IoT air-quality device in a Kerkrade basement above a disused mineshaft, (b) Visualcrossing weather API.</w:t>
      </w:r>
    </w:p>
    <w:p w14:paraId="7928BDB1"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w:t>
      </w:r>
    </w:p>
    <w:p w14:paraId="2B0237F9" w14:textId="77777777" w:rsidR="007D7803" w:rsidRPr="007D7803" w:rsidRDefault="007D7803" w:rsidP="007D78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Visualcrossing.</w:t>
      </w:r>
      <w:r w:rsidRPr="007D7803">
        <w:rPr>
          <w:rFonts w:ascii="Times New Roman" w:eastAsia="Times New Roman" w:hAnsi="Times New Roman" w:cs="Times New Roman"/>
          <w:kern w:val="0"/>
          <w14:ligatures w14:val="none"/>
        </w:rPr>
        <w:t xml:space="preserve"> Zero hits in Files. The consolidated list's weather data layer is KNMI, RMI, Météo-France, DWD, ERA5, ERA5-Land, CERRA, E-OBS. Visualcrossing is a commercial aggregator that ultimately reports back to these same upstream sources, so there is no hard incompatibility — but for a dissertation the authoritative providers are what's normally cited.</w:t>
      </w:r>
    </w:p>
    <w:p w14:paraId="0F2A0AED" w14:textId="77777777" w:rsidR="007D7803" w:rsidRPr="007D7803" w:rsidRDefault="007D7803" w:rsidP="007D78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IoT basement CO₂ over a disused mineshaft.</w:t>
      </w:r>
      <w:r w:rsidRPr="007D7803">
        <w:rPr>
          <w:rFonts w:ascii="Times New Roman" w:eastAsia="Times New Roman" w:hAnsi="Times New Roman" w:cs="Times New Roman"/>
          <w:kern w:val="0"/>
          <w14:ligatures w14:val="none"/>
        </w:rPr>
        <w:t xml:space="preserve"> Zero hits. There is no reference in Files on basement air-quality monitoring as a flood signal, on disused-mineshaft gas flux, or on the South Limburg coal-field's post-closure hydrogeology.</w:t>
      </w:r>
    </w:p>
    <w:p w14:paraId="5AF1D3CD"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Adjacent material in Files.</w:t>
      </w:r>
      <w:r w:rsidRPr="007D7803">
        <w:rPr>
          <w:rFonts w:ascii="Times New Roman" w:eastAsia="Times New Roman" w:hAnsi="Times New Roman" w:cs="Times New Roman"/>
          <w:kern w:val="0"/>
          <w14:ligatures w14:val="none"/>
        </w:rPr>
        <w:t xml:space="preserve"> The mining hydrogeology of South Limburg </w:t>
      </w:r>
      <w:r w:rsidRPr="007D7803">
        <w:rPr>
          <w:rFonts w:ascii="Times New Roman" w:eastAsia="Times New Roman" w:hAnsi="Times New Roman" w:cs="Times New Roman"/>
          <w:i/>
          <w:iCs/>
          <w:kern w:val="0"/>
          <w14:ligatures w14:val="none"/>
        </w:rPr>
        <w:t>could</w:t>
      </w:r>
      <w:r w:rsidRPr="007D7803">
        <w:rPr>
          <w:rFonts w:ascii="Times New Roman" w:eastAsia="Times New Roman" w:hAnsi="Times New Roman" w:cs="Times New Roman"/>
          <w:kern w:val="0"/>
          <w14:ligatures w14:val="none"/>
        </w:rPr>
        <w:t xml:space="preserve"> be cited via §2.3 (non-karst hydrogeology) and §2.4 (groundwater / land subsidence), but neither sub-section actually contains a coal-mine hydrogeology paper for Kerkrade or Heerlen. This is a literature gap visible to anyone reading both documents side by side.</w:t>
      </w:r>
    </w:p>
    <w:p w14:paraId="0A575809"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lastRenderedPageBreak/>
        <w:pict w14:anchorId="0A5AEE17">
          <v:rect id="_x0000_i1032" style="width:0;height:1.5pt" o:hralign="center" o:hrstd="t" o:hr="t" fillcolor="#a0a0a0" stroked="f"/>
        </w:pict>
      </w:r>
    </w:p>
    <w:p w14:paraId="53D90EB6"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Slides 7 &amp; 8 — Data details</w:t>
      </w:r>
    </w:p>
    <w:p w14:paraId="491633DC"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p>
    <w:p w14:paraId="73D04D4B" w14:textId="77777777" w:rsidR="007D7803" w:rsidRPr="007D7803" w:rsidRDefault="007D7803" w:rsidP="007D78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Slide 7: IoT data pulled every minute, January 2025 to present plus other long intervals since ~2020.</w:t>
      </w:r>
    </w:p>
    <w:p w14:paraId="1932364D" w14:textId="77777777" w:rsidR="007D7803" w:rsidRPr="007D7803" w:rsidRDefault="007D7803" w:rsidP="007D78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Slide 8: Visualcrossing pulled hourly. Kerkrade since March 2016. Liège since September 2017 (in progress). Maastricht / Aachen / Cologne queued. "Other locations: TBD from EM-DAT Global Flood Database."</w:t>
      </w:r>
    </w:p>
    <w:p w14:paraId="3659EBC9"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w:t>
      </w:r>
      <w:r w:rsidRPr="007D7803">
        <w:rPr>
          <w:rFonts w:ascii="Times New Roman" w:eastAsia="Times New Roman" w:hAnsi="Times New Roman" w:cs="Times New Roman"/>
          <w:kern w:val="0"/>
          <w14:ligatures w14:val="none"/>
        </w:rPr>
        <w:t xml:space="preserve"> This is the slide where Files add the most direct value that the deck has not yet drawn on:</w:t>
      </w:r>
    </w:p>
    <w:p w14:paraId="32B74042" w14:textId="77777777" w:rsidR="007D7803" w:rsidRPr="007D7803" w:rsidRDefault="007D7803" w:rsidP="007D78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Liège — long-record discharge.</w:t>
      </w:r>
      <w:r w:rsidRPr="007D7803">
        <w:rPr>
          <w:rFonts w:ascii="Times New Roman" w:eastAsia="Times New Roman" w:hAnsi="Times New Roman" w:cs="Times New Roman"/>
          <w:kern w:val="0"/>
          <w14:ligatures w14:val="none"/>
        </w:rPr>
        <w:t xml:space="preserve"> The compendia point at Hub'Eau (French Meuse), hydrometrie.wallonie.be (Walloon discharge stations), and the Borgharen / Sint Pieter / Eijsden series via Rijkswaterstaat Waterinfo (daily Q at Borgharen since 1911 — Compendium 2's annotation). Of these, the Walloon stations </w:t>
      </w:r>
      <w:r w:rsidRPr="007D7803">
        <w:rPr>
          <w:rFonts w:ascii="Times New Roman" w:eastAsia="Times New Roman" w:hAnsi="Times New Roman" w:cs="Times New Roman"/>
          <w:i/>
          <w:iCs/>
          <w:kern w:val="0"/>
          <w14:ligatures w14:val="none"/>
        </w:rPr>
        <w:t>upstream</w:t>
      </w:r>
      <w:r w:rsidRPr="007D7803">
        <w:rPr>
          <w:rFonts w:ascii="Times New Roman" w:eastAsia="Times New Roman" w:hAnsi="Times New Roman" w:cs="Times New Roman"/>
          <w:kern w:val="0"/>
          <w14:ligatures w14:val="none"/>
        </w:rPr>
        <w:t xml:space="preserve"> of Liège (Tabreux on the Ourthe, Chaudfontaine on the Vesdre, Membre on the Semois) appear repeatedly in §1.4 and §4.3 as the standard validation gauges for Belgian Meuse models.</w:t>
      </w:r>
    </w:p>
    <w:p w14:paraId="3B28ED55" w14:textId="77777777" w:rsidR="007D7803" w:rsidRPr="007D7803" w:rsidRDefault="007D7803" w:rsidP="007D78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Aachen / Cologne — Inde, Vicht, Roer/Rur.</w:t>
      </w:r>
      <w:r w:rsidRPr="007D7803">
        <w:rPr>
          <w:rFonts w:ascii="Times New Roman" w:eastAsia="Times New Roman" w:hAnsi="Times New Roman" w:cs="Times New Roman"/>
          <w:kern w:val="0"/>
          <w14:ligatures w14:val="none"/>
        </w:rPr>
        <w:t xml:space="preserve"> The German-side tributaries </w:t>
      </w:r>
      <w:r w:rsidRPr="007D7803">
        <w:rPr>
          <w:rFonts w:ascii="Times New Roman" w:eastAsia="Times New Roman" w:hAnsi="Times New Roman" w:cs="Times New Roman"/>
          <w:i/>
          <w:iCs/>
          <w:kern w:val="0"/>
          <w14:ligatures w14:val="none"/>
        </w:rPr>
        <w:t>closest to Aachen</w:t>
      </w:r>
      <w:r w:rsidRPr="007D7803">
        <w:rPr>
          <w:rFonts w:ascii="Times New Roman" w:eastAsia="Times New Roman" w:hAnsi="Times New Roman" w:cs="Times New Roman"/>
          <w:kern w:val="0"/>
          <w14:ligatures w14:val="none"/>
        </w:rPr>
        <w:t xml:space="preserve"> (Inde and Vicht) appear in only two references — WVER 2022 ("Gemeinsam vorbeugen…Inde und Vicht") and one related Eifel paper. For the broader Roer / Rur, German federal/state grey literature (§5.5) is the right starting point: BMUV 2022, LAWA, DKKV, the Rheinland-Pfalz and NRW post-2021 reports.</w:t>
      </w:r>
    </w:p>
    <w:p w14:paraId="2C25A90D" w14:textId="77777777" w:rsidR="007D7803" w:rsidRPr="007D7803" w:rsidRDefault="007D7803" w:rsidP="007D78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EM-DAT for region selection.</w:t>
      </w:r>
      <w:r w:rsidRPr="007D7803">
        <w:rPr>
          <w:rFonts w:ascii="Times New Roman" w:eastAsia="Times New Roman" w:hAnsi="Times New Roman" w:cs="Times New Roman"/>
          <w:kern w:val="0"/>
          <w14:ligatures w14:val="none"/>
        </w:rPr>
        <w:t xml:space="preserve"> Files have no EM-DAT reference. The closest functional substitute is the HANZE pan-European flood database (Paprotny et al., in §8.1) — substantially more detailed for European events than EM-DAT.</w:t>
      </w:r>
    </w:p>
    <w:p w14:paraId="3BD32307"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The deck's plan to extend across Liège → Maastricht → Aachen → Cologne is exactly the geography of the July 2021 disaster and is wall-to-wall covered in Section 4 of the reorganized list (36 refs). For each of those cities, Files already has an authoritative grey-literature anchor that the deck does not yet cite:</w:t>
      </w:r>
    </w:p>
    <w:p w14:paraId="2DF38C13" w14:textId="77777777" w:rsidR="007D7803" w:rsidRPr="007D7803" w:rsidRDefault="007D7803" w:rsidP="007D78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Liège / Vesdre — Archambeau et al., Dessers et al., Bilan Wallonie 2022.</w:t>
      </w:r>
    </w:p>
    <w:p w14:paraId="73518825" w14:textId="77777777" w:rsidR="007D7803" w:rsidRPr="007D7803" w:rsidRDefault="007D7803" w:rsidP="007D78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Maastricht / Geul — Slager et al. (Deltares), Asselman 2022 Limburg report.</w:t>
      </w:r>
    </w:p>
    <w:p w14:paraId="19E0EC14" w14:textId="77777777" w:rsidR="007D7803" w:rsidRPr="007D7803" w:rsidRDefault="007D7803" w:rsidP="007D78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Aachen — WVER (Wasserverband Eifel-Rur).</w:t>
      </w:r>
    </w:p>
    <w:p w14:paraId="64CD7FAC" w14:textId="77777777" w:rsidR="007D7803" w:rsidRPr="007D7803" w:rsidRDefault="007D7803" w:rsidP="007D78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Cologne — DWD 2021 reports, BMUV 2022.</w:t>
      </w:r>
    </w:p>
    <w:p w14:paraId="3AA7E378"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5D6C9503">
          <v:rect id="_x0000_i1033" style="width:0;height:1.5pt" o:hralign="center" o:hrstd="t" o:hr="t" fillcolor="#a0a0a0" stroked="f"/>
        </w:pict>
      </w:r>
    </w:p>
    <w:p w14:paraId="55CE4158"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9 — Methodology: case study + anomaly detection hybrid</w:t>
      </w:r>
    </w:p>
    <w:p w14:paraId="64ADA322"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lastRenderedPageBreak/>
        <w:t>Deck content.</w:t>
      </w:r>
      <w:r w:rsidRPr="007D7803">
        <w:rPr>
          <w:rFonts w:ascii="Times New Roman" w:eastAsia="Times New Roman" w:hAnsi="Times New Roman" w:cs="Times New Roman"/>
          <w:kern w:val="0"/>
          <w14:ligatures w14:val="none"/>
        </w:rPr>
        <w:t xml:space="preserve"> Combines a 2021 case study in Kerkrade ("rebuilding the flood window by quantifying the lead time, peak behavior, and variable interaction") with anomaly detection using candidate models trained on Kerkrade data, with and without CO₂.</w:t>
      </w:r>
    </w:p>
    <w:p w14:paraId="74584B35"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w:t>
      </w:r>
      <w:r w:rsidRPr="007D7803">
        <w:rPr>
          <w:rFonts w:ascii="Times New Roman" w:eastAsia="Times New Roman" w:hAnsi="Times New Roman" w:cs="Times New Roman"/>
          <w:kern w:val="0"/>
          <w14:ligatures w14:val="none"/>
        </w:rPr>
        <w:t xml:space="preserve"> This is where the literature density flips heavily in the deck's favor:</w:t>
      </w:r>
    </w:p>
    <w:p w14:paraId="7A4A13C1" w14:textId="77777777" w:rsidR="007D7803" w:rsidRPr="007D7803" w:rsidRDefault="007D7803" w:rsidP="007D78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2021 case-study reconstruction.</w:t>
      </w:r>
      <w:r w:rsidRPr="007D7803">
        <w:rPr>
          <w:rFonts w:ascii="Times New Roman" w:eastAsia="Times New Roman" w:hAnsi="Times New Roman" w:cs="Times New Roman"/>
          <w:kern w:val="0"/>
          <w14:ligatures w14:val="none"/>
        </w:rPr>
        <w:t xml:space="preserve"> §4.3 (Belgian Vesdre / Ourthe / Amblève) is essentially a how-to on event reconstruction in this region: Archambeau et al. 2024–2025 on the Vesdre, Dessers et al. 2025 on Vesdre/Amblève hydrological modelling, the Walloon Bilan 2022 inquiry, and Zeimetz et al. on the Vesdre dam. For the Dutch side (§4.5), Slager et al. (2022) Geul rapid assessment and Asselman et al. (2022) Limburg report. For Germany (§4.4), Erftverband / Larsim 2021 reports, Mohr et al. 2023 on the Ahr, Dietze et al. on Eifel sediment dynamics.</w:t>
      </w:r>
    </w:p>
    <w:p w14:paraId="06E4DBB6" w14:textId="77777777" w:rsidR="007D7803" w:rsidRPr="007D7803" w:rsidRDefault="007D7803" w:rsidP="007D78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Lead time as a research target.</w:t>
      </w:r>
      <w:r w:rsidRPr="007D7803">
        <w:rPr>
          <w:rFonts w:ascii="Times New Roman" w:eastAsia="Times New Roman" w:hAnsi="Times New Roman" w:cs="Times New Roman"/>
          <w:kern w:val="0"/>
          <w14:ligatures w14:val="none"/>
        </w:rPr>
        <w:t xml:space="preserve"> The deck implicitly defines "lead time from CO₂ peak to flood." This is a brand-new construction — but the forecast-lead-time literature in §7.6 (Cloke &amp; Pappenberger, Alfieri et al., Emerton et al., Wu et al., Demargne et al.) provides the canonical vocabulary and metrics for what a useful lead time looks like operationally.</w:t>
      </w:r>
    </w:p>
    <w:p w14:paraId="14CD8DB1"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The hybrid design is reasonable and the file universe gives it a strong scaffold for the case-study side, with the caveat that Kerkrade is a peripheral location in the 2021 literature — Pepinster, Chaudfontaine, Trooz, Verviers, Rocherath, Schuld, and Valkenburg dominate. A Kerkrade case study will need its own primary data because the literature does not furnish a benchmark hydrograph for the disused-mineshaft setting.</w:t>
      </w:r>
    </w:p>
    <w:p w14:paraId="2CC17819"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299D77D2">
          <v:rect id="_x0000_i1034" style="width:0;height:1.5pt" o:hralign="center" o:hrstd="t" o:hr="t" fillcolor="#a0a0a0" stroked="f"/>
        </w:pict>
      </w:r>
    </w:p>
    <w:p w14:paraId="152924C9"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10 — Methodology: candidate models</w:t>
      </w:r>
    </w:p>
    <w:p w14:paraId="6674F45B"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This is the densest matching slide. The deck picks three models. The project files have a dedicated sub-section for each.</w:t>
      </w:r>
    </w:p>
    <w:p w14:paraId="2FCF2FE2"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Isolation Forest (§7.3, 15 refs).</w:t>
      </w:r>
    </w:p>
    <w:p w14:paraId="3A6CCF5D" w14:textId="77777777" w:rsidR="007D7803" w:rsidRPr="007D7803" w:rsidRDefault="007D7803" w:rsidP="007D78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Foundational: Liu, Ting &amp; Zhou (2008, ICDM); Liu, Ting &amp; Zhou (2012, </w:t>
      </w:r>
      <w:r w:rsidRPr="007D7803">
        <w:rPr>
          <w:rFonts w:ascii="Times New Roman" w:eastAsia="Times New Roman" w:hAnsi="Times New Roman" w:cs="Times New Roman"/>
          <w:i/>
          <w:iCs/>
          <w:kern w:val="0"/>
          <w14:ligatures w14:val="none"/>
        </w:rPr>
        <w:t>ACM TKDD</w:t>
      </w:r>
      <w:r w:rsidRPr="007D7803">
        <w:rPr>
          <w:rFonts w:ascii="Times New Roman" w:eastAsia="Times New Roman" w:hAnsi="Times New Roman" w:cs="Times New Roman"/>
          <w:kern w:val="0"/>
          <w14:ligatures w14:val="none"/>
        </w:rPr>
        <w:t>).</w:t>
      </w:r>
    </w:p>
    <w:p w14:paraId="7B5BE997" w14:textId="77777777" w:rsidR="007D7803" w:rsidRPr="007D7803" w:rsidRDefault="007D7803" w:rsidP="007D78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Extensions cited in Files but not in deck: Hariri &amp; Carrasco-Kind (Extended Isolation Forest); Xu et al. on Deep Isolation Forest; PIDForest; Online / streaming iForest variants (iForestASD); SCiForest.</w:t>
      </w:r>
    </w:p>
    <w:p w14:paraId="101D38A6" w14:textId="77777777" w:rsidR="007D7803" w:rsidRPr="007D7803" w:rsidRDefault="007D7803" w:rsidP="007D78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Operational: scikit-learn IsolationForest documentation (URL).</w:t>
      </w:r>
    </w:p>
    <w:p w14:paraId="4C12F645" w14:textId="77777777" w:rsidR="007D7803" w:rsidRPr="007D7803" w:rsidRDefault="007D7803" w:rsidP="007D78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Caveat that the deck should engage with: Schmidl, Wenig &amp; Papenbrock (2022) — empirical TSAD benchmark across iForest, DTW-based detectors, autoencoders, and transformers; </w:t>
      </w:r>
      <w:r w:rsidRPr="007D7803">
        <w:rPr>
          <w:rFonts w:ascii="Times New Roman" w:eastAsia="Times New Roman" w:hAnsi="Times New Roman" w:cs="Times New Roman"/>
          <w:b/>
          <w:bCs/>
          <w:kern w:val="0"/>
          <w14:ligatures w14:val="none"/>
        </w:rPr>
        <w:t>the single most important paper in Files for choosing among the deck's three models</w:t>
      </w:r>
      <w:r w:rsidRPr="007D7803">
        <w:rPr>
          <w:rFonts w:ascii="Times New Roman" w:eastAsia="Times New Roman" w:hAnsi="Times New Roman" w:cs="Times New Roman"/>
          <w:kern w:val="0"/>
          <w14:ligatures w14:val="none"/>
        </w:rPr>
        <w:t>.</w:t>
      </w:r>
    </w:p>
    <w:p w14:paraId="0E7E973A"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Kalman Filter (§7.2, 33 refs).</w:t>
      </w:r>
      <w:r w:rsidRPr="007D7803">
        <w:rPr>
          <w:rFonts w:ascii="Times New Roman" w:eastAsia="Times New Roman" w:hAnsi="Times New Roman" w:cs="Times New Roman"/>
          <w:kern w:val="0"/>
          <w14:ligatures w14:val="none"/>
        </w:rPr>
        <w:t xml:space="preserve"> Notably the most-covered of the three.</w:t>
      </w:r>
    </w:p>
    <w:p w14:paraId="297C3D9A" w14:textId="77777777" w:rsidR="007D7803" w:rsidRPr="007D7803" w:rsidRDefault="007D7803" w:rsidP="007D78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lastRenderedPageBreak/>
        <w:t xml:space="preserve">Foundational: Kalman (1960); Kalman &amp; Bucy (1961); Anderson &amp; Moore (1979) </w:t>
      </w:r>
      <w:r w:rsidRPr="007D7803">
        <w:rPr>
          <w:rFonts w:ascii="Times New Roman" w:eastAsia="Times New Roman" w:hAnsi="Times New Roman" w:cs="Times New Roman"/>
          <w:i/>
          <w:iCs/>
          <w:kern w:val="0"/>
          <w14:ligatures w14:val="none"/>
        </w:rPr>
        <w:t>Optimal Filtering</w:t>
      </w:r>
      <w:r w:rsidRPr="007D7803">
        <w:rPr>
          <w:rFonts w:ascii="Times New Roman" w:eastAsia="Times New Roman" w:hAnsi="Times New Roman" w:cs="Times New Roman"/>
          <w:kern w:val="0"/>
          <w14:ligatures w14:val="none"/>
        </w:rPr>
        <w:t>; Evensen (1994, 2003, 2009) on the EnKF.</w:t>
      </w:r>
    </w:p>
    <w:p w14:paraId="1E53F2E5" w14:textId="77777777" w:rsidR="007D7803" w:rsidRPr="007D7803" w:rsidRDefault="007D7803" w:rsidP="007D78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Hydrological applications: Weerts &amp; El Serafy (2006) on Delft-FEWS; Rakovec et al. (2012, </w:t>
      </w:r>
      <w:r w:rsidRPr="007D7803">
        <w:rPr>
          <w:rFonts w:ascii="Times New Roman" w:eastAsia="Times New Roman" w:hAnsi="Times New Roman" w:cs="Times New Roman"/>
          <w:i/>
          <w:iCs/>
          <w:kern w:val="0"/>
          <w14:ligatures w14:val="none"/>
        </w:rPr>
        <w:t>HESS</w:t>
      </w:r>
      <w:r w:rsidRPr="007D7803">
        <w:rPr>
          <w:rFonts w:ascii="Times New Roman" w:eastAsia="Times New Roman" w:hAnsi="Times New Roman" w:cs="Times New Roman"/>
          <w:kern w:val="0"/>
          <w14:ligatures w14:val="none"/>
        </w:rPr>
        <w:t xml:space="preserve">) — applied on the </w:t>
      </w:r>
      <w:r w:rsidRPr="007D7803">
        <w:rPr>
          <w:rFonts w:ascii="Times New Roman" w:eastAsia="Times New Roman" w:hAnsi="Times New Roman" w:cs="Times New Roman"/>
          <w:b/>
          <w:bCs/>
          <w:kern w:val="0"/>
          <w14:ligatures w14:val="none"/>
        </w:rPr>
        <w:t>Upper Ourthe</w:t>
      </w:r>
      <w:r w:rsidRPr="007D7803">
        <w:rPr>
          <w:rFonts w:ascii="Times New Roman" w:eastAsia="Times New Roman" w:hAnsi="Times New Roman" w:cs="Times New Roman"/>
          <w:kern w:val="0"/>
          <w14:ligatures w14:val="none"/>
        </w:rPr>
        <w:t>, the closest Meuse-tributary application of EnKF in Files; Piazzi &amp; Thirel; Thiboult on multi-model assimilation; Abbaszadeh on deep neural KF hybrids.</w:t>
      </w:r>
    </w:p>
    <w:p w14:paraId="159A0CA4" w14:textId="77777777" w:rsidR="007D7803" w:rsidRPr="007D7803" w:rsidRDefault="007D7803" w:rsidP="007D78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Operational caveat: Liu et al. (2012, </w:t>
      </w:r>
      <w:r w:rsidRPr="007D7803">
        <w:rPr>
          <w:rFonts w:ascii="Times New Roman" w:eastAsia="Times New Roman" w:hAnsi="Times New Roman" w:cs="Times New Roman"/>
          <w:i/>
          <w:iCs/>
          <w:kern w:val="0"/>
          <w14:ligatures w14:val="none"/>
        </w:rPr>
        <w:t>HESS</w:t>
      </w:r>
      <w:r w:rsidRPr="007D7803">
        <w:rPr>
          <w:rFonts w:ascii="Times New Roman" w:eastAsia="Times New Roman" w:hAnsi="Times New Roman" w:cs="Times New Roman"/>
          <w:kern w:val="0"/>
          <w14:ligatures w14:val="none"/>
        </w:rPr>
        <w:t>) review of operational data assimilation in flood forecasting — directly relevant to whether KF is the right tool for hourly Kerkrade data.</w:t>
      </w:r>
    </w:p>
    <w:p w14:paraId="51E3B410"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SARIMAX (§7.1, 49 refs — the largest methods sub-section).</w:t>
      </w:r>
    </w:p>
    <w:p w14:paraId="277FA467" w14:textId="77777777" w:rsidR="007D7803" w:rsidRPr="007D7803" w:rsidRDefault="007D7803" w:rsidP="007D78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Foundational: Box, Jenkins, Reinsel &amp; Ljung (2015); Hyndman &amp; Athanasopoulos (2021) </w:t>
      </w:r>
      <w:r w:rsidRPr="007D7803">
        <w:rPr>
          <w:rFonts w:ascii="Times New Roman" w:eastAsia="Times New Roman" w:hAnsi="Times New Roman" w:cs="Times New Roman"/>
          <w:i/>
          <w:iCs/>
          <w:kern w:val="0"/>
          <w14:ligatures w14:val="none"/>
        </w:rPr>
        <w:t>Forecasting: Principles and Practice</w:t>
      </w:r>
      <w:r w:rsidRPr="007D7803">
        <w:rPr>
          <w:rFonts w:ascii="Times New Roman" w:eastAsia="Times New Roman" w:hAnsi="Times New Roman" w:cs="Times New Roman"/>
          <w:kern w:val="0"/>
          <w14:ligatures w14:val="none"/>
        </w:rPr>
        <w:t xml:space="preserve">; Hipel &amp; McLeod (1994) </w:t>
      </w:r>
      <w:r w:rsidRPr="007D7803">
        <w:rPr>
          <w:rFonts w:ascii="Times New Roman" w:eastAsia="Times New Roman" w:hAnsi="Times New Roman" w:cs="Times New Roman"/>
          <w:i/>
          <w:iCs/>
          <w:kern w:val="0"/>
          <w14:ligatures w14:val="none"/>
        </w:rPr>
        <w:t>Time Series Modelling of Water Resources</w:t>
      </w:r>
      <w:r w:rsidRPr="007D7803">
        <w:rPr>
          <w:rFonts w:ascii="Times New Roman" w:eastAsia="Times New Roman" w:hAnsi="Times New Roman" w:cs="Times New Roman"/>
          <w:kern w:val="0"/>
          <w14:ligatures w14:val="none"/>
        </w:rPr>
        <w:t xml:space="preserve">; Salas et al. (1980) </w:t>
      </w:r>
      <w:r w:rsidRPr="007D7803">
        <w:rPr>
          <w:rFonts w:ascii="Times New Roman" w:eastAsia="Times New Roman" w:hAnsi="Times New Roman" w:cs="Times New Roman"/>
          <w:i/>
          <w:iCs/>
          <w:kern w:val="0"/>
          <w14:ligatures w14:val="none"/>
        </w:rPr>
        <w:t>Applied Modeling of Hydrologic Time Series</w:t>
      </w:r>
      <w:r w:rsidRPr="007D7803">
        <w:rPr>
          <w:rFonts w:ascii="Times New Roman" w:eastAsia="Times New Roman" w:hAnsi="Times New Roman" w:cs="Times New Roman"/>
          <w:kern w:val="0"/>
          <w14:ligatures w14:val="none"/>
        </w:rPr>
        <w:t>.</w:t>
      </w:r>
    </w:p>
    <w:p w14:paraId="66D2CE0B" w14:textId="77777777" w:rsidR="007D7803" w:rsidRPr="007D7803" w:rsidRDefault="007D7803" w:rsidP="007D78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Hydrological SARIMAX: Valipour (2015); Toth, Brath &amp; Montanari (2000) for short-term rainfall prediction; Modarres &amp; Ouarda (2013) on rainfall-runoff GARCH.</w:t>
      </w:r>
    </w:p>
    <w:p w14:paraId="403778E7" w14:textId="77777777" w:rsidR="007D7803" w:rsidRPr="007D7803" w:rsidRDefault="007D7803" w:rsidP="007D78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SARIMAX-vs-ML benchmarks: Papacharalampous et al. (2019) — direct SARIMA-vs-ML benchmark; Yaseen et al. (2015) on AI vs ARIMA-class for streamflow.</w:t>
      </w:r>
    </w:p>
    <w:p w14:paraId="2B2607E4" w14:textId="77777777" w:rsidR="007D7803" w:rsidRPr="007D7803" w:rsidRDefault="007D7803" w:rsidP="007D78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Operational: statsmodels.tsa.statespace.sarimax.SARIMAX documentation (URL).</w:t>
      </w:r>
    </w:p>
    <w:p w14:paraId="6D0984BA"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The deck's note at the bottom — </w:t>
      </w:r>
      <w:r w:rsidRPr="007D7803">
        <w:rPr>
          <w:rFonts w:ascii="Times New Roman" w:eastAsia="Times New Roman" w:hAnsi="Times New Roman" w:cs="Times New Roman"/>
          <w:i/>
          <w:iCs/>
          <w:kern w:val="0"/>
          <w14:ligatures w14:val="none"/>
        </w:rPr>
        <w:t>"these candidate models detect anomalous behavior differently and each use a different data model"</w:t>
      </w:r>
      <w:r w:rsidRPr="007D7803">
        <w:rPr>
          <w:rFonts w:ascii="Times New Roman" w:eastAsia="Times New Roman" w:hAnsi="Times New Roman" w:cs="Times New Roman"/>
          <w:kern w:val="0"/>
          <w14:ligatures w14:val="none"/>
        </w:rPr>
        <w:t xml:space="preserve"> — is correct, and the file universe gives it the tools to make that argument precisely:</w:t>
      </w:r>
    </w:p>
    <w:p w14:paraId="2135B7AD" w14:textId="77777777" w:rsidR="007D7803" w:rsidRPr="007D7803" w:rsidRDefault="007D7803" w:rsidP="007D78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Isolation Forest is a </w:t>
      </w:r>
      <w:r w:rsidRPr="007D7803">
        <w:rPr>
          <w:rFonts w:ascii="Times New Roman" w:eastAsia="Times New Roman" w:hAnsi="Times New Roman" w:cs="Times New Roman"/>
          <w:b/>
          <w:bCs/>
          <w:kern w:val="0"/>
          <w14:ligatures w14:val="none"/>
        </w:rPr>
        <w:t>density-based, multivariate, non-temporal</w:t>
      </w:r>
      <w:r w:rsidRPr="007D7803">
        <w:rPr>
          <w:rFonts w:ascii="Times New Roman" w:eastAsia="Times New Roman" w:hAnsi="Times New Roman" w:cs="Times New Roman"/>
          <w:kern w:val="0"/>
          <w14:ligatures w14:val="none"/>
        </w:rPr>
        <w:t xml:space="preserve"> detector. It treats time as a feature dimension, not a sequence.</w:t>
      </w:r>
    </w:p>
    <w:p w14:paraId="24D4351A" w14:textId="77777777" w:rsidR="007D7803" w:rsidRPr="007D7803" w:rsidRDefault="007D7803" w:rsidP="007D78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Kalman Filter is a </w:t>
      </w:r>
      <w:r w:rsidRPr="007D7803">
        <w:rPr>
          <w:rFonts w:ascii="Times New Roman" w:eastAsia="Times New Roman" w:hAnsi="Times New Roman" w:cs="Times New Roman"/>
          <w:b/>
          <w:bCs/>
          <w:kern w:val="0"/>
          <w14:ligatures w14:val="none"/>
        </w:rPr>
        <w:t>state-space, sequential, model-based</w:t>
      </w:r>
      <w:r w:rsidRPr="007D7803">
        <w:rPr>
          <w:rFonts w:ascii="Times New Roman" w:eastAsia="Times New Roman" w:hAnsi="Times New Roman" w:cs="Times New Roman"/>
          <w:kern w:val="0"/>
          <w14:ligatures w14:val="none"/>
        </w:rPr>
        <w:t xml:space="preserve"> detector. It treats anomalies as residuals to a dynamic model.</w:t>
      </w:r>
    </w:p>
    <w:p w14:paraId="7C05E455" w14:textId="77777777" w:rsidR="007D7803" w:rsidRPr="007D7803" w:rsidRDefault="007D7803" w:rsidP="007D78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SARIMAX is a </w:t>
      </w:r>
      <w:r w:rsidRPr="007D7803">
        <w:rPr>
          <w:rFonts w:ascii="Times New Roman" w:eastAsia="Times New Roman" w:hAnsi="Times New Roman" w:cs="Times New Roman"/>
          <w:b/>
          <w:bCs/>
          <w:kern w:val="0"/>
          <w14:ligatures w14:val="none"/>
        </w:rPr>
        <w:t>forecast-then-flag, regression-with-exogenous-features, univariate-or-low-dim</w:t>
      </w:r>
      <w:r w:rsidRPr="007D7803">
        <w:rPr>
          <w:rFonts w:ascii="Times New Roman" w:eastAsia="Times New Roman" w:hAnsi="Times New Roman" w:cs="Times New Roman"/>
          <w:kern w:val="0"/>
          <w14:ligatures w14:val="none"/>
        </w:rPr>
        <w:t xml:space="preserve"> detector. It treats anomalies as forecast errors given seasonality and exogenous drivers.</w:t>
      </w:r>
    </w:p>
    <w:p w14:paraId="0915926F"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That clean three-way contrast is the strongest selling point of the deck's methodology and it is exactly the contrast Schmidl et al. (2022) operationalize. </w:t>
      </w:r>
      <w:r w:rsidRPr="007D7803">
        <w:rPr>
          <w:rFonts w:ascii="Times New Roman" w:eastAsia="Times New Roman" w:hAnsi="Times New Roman" w:cs="Times New Roman"/>
          <w:b/>
          <w:bCs/>
          <w:kern w:val="0"/>
          <w14:ligatures w14:val="none"/>
        </w:rPr>
        <w:t>Citing Schmidl et al. would cost the deck nothing and give the model-choice argument a recognized empirical anchor.</w:t>
      </w:r>
    </w:p>
    <w:p w14:paraId="1B9F620D"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What's missing from the deck.</w:t>
      </w:r>
      <w:r w:rsidRPr="007D7803">
        <w:rPr>
          <w:rFonts w:ascii="Times New Roman" w:eastAsia="Times New Roman" w:hAnsi="Times New Roman" w:cs="Times New Roman"/>
          <w:kern w:val="0"/>
          <w14:ligatures w14:val="none"/>
        </w:rPr>
        <w:t xml:space="preserve"> The deck names three models and frames it as "supervised learning and deep learning not feasible (lack of labels; not enough data)." Files contradict the second half of that claim:</w:t>
      </w:r>
    </w:p>
    <w:p w14:paraId="4C814944" w14:textId="77777777" w:rsidR="007D7803" w:rsidRPr="007D7803" w:rsidRDefault="007D7803" w:rsidP="007D78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§7.7 has 32 references on </w:t>
      </w:r>
      <w:r w:rsidRPr="007D7803">
        <w:rPr>
          <w:rFonts w:ascii="Times New Roman" w:eastAsia="Times New Roman" w:hAnsi="Times New Roman" w:cs="Times New Roman"/>
          <w:b/>
          <w:bCs/>
          <w:kern w:val="0"/>
          <w14:ligatures w14:val="none"/>
        </w:rPr>
        <w:t>unsupervised</w:t>
      </w:r>
      <w:r w:rsidRPr="007D7803">
        <w:rPr>
          <w:rFonts w:ascii="Times New Roman" w:eastAsia="Times New Roman" w:hAnsi="Times New Roman" w:cs="Times New Roman"/>
          <w:kern w:val="0"/>
          <w14:ligatures w14:val="none"/>
        </w:rPr>
        <w:t xml:space="preserve"> time-series anomaly detection including USAD, Anomaly Transformer, TranAD, OmniAnomaly, DeepAnT, matrix profile, LSTM-VAE, and the Numenta NAB benchmark. None of these require labels.</w:t>
      </w:r>
    </w:p>
    <w:p w14:paraId="16E4868E" w14:textId="77777777" w:rsidR="007D7803" w:rsidRPr="007D7803" w:rsidRDefault="007D7803" w:rsidP="007D78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lastRenderedPageBreak/>
        <w:t xml:space="preserve">§7.6's hydrological-LSTM cluster (Kratzert et al.; Frame et al. 2022 on extremes; Nearing 2024) routinely trains </w:t>
      </w:r>
      <w:r w:rsidRPr="007D7803">
        <w:rPr>
          <w:rFonts w:ascii="Times New Roman" w:eastAsia="Times New Roman" w:hAnsi="Times New Roman" w:cs="Times New Roman"/>
          <w:i/>
          <w:iCs/>
          <w:kern w:val="0"/>
          <w14:ligatures w14:val="none"/>
        </w:rPr>
        <w:t>unlabeled</w:t>
      </w:r>
      <w:r w:rsidRPr="007D7803">
        <w:rPr>
          <w:rFonts w:ascii="Times New Roman" w:eastAsia="Times New Roman" w:hAnsi="Times New Roman" w:cs="Times New Roman"/>
          <w:kern w:val="0"/>
          <w14:ligatures w14:val="none"/>
        </w:rPr>
        <w:t xml:space="preserve"> networks on raw discharge time series. Deep learning is not foreclosed by lack of labels; it is foreclosed by </w:t>
      </w:r>
      <w:r w:rsidRPr="007D7803">
        <w:rPr>
          <w:rFonts w:ascii="Times New Roman" w:eastAsia="Times New Roman" w:hAnsi="Times New Roman" w:cs="Times New Roman"/>
          <w:i/>
          <w:iCs/>
          <w:kern w:val="0"/>
          <w14:ligatures w14:val="none"/>
        </w:rPr>
        <w:t>narrative</w:t>
      </w:r>
      <w:r w:rsidRPr="007D7803">
        <w:rPr>
          <w:rFonts w:ascii="Times New Roman" w:eastAsia="Times New Roman" w:hAnsi="Times New Roman" w:cs="Times New Roman"/>
          <w:kern w:val="0"/>
          <w14:ligatures w14:val="none"/>
        </w:rPr>
        <w:t xml:space="preserve"> choice in the deck.</w:t>
      </w:r>
    </w:p>
    <w:p w14:paraId="580AA8B0"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A defensible framing would be: "we restrict to three contrasting detectors to keep the methodological surface area small; deep TSAD (Anomaly Transformer class) is left for future work."</w:t>
      </w:r>
    </w:p>
    <w:p w14:paraId="2BF63D22"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190A8411">
          <v:rect id="_x0000_i1035" style="width:0;height:1.5pt" o:hralign="center" o:hrstd="t" o:hr="t" fillcolor="#a0a0a0" stroked="f"/>
        </w:pict>
      </w:r>
    </w:p>
    <w:p w14:paraId="209408FC"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11 — Validation, ablation, regional replication</w:t>
      </w:r>
    </w:p>
    <w:p w14:paraId="6A2977E6"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r w:rsidRPr="007D7803">
        <w:rPr>
          <w:rFonts w:ascii="Times New Roman" w:eastAsia="Times New Roman" w:hAnsi="Times New Roman" w:cs="Times New Roman"/>
          <w:kern w:val="0"/>
          <w14:ligatures w14:val="none"/>
        </w:rPr>
        <w:t xml:space="preserve"> Four validation moves:</w:t>
      </w:r>
    </w:p>
    <w:p w14:paraId="53E98FEA" w14:textId="77777777" w:rsidR="007D7803" w:rsidRPr="007D7803" w:rsidRDefault="007D7803" w:rsidP="007D78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Signature Injection Validation</w:t>
      </w:r>
      <w:r w:rsidRPr="007D7803">
        <w:rPr>
          <w:rFonts w:ascii="Times New Roman" w:eastAsia="Times New Roman" w:hAnsi="Times New Roman" w:cs="Times New Roman"/>
          <w:kern w:val="0"/>
          <w14:ligatures w14:val="none"/>
        </w:rPr>
        <w:t xml:space="preserve"> — extract a 2021 feature window, randomly place it in the data, test whether models still detect it.</w:t>
      </w:r>
    </w:p>
    <w:p w14:paraId="4242EA49" w14:textId="77777777" w:rsidR="007D7803" w:rsidRPr="007D7803" w:rsidRDefault="007D7803" w:rsidP="007D78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Prospective Monitoring</w:t>
      </w:r>
      <w:r w:rsidRPr="007D7803">
        <w:rPr>
          <w:rFonts w:ascii="Times New Roman" w:eastAsia="Times New Roman" w:hAnsi="Times New Roman" w:cs="Times New Roman"/>
          <w:kern w:val="0"/>
          <w14:ligatures w14:val="none"/>
        </w:rPr>
        <w:t xml:space="preserve"> — deploy on ongoing data, report false positive rate during non-flood periods.</w:t>
      </w:r>
    </w:p>
    <w:p w14:paraId="1C22CA0A" w14:textId="77777777" w:rsidR="007D7803" w:rsidRPr="007D7803" w:rsidRDefault="007D7803" w:rsidP="007D78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Ablation Study</w:t>
      </w:r>
      <w:r w:rsidRPr="007D7803">
        <w:rPr>
          <w:rFonts w:ascii="Times New Roman" w:eastAsia="Times New Roman" w:hAnsi="Times New Roman" w:cs="Times New Roman"/>
          <w:kern w:val="0"/>
          <w14:ligatures w14:val="none"/>
        </w:rPr>
        <w:t xml:space="preserve"> — re-train each model without CO₂ to measure CO₂'s contribution.</w:t>
      </w:r>
    </w:p>
    <w:p w14:paraId="7DAD9B19" w14:textId="77777777" w:rsidR="007D7803" w:rsidRPr="007D7803" w:rsidRDefault="007D7803" w:rsidP="007D78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Regional Replication</w:t>
      </w:r>
      <w:r w:rsidRPr="007D7803">
        <w:rPr>
          <w:rFonts w:ascii="Times New Roman" w:eastAsia="Times New Roman" w:hAnsi="Times New Roman" w:cs="Times New Roman"/>
          <w:kern w:val="0"/>
          <w14:ligatures w14:val="none"/>
        </w:rPr>
        <w:t xml:space="preserve"> — if CO₂ loss is acceptable, run on other regions (1) affected by 2021 flood, (2) affected by other floods.</w:t>
      </w:r>
    </w:p>
    <w:p w14:paraId="08241A80"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 of "signature injection".</w:t>
      </w:r>
      <w:r w:rsidRPr="007D7803">
        <w:rPr>
          <w:rFonts w:ascii="Times New Roman" w:eastAsia="Times New Roman" w:hAnsi="Times New Roman" w:cs="Times New Roman"/>
          <w:kern w:val="0"/>
          <w14:ligatures w14:val="none"/>
        </w:rPr>
        <w:t xml:space="preserve"> The exact phrase does not appear in Files. The closest concept is </w:t>
      </w:r>
      <w:r w:rsidRPr="007D7803">
        <w:rPr>
          <w:rFonts w:ascii="Times New Roman" w:eastAsia="Times New Roman" w:hAnsi="Times New Roman" w:cs="Times New Roman"/>
          <w:b/>
          <w:bCs/>
          <w:kern w:val="0"/>
          <w14:ligatures w14:val="none"/>
        </w:rPr>
        <w:t>synthetic anomaly injection in TSAD benchmarks</w:t>
      </w:r>
      <w:r w:rsidRPr="007D7803">
        <w:rPr>
          <w:rFonts w:ascii="Times New Roman" w:eastAsia="Times New Roman" w:hAnsi="Times New Roman" w:cs="Times New Roman"/>
          <w:kern w:val="0"/>
          <w14:ligatures w14:val="none"/>
        </w:rPr>
        <w:t xml:space="preserve"> (Schmidl et al. 2022; Wu &amp; Keogh 2023, </w:t>
      </w:r>
      <w:r w:rsidRPr="007D7803">
        <w:rPr>
          <w:rFonts w:ascii="Times New Roman" w:eastAsia="Times New Roman" w:hAnsi="Times New Roman" w:cs="Times New Roman"/>
          <w:i/>
          <w:iCs/>
          <w:kern w:val="0"/>
          <w14:ligatures w14:val="none"/>
        </w:rPr>
        <w:t>VLDB</w:t>
      </w:r>
      <w:r w:rsidRPr="007D7803">
        <w:rPr>
          <w:rFonts w:ascii="Times New Roman" w:eastAsia="Times New Roman" w:hAnsi="Times New Roman" w:cs="Times New Roman"/>
          <w:kern w:val="0"/>
          <w14:ligatures w14:val="none"/>
        </w:rPr>
        <w:t xml:space="preserve"> "Current Time Series Anomaly Detection Benchmarks Are Flawed"). Wu &amp; Keogh in particular should be required reading for this slide because their core finding is that many published TSAD benchmarks fail under exactly the kind of injected- signature evaluation the deck proposes — the test passes too easily because the injected signature is too distinctive. The deck's framing inherits a benchmarking pitfall the literature has already named.</w:t>
      </w:r>
    </w:p>
    <w:p w14:paraId="6C19631C"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 of "false positive rate" / "prospective monitoring".</w:t>
      </w:r>
      <w:r w:rsidRPr="007D7803">
        <w:rPr>
          <w:rFonts w:ascii="Times New Roman" w:eastAsia="Times New Roman" w:hAnsi="Times New Roman" w:cs="Times New Roman"/>
          <w:kern w:val="0"/>
          <w14:ligatures w14:val="none"/>
        </w:rPr>
        <w:t xml:space="preserve"> The forecast-verification literature (§8.6–8.8) is huge here: rank histograms (Hamill 2001), reliability diagrams (Bröcker &amp; Smith 2007), CRPS decomposition (Hersbach 2000), proper scoring rules (Gneiting &amp; Raftery 2007). For binary event detection specifically: Mason &amp; Graham (2002) on ROC and ROL curves. For ensemble-size correction (the "fair CRPS"): Ferro, Richardson &amp; Weigel (2008). None of this is referenced by the deck. The deck reports FPR alone, which is the Brier-score numerator — the literature's been arguing for 25 years that this is insufficient.</w:t>
      </w:r>
    </w:p>
    <w:p w14:paraId="24FC155F"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 of ablation studies.</w:t>
      </w:r>
      <w:r w:rsidRPr="007D7803">
        <w:rPr>
          <w:rFonts w:ascii="Times New Roman" w:eastAsia="Times New Roman" w:hAnsi="Times New Roman" w:cs="Times New Roman"/>
          <w:kern w:val="0"/>
          <w14:ligatures w14:val="none"/>
        </w:rPr>
        <w:t xml:space="preserve"> The §8.10 XAI literature (Sundararajan et al. 2017 on integrated gradients; Ribeiro et al. on LIME; the SHAP ecosystem) is the standard apparatus for measuring per-feature contribution in ML pipelines. Frame et al. (2022) and Klotz et al. (2022) on LSTM-for-extremes are the hydrology-specific anchors.</w:t>
      </w:r>
    </w:p>
    <w:p w14:paraId="75CC9C13"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 of regional replication.</w:t>
      </w:r>
      <w:r w:rsidRPr="007D7803">
        <w:rPr>
          <w:rFonts w:ascii="Times New Roman" w:eastAsia="Times New Roman" w:hAnsi="Times New Roman" w:cs="Times New Roman"/>
          <w:kern w:val="0"/>
          <w14:ligatures w14:val="none"/>
        </w:rPr>
        <w:t xml:space="preserve"> Already covered in the Slide 5 RQ2 discussion above (Kratzert 2024, Bouaziz 2021, Nearing 2024, Slater 2023).</w:t>
      </w:r>
    </w:p>
    <w:p w14:paraId="458C7871"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lastRenderedPageBreak/>
        <w:t>Comment.</w:t>
      </w:r>
      <w:r w:rsidRPr="007D7803">
        <w:rPr>
          <w:rFonts w:ascii="Times New Roman" w:eastAsia="Times New Roman" w:hAnsi="Times New Roman" w:cs="Times New Roman"/>
          <w:kern w:val="0"/>
          <w14:ligatures w14:val="none"/>
        </w:rPr>
        <w:t xml:space="preserve"> This slide is where the gap between deck and Files is widest — and most easily closed. Each of the four validation moves has a literature in Files that would name it more rigorously. The deck currently invents its own validation vocabulary; the verification literature in §8.6–8.8 already has the right names.</w:t>
      </w:r>
    </w:p>
    <w:p w14:paraId="38F56456"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43792C4F">
          <v:rect id="_x0000_i1036" style="width:0;height:1.5pt" o:hralign="center" o:hrstd="t" o:hr="t" fillcolor="#a0a0a0" stroked="f"/>
        </w:pict>
      </w:r>
    </w:p>
    <w:p w14:paraId="3917168D"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 12 — System diagram</w:t>
      </w:r>
    </w:p>
    <w:p w14:paraId="45C8FADC"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r w:rsidRPr="007D7803">
        <w:rPr>
          <w:rFonts w:ascii="Times New Roman" w:eastAsia="Times New Roman" w:hAnsi="Times New Roman" w:cs="Times New Roman"/>
          <w:kern w:val="0"/>
          <w14:ligatures w14:val="none"/>
        </w:rPr>
        <w:t xml:space="preserve"> Title only ("SYSTEM DIAGRAM"); the diagram itself was not extractable as text.</w:t>
      </w:r>
    </w:p>
    <w:p w14:paraId="4A4CA961"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Comment.</w:t>
      </w:r>
      <w:r w:rsidRPr="007D7803">
        <w:rPr>
          <w:rFonts w:ascii="Times New Roman" w:eastAsia="Times New Roman" w:hAnsi="Times New Roman" w:cs="Times New Roman"/>
          <w:kern w:val="0"/>
          <w14:ligatures w14:val="none"/>
        </w:rPr>
        <w:t xml:space="preserve"> No file-coverage commentary possible without seeing the diagram. For reference, Files contains a number of system-architecture works in §7.6 that could anchor a diagram: Werner et al. (2013) on Delft-FEWS (the Dutch operational flood-forecasting platform); Demargne et al. (2014) on the NOAA HEFS architecture; the GloFAS / EFAS architecture papers (Alfieri et al.).</w:t>
      </w:r>
    </w:p>
    <w:p w14:paraId="7A0AD7CF"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1AA5AC04">
          <v:rect id="_x0000_i1037" style="width:0;height:1.5pt" o:hralign="center" o:hrstd="t" o:hr="t" fillcolor="#a0a0a0" stroked="f"/>
        </w:pict>
      </w:r>
    </w:p>
    <w:p w14:paraId="0D061DC8"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Slides 13–16 — Appendix: model details</w:t>
      </w:r>
    </w:p>
    <w:p w14:paraId="3EB1459E"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Deck content.</w:t>
      </w:r>
      <w:r w:rsidRPr="007D7803">
        <w:rPr>
          <w:rFonts w:ascii="Times New Roman" w:eastAsia="Times New Roman" w:hAnsi="Times New Roman" w:cs="Times New Roman"/>
          <w:kern w:val="0"/>
          <w14:ligatures w14:val="none"/>
        </w:rPr>
        <w:t xml:space="preserve"> Plain-language descriptions of Isolation Forest (Slide 14), Kalman Filter (Slide 15), and SARIMAX (Slide 16). All three descriptions are correct at the conceptual level.</w:t>
      </w:r>
    </w:p>
    <w:p w14:paraId="31C88E93"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File coverage.</w:t>
      </w:r>
      <w:r w:rsidRPr="007D7803">
        <w:rPr>
          <w:rFonts w:ascii="Times New Roman" w:eastAsia="Times New Roman" w:hAnsi="Times New Roman" w:cs="Times New Roman"/>
          <w:kern w:val="0"/>
          <w14:ligatures w14:val="none"/>
        </w:rPr>
        <w:t xml:space="preserve"> Already exhaustive — see the Slide 10 section. Three specific file references would replace the appendix descriptions with citation-grade prose:</w:t>
      </w:r>
    </w:p>
    <w:p w14:paraId="76125E83" w14:textId="77777777" w:rsidR="007D7803" w:rsidRPr="007D7803" w:rsidRDefault="007D7803" w:rsidP="007D78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Isolation Forest: Liu, Ting &amp; Zhou (2008) for the random-partitioning mechanism; the scikit-learn docs for the implementation.</w:t>
      </w:r>
    </w:p>
    <w:p w14:paraId="39C0C1E0" w14:textId="77777777" w:rsidR="007D7803" w:rsidRPr="007D7803" w:rsidRDefault="007D7803" w:rsidP="007D78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Kalman Filter: Kalman (1960) for the original formulation; Welch &amp; Bishop's introductory tutorial (not in Files but routinely cited); Anderson &amp; Moore (1979) for the state-space treatment.</w:t>
      </w:r>
    </w:p>
    <w:p w14:paraId="32DA72A3" w14:textId="77777777" w:rsidR="007D7803" w:rsidRPr="007D7803" w:rsidRDefault="007D7803" w:rsidP="007D78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SARIMAX: Box-Jenkins-Reinsel-Ljung (2015) for the canonical (S)ARIMA(X) framework; Hyndman &amp; Athanasopoulos (2021) for AIC-based model selection; Hipel &amp; McLeod (1994) for water-resources applications.</w:t>
      </w:r>
    </w:p>
    <w:p w14:paraId="016C9CE7"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The deck's appendix would benefit from a fourth slide on </w:t>
      </w:r>
      <w:r w:rsidRPr="007D7803">
        <w:rPr>
          <w:rFonts w:ascii="Times New Roman" w:eastAsia="Times New Roman" w:hAnsi="Times New Roman" w:cs="Times New Roman"/>
          <w:b/>
          <w:bCs/>
          <w:kern w:val="0"/>
          <w14:ligatures w14:val="none"/>
        </w:rPr>
        <w:t>comparison methodology</w:t>
      </w:r>
      <w:r w:rsidRPr="007D7803">
        <w:rPr>
          <w:rFonts w:ascii="Times New Roman" w:eastAsia="Times New Roman" w:hAnsi="Times New Roman" w:cs="Times New Roman"/>
          <w:kern w:val="0"/>
          <w14:ligatures w14:val="none"/>
        </w:rPr>
        <w:t xml:space="preserve"> — Schmidl, Wenig &amp; Papenbrock (2022) is the natural anchor.</w:t>
      </w:r>
    </w:p>
    <w:p w14:paraId="3ECBFA8C"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60C4DCB5">
          <v:rect id="_x0000_i1038" style="width:0;height:1.5pt" o:hralign="center" o:hrstd="t" o:hr="t" fillcolor="#a0a0a0" stroked="f"/>
        </w:pict>
      </w:r>
    </w:p>
    <w:p w14:paraId="3257A248" w14:textId="77777777" w:rsidR="007D7803" w:rsidRPr="007D7803" w:rsidRDefault="007D7803" w:rsidP="007D78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803">
        <w:rPr>
          <w:rFonts w:ascii="Times New Roman" w:eastAsia="Times New Roman" w:hAnsi="Times New Roman" w:cs="Times New Roman"/>
          <w:b/>
          <w:bCs/>
          <w:kern w:val="0"/>
          <w:sz w:val="36"/>
          <w:szCs w:val="36"/>
          <w14:ligatures w14:val="none"/>
        </w:rPr>
        <w:t>3. Five thematic juxtapositions</w:t>
      </w:r>
    </w:p>
    <w:p w14:paraId="66F965CB"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3.1 The CO₂-leakage hypothesis</w:t>
      </w:r>
    </w:p>
    <w:p w14:paraId="08C2FB16"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lastRenderedPageBreak/>
        <w:t xml:space="preserve">The deck rests on a causal chain Viefhues (2022) → Eryilmaz (2025) → this paper, where CO₂ readings in a Kerkrade basement carry leading information about flood events. Files contain </w:t>
      </w:r>
      <w:r w:rsidRPr="007D7803">
        <w:rPr>
          <w:rFonts w:ascii="Times New Roman" w:eastAsia="Times New Roman" w:hAnsi="Times New Roman" w:cs="Times New Roman"/>
          <w:b/>
          <w:bCs/>
          <w:kern w:val="0"/>
          <w14:ligatures w14:val="none"/>
        </w:rPr>
        <w:t>no evidence for or against this chain</w:t>
      </w:r>
      <w:r w:rsidRPr="007D7803">
        <w:rPr>
          <w:rFonts w:ascii="Times New Roman" w:eastAsia="Times New Roman" w:hAnsi="Times New Roman" w:cs="Times New Roman"/>
          <w:kern w:val="0"/>
          <w14:ligatures w14:val="none"/>
        </w:rPr>
        <w:t xml:space="preserve">. This is not a verdict — it is a description of a literature blind spot. Three adjacent literatures </w:t>
      </w:r>
      <w:r w:rsidRPr="007D7803">
        <w:rPr>
          <w:rFonts w:ascii="Times New Roman" w:eastAsia="Times New Roman" w:hAnsi="Times New Roman" w:cs="Times New Roman"/>
          <w:i/>
          <w:iCs/>
          <w:kern w:val="0"/>
          <w14:ligatures w14:val="none"/>
        </w:rPr>
        <w:t>should</w:t>
      </w:r>
      <w:r w:rsidRPr="007D7803">
        <w:rPr>
          <w:rFonts w:ascii="Times New Roman" w:eastAsia="Times New Roman" w:hAnsi="Times New Roman" w:cs="Times New Roman"/>
          <w:kern w:val="0"/>
          <w14:ligatures w14:val="none"/>
        </w:rPr>
        <w:t xml:space="preserve"> have been picked up if they exist:</w:t>
      </w:r>
    </w:p>
    <w:p w14:paraId="3B272268" w14:textId="77777777" w:rsidR="007D7803" w:rsidRPr="007D7803" w:rsidRDefault="007D7803" w:rsidP="007D780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Mine-water rebound and gas flux in the South Limburg coal field. The Heerlen Mijnwater geothermal project would be the natural citation hub; it is not in Files.</w:t>
      </w:r>
    </w:p>
    <w:p w14:paraId="675FB816" w14:textId="77777777" w:rsidR="007D7803" w:rsidRPr="007D7803" w:rsidRDefault="007D7803" w:rsidP="007D780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Soil-CO₂ as a hydrological state variable in karst settings (which Kerkrade is not, but the methodology overlaps). §2.2 covers Ardennes karst hydrology but not gas flux.</w:t>
      </w:r>
    </w:p>
    <w:p w14:paraId="5E2608B2" w14:textId="77777777" w:rsidR="007D7803" w:rsidRPr="007D7803" w:rsidRDefault="007D7803" w:rsidP="007D780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Indoor-air monitoring for radon / CO₂ as a proxy for groundwater pressure changes. Wholly absent from Files.</w:t>
      </w:r>
    </w:p>
    <w:p w14:paraId="7428734C"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If these literatures exist (they do, partially), they need their own bibliographic spine in the dissertation. If they do not exist for the Kerkrade setting specifically, the deck should say so plainly — that absence is the contribution.</w:t>
      </w:r>
    </w:p>
    <w:p w14:paraId="4EDC1442"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3.2 Kerkrade vs. the Meuse mainstem</w:t>
      </w:r>
    </w:p>
    <w:p w14:paraId="6C020629"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The 2021 flood literature in Files concentrates on:</w:t>
      </w:r>
    </w:p>
    <w:p w14:paraId="24B33919" w14:textId="77777777" w:rsidR="007D7803" w:rsidRPr="007D7803" w:rsidRDefault="007D7803" w:rsidP="007D780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Belgian side</w:t>
      </w:r>
      <w:r w:rsidRPr="007D7803">
        <w:rPr>
          <w:rFonts w:ascii="Times New Roman" w:eastAsia="Times New Roman" w:hAnsi="Times New Roman" w:cs="Times New Roman"/>
          <w:kern w:val="0"/>
          <w14:ligatures w14:val="none"/>
        </w:rPr>
        <w:t xml:space="preserve"> (§4.3): Pepinster, Chaudfontaine, Trooz, Verviers (Vesdre); the Ourthe and Amblève; the Walloon Bilan inquiry.</w:t>
      </w:r>
    </w:p>
    <w:p w14:paraId="0AA244A2" w14:textId="77777777" w:rsidR="007D7803" w:rsidRPr="007D7803" w:rsidRDefault="007D7803" w:rsidP="007D780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Dutch side</w:t>
      </w:r>
      <w:r w:rsidRPr="007D7803">
        <w:rPr>
          <w:rFonts w:ascii="Times New Roman" w:eastAsia="Times New Roman" w:hAnsi="Times New Roman" w:cs="Times New Roman"/>
          <w:kern w:val="0"/>
          <w14:ligatures w14:val="none"/>
        </w:rPr>
        <w:t xml:space="preserve"> (§4.5): Valkenburg (Geul), Wittem, Mechelen-aan-de-Maas; Slager et al. (2022) Geul rapid assessment.</w:t>
      </w:r>
    </w:p>
    <w:p w14:paraId="0E2FB872" w14:textId="77777777" w:rsidR="007D7803" w:rsidRPr="007D7803" w:rsidRDefault="007D7803" w:rsidP="007D780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German side</w:t>
      </w:r>
      <w:r w:rsidRPr="007D7803">
        <w:rPr>
          <w:rFonts w:ascii="Times New Roman" w:eastAsia="Times New Roman" w:hAnsi="Times New Roman" w:cs="Times New Roman"/>
          <w:kern w:val="0"/>
          <w14:ligatures w14:val="none"/>
        </w:rPr>
        <w:t xml:space="preserve"> (§4.4): Ahr valley (Schuld, Insul, Bad Neuenahr-Ahrweiler), the Erft, the Eifel.</w:t>
      </w:r>
    </w:p>
    <w:p w14:paraId="57C3ACBA"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Kerkrade is not in this list.</w:t>
      </w:r>
      <w:r w:rsidRPr="007D7803">
        <w:rPr>
          <w:rFonts w:ascii="Times New Roman" w:eastAsia="Times New Roman" w:hAnsi="Times New Roman" w:cs="Times New Roman"/>
          <w:kern w:val="0"/>
          <w14:ligatures w14:val="none"/>
        </w:rPr>
        <w:t xml:space="preserve"> The Worm river through Kerkrade did flood in July 2021, and there is grey literature on Heerlen and the Eastern South Limburg flood response, but it has not entered the consolidated list — likely because it was a comparatively minor event in the 2021 disaster relative to Pepinster or Valkenburg.</w:t>
      </w:r>
    </w:p>
    <w:p w14:paraId="08C64812"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This matters because the deck claims Kerkrade is "where the 2021 flood happened" implicitly. In the consolidated literature, Kerkrade was on the periphery of the 2021 event. A more defensible framing would be: "Kerkrade is where we have the IoT instrument; the 2021 flood at Kerkrade was a regional event whose primary hydrological signal was downstream in the Geul and Worm catchments."</w:t>
      </w:r>
    </w:p>
    <w:p w14:paraId="39C78E9D"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3.3 Validation vocabulary</w:t>
      </w:r>
    </w:p>
    <w:p w14:paraId="37B70017"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The deck's four-step validation is a perfectly reasonable engineering plan, but it is doing battle with a forecast-verification literature whose vocabulary is more precise.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7249"/>
      </w:tblGrid>
      <w:tr w:rsidR="007D7803" w:rsidRPr="007D7803" w14:paraId="6DE996EA" w14:textId="77777777">
        <w:trPr>
          <w:tblHeader/>
          <w:tblCellSpacing w:w="15" w:type="dxa"/>
        </w:trPr>
        <w:tc>
          <w:tcPr>
            <w:tcW w:w="0" w:type="auto"/>
            <w:vAlign w:val="center"/>
            <w:hideMark/>
          </w:tcPr>
          <w:p w14:paraId="028B5125" w14:textId="77777777" w:rsidR="007D7803" w:rsidRPr="007D7803" w:rsidRDefault="007D7803" w:rsidP="007D7803">
            <w:pPr>
              <w:spacing w:after="0" w:line="240" w:lineRule="auto"/>
              <w:jc w:val="center"/>
              <w:rPr>
                <w:rFonts w:ascii="Times New Roman" w:eastAsia="Times New Roman" w:hAnsi="Times New Roman" w:cs="Times New Roman"/>
                <w:b/>
                <w:bCs/>
                <w:kern w:val="0"/>
                <w14:ligatures w14:val="none"/>
              </w:rPr>
            </w:pPr>
            <w:r w:rsidRPr="007D7803">
              <w:rPr>
                <w:rFonts w:ascii="Times New Roman" w:eastAsia="Times New Roman" w:hAnsi="Times New Roman" w:cs="Times New Roman"/>
                <w:b/>
                <w:bCs/>
                <w:kern w:val="0"/>
                <w14:ligatures w14:val="none"/>
              </w:rPr>
              <w:t>Deck term</w:t>
            </w:r>
          </w:p>
        </w:tc>
        <w:tc>
          <w:tcPr>
            <w:tcW w:w="0" w:type="auto"/>
            <w:vAlign w:val="center"/>
            <w:hideMark/>
          </w:tcPr>
          <w:p w14:paraId="35B4A34D" w14:textId="77777777" w:rsidR="007D7803" w:rsidRPr="007D7803" w:rsidRDefault="007D7803" w:rsidP="007D7803">
            <w:pPr>
              <w:spacing w:after="0" w:line="240" w:lineRule="auto"/>
              <w:jc w:val="center"/>
              <w:rPr>
                <w:rFonts w:ascii="Times New Roman" w:eastAsia="Times New Roman" w:hAnsi="Times New Roman" w:cs="Times New Roman"/>
                <w:b/>
                <w:bCs/>
                <w:kern w:val="0"/>
                <w14:ligatures w14:val="none"/>
              </w:rPr>
            </w:pPr>
            <w:r w:rsidRPr="007D7803">
              <w:rPr>
                <w:rFonts w:ascii="Times New Roman" w:eastAsia="Times New Roman" w:hAnsi="Times New Roman" w:cs="Times New Roman"/>
                <w:b/>
                <w:bCs/>
                <w:kern w:val="0"/>
                <w14:ligatures w14:val="none"/>
              </w:rPr>
              <w:t>Literature equivalent (in Files)</w:t>
            </w:r>
          </w:p>
        </w:tc>
      </w:tr>
      <w:tr w:rsidR="007D7803" w:rsidRPr="007D7803" w14:paraId="6913536C" w14:textId="77777777">
        <w:trPr>
          <w:tblCellSpacing w:w="15" w:type="dxa"/>
        </w:trPr>
        <w:tc>
          <w:tcPr>
            <w:tcW w:w="0" w:type="auto"/>
            <w:vAlign w:val="center"/>
            <w:hideMark/>
          </w:tcPr>
          <w:p w14:paraId="354F8CF7"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Signature injection</w:t>
            </w:r>
          </w:p>
        </w:tc>
        <w:tc>
          <w:tcPr>
            <w:tcW w:w="0" w:type="auto"/>
            <w:vAlign w:val="center"/>
            <w:hideMark/>
          </w:tcPr>
          <w:p w14:paraId="47DFA03E"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Synthetic anomaly injection (Schmidl et al. 2022); critique in Wu &amp; Keogh 2023</w:t>
            </w:r>
          </w:p>
        </w:tc>
      </w:tr>
      <w:tr w:rsidR="007D7803" w:rsidRPr="007D7803" w14:paraId="3C88322C" w14:textId="77777777">
        <w:trPr>
          <w:tblCellSpacing w:w="15" w:type="dxa"/>
        </w:trPr>
        <w:tc>
          <w:tcPr>
            <w:tcW w:w="0" w:type="auto"/>
            <w:vAlign w:val="center"/>
            <w:hideMark/>
          </w:tcPr>
          <w:p w14:paraId="25743B77"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lastRenderedPageBreak/>
              <w:t>Prospective monitoring + FPR</w:t>
            </w:r>
          </w:p>
        </w:tc>
        <w:tc>
          <w:tcPr>
            <w:tcW w:w="0" w:type="auto"/>
            <w:vAlign w:val="center"/>
            <w:hideMark/>
          </w:tcPr>
          <w:p w14:paraId="771A06EA"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Reliability diagrams (Bröcker &amp; Smith 2007); Brier score (Brier 1950); ROC (Mason &amp; Graham 2002); fair CRPS (Ferro et al. 2008)</w:t>
            </w:r>
          </w:p>
        </w:tc>
      </w:tr>
      <w:tr w:rsidR="007D7803" w:rsidRPr="007D7803" w14:paraId="48228E44" w14:textId="77777777">
        <w:trPr>
          <w:tblCellSpacing w:w="15" w:type="dxa"/>
        </w:trPr>
        <w:tc>
          <w:tcPr>
            <w:tcW w:w="0" w:type="auto"/>
            <w:vAlign w:val="center"/>
            <w:hideMark/>
          </w:tcPr>
          <w:p w14:paraId="4FF9A2DE"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Ablation study</w:t>
            </w:r>
          </w:p>
        </w:tc>
        <w:tc>
          <w:tcPr>
            <w:tcW w:w="0" w:type="auto"/>
            <w:vAlign w:val="center"/>
            <w:hideMark/>
          </w:tcPr>
          <w:p w14:paraId="36E9F32B"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XAI / SHAP / integrated gradients (§8.10); Frame et al. (2022) for hydrology</w:t>
            </w:r>
          </w:p>
        </w:tc>
      </w:tr>
      <w:tr w:rsidR="007D7803" w:rsidRPr="007D7803" w14:paraId="47D6BCA0" w14:textId="77777777">
        <w:trPr>
          <w:tblCellSpacing w:w="15" w:type="dxa"/>
        </w:trPr>
        <w:tc>
          <w:tcPr>
            <w:tcW w:w="0" w:type="auto"/>
            <w:vAlign w:val="center"/>
            <w:hideMark/>
          </w:tcPr>
          <w:p w14:paraId="70B891C7"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Regional replication</w:t>
            </w:r>
          </w:p>
        </w:tc>
        <w:tc>
          <w:tcPr>
            <w:tcW w:w="0" w:type="auto"/>
            <w:vAlign w:val="center"/>
            <w:hideMark/>
          </w:tcPr>
          <w:p w14:paraId="73BD7FA4"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Cross-basin transfer (Kratzert 2024); CAMELS-DE / -FR / LamaH-CE benchmarking (Klingler 2021; Loritz 2024; Delaigue 2025)</w:t>
            </w:r>
          </w:p>
        </w:tc>
      </w:tr>
    </w:tbl>
    <w:p w14:paraId="140F1E52"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Adopting these names where they fit would let the dissertation slot directly into the existing forecast-verification conversation rather than building parallel terminology.</w:t>
      </w:r>
    </w:p>
    <w:p w14:paraId="230ADB40"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3.4 The non-stationarity question</w:t>
      </w:r>
    </w:p>
    <w:p w14:paraId="7289E736"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The deck never asks how unusual the 2021 event was. The reference universe asks little else. Compendium 4 §1(b) (20 refs on non-stationarity) and §1(c) (10 on EVT/FFA) plus §3.4 (flood frequency for the Meuse specifically) form a 30+ reference debate on whether 2021-class events should be treated as draws from a stationary distribution.</w:t>
      </w:r>
    </w:p>
    <w:p w14:paraId="2F77EEF7"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Two implications for the deck:</w:t>
      </w:r>
    </w:p>
    <w:p w14:paraId="2717463C" w14:textId="77777777" w:rsidR="007D7803" w:rsidRPr="007D7803" w:rsidRDefault="007D7803" w:rsidP="007D780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The "2021-flood-like patterns" RQ2 phrase implies similarity at a feature- vector level. The literature implies similarity at a </w:t>
      </w:r>
      <w:r w:rsidRPr="007D7803">
        <w:rPr>
          <w:rFonts w:ascii="Times New Roman" w:eastAsia="Times New Roman" w:hAnsi="Times New Roman" w:cs="Times New Roman"/>
          <w:i/>
          <w:iCs/>
          <w:kern w:val="0"/>
          <w14:ligatures w14:val="none"/>
        </w:rPr>
        <w:t>return-period</w:t>
      </w:r>
      <w:r w:rsidRPr="007D7803">
        <w:rPr>
          <w:rFonts w:ascii="Times New Roman" w:eastAsia="Times New Roman" w:hAnsi="Times New Roman" w:cs="Times New Roman"/>
          <w:kern w:val="0"/>
          <w14:ligatures w14:val="none"/>
        </w:rPr>
        <w:t xml:space="preserve"> level — i.e., is the next 200-year event going to look like 2021? These are two different questions and the deck should say which it is asking.</w:t>
      </w:r>
    </w:p>
    <w:p w14:paraId="42EE30BB" w14:textId="77777777" w:rsidR="007D7803" w:rsidRPr="007D7803" w:rsidRDefault="007D7803" w:rsidP="007D780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Tradowsky et al. (2023) and Kreienkamp et al. (2021) — the World Weather Attribution analyses of July 2021 — are the standard reference for "how unusual was 2021." Both are in Files; neither is on the deck.</w:t>
      </w:r>
    </w:p>
    <w:p w14:paraId="46D053F8" w14:textId="77777777" w:rsidR="007D7803" w:rsidRPr="007D7803" w:rsidRDefault="007D7803" w:rsidP="007D78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803">
        <w:rPr>
          <w:rFonts w:ascii="Times New Roman" w:eastAsia="Times New Roman" w:hAnsi="Times New Roman" w:cs="Times New Roman"/>
          <w:b/>
          <w:bCs/>
          <w:kern w:val="0"/>
          <w:sz w:val="27"/>
          <w:szCs w:val="27"/>
          <w14:ligatures w14:val="none"/>
        </w:rPr>
        <w:t>3.5 What the deck adds that Files do not</w:t>
      </w:r>
    </w:p>
    <w:p w14:paraId="4132295C"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Three contributions are genuinely visible in the deck and not in Files:</w:t>
      </w:r>
    </w:p>
    <w:p w14:paraId="3C698736" w14:textId="77777777" w:rsidR="007D7803" w:rsidRPr="007D7803" w:rsidRDefault="007D7803" w:rsidP="007D780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High-frequency basement CO₂ as a candidate flood-leading indicator.</w:t>
      </w:r>
      <w:r w:rsidRPr="007D7803">
        <w:rPr>
          <w:rFonts w:ascii="Times New Roman" w:eastAsia="Times New Roman" w:hAnsi="Times New Roman" w:cs="Times New Roman"/>
          <w:kern w:val="0"/>
          <w14:ligatures w14:val="none"/>
        </w:rPr>
        <w:t xml:space="preserve"> Empirically novel — for better or worse — relative to the consolidated reference universe.</w:t>
      </w:r>
    </w:p>
    <w:p w14:paraId="377505D3" w14:textId="77777777" w:rsidR="007D7803" w:rsidRPr="007D7803" w:rsidRDefault="007D7803" w:rsidP="007D780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Kerkrade as a focal monitoring site.</w:t>
      </w:r>
      <w:r w:rsidRPr="007D7803">
        <w:rPr>
          <w:rFonts w:ascii="Times New Roman" w:eastAsia="Times New Roman" w:hAnsi="Times New Roman" w:cs="Times New Roman"/>
          <w:kern w:val="0"/>
          <w14:ligatures w14:val="none"/>
        </w:rPr>
        <w:t xml:space="preserve"> A literature gap the deck could plausibly fill.</w:t>
      </w:r>
    </w:p>
    <w:p w14:paraId="1F6D3603" w14:textId="77777777" w:rsidR="007D7803" w:rsidRPr="007D7803" w:rsidRDefault="007D7803" w:rsidP="007D780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A three-way head-to-head benchmark of Isolation Forest, Kalman Filter, and SARIMAX on the same hourly time series with the same labels.</w:t>
      </w:r>
      <w:r w:rsidRPr="007D7803">
        <w:rPr>
          <w:rFonts w:ascii="Times New Roman" w:eastAsia="Times New Roman" w:hAnsi="Times New Roman" w:cs="Times New Roman"/>
          <w:kern w:val="0"/>
          <w14:ligatures w14:val="none"/>
        </w:rPr>
        <w:t xml:space="preserve"> Files contain large literatures on each individually and on TSAD comparison broadly (Schmidl et al. 2022), but no head-to-head on Meuse-region data with the deck's specific configuration.</w:t>
      </w:r>
    </w:p>
    <w:p w14:paraId="3BBDDA12"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These three together would justify a dissertation chapter even if the CO₂ causal chain turns out not to add predictive value.</w:t>
      </w:r>
    </w:p>
    <w:p w14:paraId="7D63BB3A"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pict w14:anchorId="7B5401FD">
          <v:rect id="_x0000_i1039" style="width:0;height:1.5pt" o:hralign="center" o:hrstd="t" o:hr="t" fillcolor="#a0a0a0" stroked="f"/>
        </w:pict>
      </w:r>
    </w:p>
    <w:p w14:paraId="7612A657" w14:textId="77777777" w:rsidR="007D7803" w:rsidRPr="007D7803" w:rsidRDefault="007D7803" w:rsidP="007D78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803">
        <w:rPr>
          <w:rFonts w:ascii="Times New Roman" w:eastAsia="Times New Roman" w:hAnsi="Times New Roman" w:cs="Times New Roman"/>
          <w:b/>
          <w:bCs/>
          <w:kern w:val="0"/>
          <w:sz w:val="36"/>
          <w:szCs w:val="36"/>
          <w14:ligatures w14:val="none"/>
        </w:rPr>
        <w:lastRenderedPageBreak/>
        <w:t>4. The most actionable absences</w:t>
      </w:r>
    </w:p>
    <w:p w14:paraId="448444A0"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Ten specific references in Files that the deck would likely benefit from citing, ordered by expected payoff:</w:t>
      </w:r>
    </w:p>
    <w:p w14:paraId="2149930E"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Schmidl, Wenig &amp; Papenbrock (2022).</w:t>
      </w:r>
      <w:r w:rsidRPr="007D7803">
        <w:rPr>
          <w:rFonts w:ascii="Times New Roman" w:eastAsia="Times New Roman" w:hAnsi="Times New Roman" w:cs="Times New Roman"/>
          <w:kern w:val="0"/>
          <w14:ligatures w14:val="none"/>
        </w:rPr>
        <w:t xml:space="preserve"> </w:t>
      </w:r>
      <w:r w:rsidRPr="007D7803">
        <w:rPr>
          <w:rFonts w:ascii="Times New Roman" w:eastAsia="Times New Roman" w:hAnsi="Times New Roman" w:cs="Times New Roman"/>
          <w:i/>
          <w:iCs/>
          <w:kern w:val="0"/>
          <w14:ligatures w14:val="none"/>
        </w:rPr>
        <w:t>Anomaly detection in time series: a comprehensive evaluation.</w:t>
      </w:r>
      <w:r w:rsidRPr="007D7803">
        <w:rPr>
          <w:rFonts w:ascii="Times New Roman" w:eastAsia="Times New Roman" w:hAnsi="Times New Roman" w:cs="Times New Roman"/>
          <w:kern w:val="0"/>
          <w14:ligatures w14:val="none"/>
        </w:rPr>
        <w:t xml:space="preserve"> PVLDB. Empirical benchmark across iForest, DTW-based detectors, autoencoders, transformers — directly justifies the deck's three-model selection.</w:t>
      </w:r>
    </w:p>
    <w:p w14:paraId="1E9B4D44"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Wu &amp; Keogh (2023).</w:t>
      </w:r>
      <w:r w:rsidRPr="007D7803">
        <w:rPr>
          <w:rFonts w:ascii="Times New Roman" w:eastAsia="Times New Roman" w:hAnsi="Times New Roman" w:cs="Times New Roman"/>
          <w:kern w:val="0"/>
          <w14:ligatures w14:val="none"/>
        </w:rPr>
        <w:t xml:space="preserve"> </w:t>
      </w:r>
      <w:r w:rsidRPr="007D7803">
        <w:rPr>
          <w:rFonts w:ascii="Times New Roman" w:eastAsia="Times New Roman" w:hAnsi="Times New Roman" w:cs="Times New Roman"/>
          <w:i/>
          <w:iCs/>
          <w:kern w:val="0"/>
          <w14:ligatures w14:val="none"/>
        </w:rPr>
        <w:t>Current time series anomaly detection benchmarks are flawed and are creating the illusion of progress.</w:t>
      </w:r>
      <w:r w:rsidRPr="007D7803">
        <w:rPr>
          <w:rFonts w:ascii="Times New Roman" w:eastAsia="Times New Roman" w:hAnsi="Times New Roman" w:cs="Times New Roman"/>
          <w:kern w:val="0"/>
          <w14:ligatures w14:val="none"/>
        </w:rPr>
        <w:t xml:space="preserve"> IEEE TKDE. Critical reading before designing the signature-injection validation.</w:t>
      </w:r>
    </w:p>
    <w:p w14:paraId="46EFE0A0"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Liu, Ting &amp; Zhou (2008/2012).</w:t>
      </w:r>
      <w:r w:rsidRPr="007D7803">
        <w:rPr>
          <w:rFonts w:ascii="Times New Roman" w:eastAsia="Times New Roman" w:hAnsi="Times New Roman" w:cs="Times New Roman"/>
          <w:kern w:val="0"/>
          <w14:ligatures w14:val="none"/>
        </w:rPr>
        <w:t xml:space="preserve"> Foundational Isolation Forest references.</w:t>
      </w:r>
    </w:p>
    <w:p w14:paraId="7B89396E"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Box, Jenkins, Reinsel &amp; Ljung (2015)</w:t>
      </w:r>
      <w:r w:rsidRPr="007D7803">
        <w:rPr>
          <w:rFonts w:ascii="Times New Roman" w:eastAsia="Times New Roman" w:hAnsi="Times New Roman" w:cs="Times New Roman"/>
          <w:kern w:val="0"/>
          <w14:ligatures w14:val="none"/>
        </w:rPr>
        <w:t xml:space="preserve"> + </w:t>
      </w:r>
      <w:r w:rsidRPr="007D7803">
        <w:rPr>
          <w:rFonts w:ascii="Times New Roman" w:eastAsia="Times New Roman" w:hAnsi="Times New Roman" w:cs="Times New Roman"/>
          <w:b/>
          <w:bCs/>
          <w:kern w:val="0"/>
          <w14:ligatures w14:val="none"/>
        </w:rPr>
        <w:t>Hyndman &amp; Athanasopoulos (2021).</w:t>
      </w:r>
      <w:r w:rsidRPr="007D7803">
        <w:rPr>
          <w:rFonts w:ascii="Times New Roman" w:eastAsia="Times New Roman" w:hAnsi="Times New Roman" w:cs="Times New Roman"/>
          <w:kern w:val="0"/>
          <w14:ligatures w14:val="none"/>
        </w:rPr>
        <w:t xml:space="preserve"> Foundational SARIMAX references.</w:t>
      </w:r>
    </w:p>
    <w:p w14:paraId="5A6D32F6"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 xml:space="preserve">Rakovec et al. (2012, </w:t>
      </w:r>
      <w:r w:rsidRPr="007D7803">
        <w:rPr>
          <w:rFonts w:ascii="Times New Roman" w:eastAsia="Times New Roman" w:hAnsi="Times New Roman" w:cs="Times New Roman"/>
          <w:b/>
          <w:bCs/>
          <w:i/>
          <w:iCs/>
          <w:kern w:val="0"/>
          <w14:ligatures w14:val="none"/>
        </w:rPr>
        <w:t>HESS</w:t>
      </w:r>
      <w:r w:rsidRPr="007D7803">
        <w:rPr>
          <w:rFonts w:ascii="Times New Roman" w:eastAsia="Times New Roman" w:hAnsi="Times New Roman" w:cs="Times New Roman"/>
          <w:b/>
          <w:bCs/>
          <w:kern w:val="0"/>
          <w14:ligatures w14:val="none"/>
        </w:rPr>
        <w:t>).</w:t>
      </w:r>
      <w:r w:rsidRPr="007D7803">
        <w:rPr>
          <w:rFonts w:ascii="Times New Roman" w:eastAsia="Times New Roman" w:hAnsi="Times New Roman" w:cs="Times New Roman"/>
          <w:kern w:val="0"/>
          <w14:ligatures w14:val="none"/>
        </w:rPr>
        <w:t xml:space="preserve"> EnKF on the Upper Ourthe — the closest published Meuse-tributary precedent for the deck's KF arm.</w:t>
      </w:r>
    </w:p>
    <w:p w14:paraId="2A48E6E7"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 xml:space="preserve">Tradowsky et al. (2023, </w:t>
      </w:r>
      <w:r w:rsidRPr="007D7803">
        <w:rPr>
          <w:rFonts w:ascii="Times New Roman" w:eastAsia="Times New Roman" w:hAnsi="Times New Roman" w:cs="Times New Roman"/>
          <w:b/>
          <w:bCs/>
          <w:i/>
          <w:iCs/>
          <w:kern w:val="0"/>
          <w14:ligatures w14:val="none"/>
        </w:rPr>
        <w:t>Climatic Change</w:t>
      </w:r>
      <w:r w:rsidRPr="007D7803">
        <w:rPr>
          <w:rFonts w:ascii="Times New Roman" w:eastAsia="Times New Roman" w:hAnsi="Times New Roman" w:cs="Times New Roman"/>
          <w:b/>
          <w:bCs/>
          <w:kern w:val="0"/>
          <w14:ligatures w14:val="none"/>
        </w:rPr>
        <w:t>) + Kreienkamp et al. (2021, WWA report).</w:t>
      </w:r>
      <w:r w:rsidRPr="007D7803">
        <w:rPr>
          <w:rFonts w:ascii="Times New Roman" w:eastAsia="Times New Roman" w:hAnsi="Times New Roman" w:cs="Times New Roman"/>
          <w:kern w:val="0"/>
          <w14:ligatures w14:val="none"/>
        </w:rPr>
        <w:t xml:space="preserve"> The canonical attribution analyses of July 2021 in Western Europe.</w:t>
      </w:r>
    </w:p>
    <w:p w14:paraId="49CEF619"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Slager et al. (2022, Deltares).</w:t>
      </w:r>
      <w:r w:rsidRPr="007D7803">
        <w:rPr>
          <w:rFonts w:ascii="Times New Roman" w:eastAsia="Times New Roman" w:hAnsi="Times New Roman" w:cs="Times New Roman"/>
          <w:kern w:val="0"/>
          <w14:ligatures w14:val="none"/>
        </w:rPr>
        <w:t xml:space="preserve"> Geul rapid assessment — the closest geographic precedent to a Kerkrade case study.</w:t>
      </w:r>
    </w:p>
    <w:p w14:paraId="23C3F02E"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 xml:space="preserve">Bouaziz et al. (2021, </w:t>
      </w:r>
      <w:r w:rsidRPr="007D7803">
        <w:rPr>
          <w:rFonts w:ascii="Times New Roman" w:eastAsia="Times New Roman" w:hAnsi="Times New Roman" w:cs="Times New Roman"/>
          <w:b/>
          <w:bCs/>
          <w:i/>
          <w:iCs/>
          <w:kern w:val="0"/>
          <w14:ligatures w14:val="none"/>
        </w:rPr>
        <w:t>HESS</w:t>
      </w:r>
      <w:r w:rsidRPr="007D7803">
        <w:rPr>
          <w:rFonts w:ascii="Times New Roman" w:eastAsia="Times New Roman" w:hAnsi="Times New Roman" w:cs="Times New Roman"/>
          <w:b/>
          <w:bCs/>
          <w:kern w:val="0"/>
          <w14:ligatures w14:val="none"/>
        </w:rPr>
        <w:t>).</w:t>
      </w:r>
      <w:r w:rsidRPr="007D7803">
        <w:rPr>
          <w:rFonts w:ascii="Times New Roman" w:eastAsia="Times New Roman" w:hAnsi="Times New Roman" w:cs="Times New Roman"/>
          <w:kern w:val="0"/>
          <w14:ligatures w14:val="none"/>
        </w:rPr>
        <w:t xml:space="preserve"> 12-model evaluation across five Meuse sub-catchments — the published cross-basin transfer benchmark for this region.</w:t>
      </w:r>
    </w:p>
    <w:p w14:paraId="2EE1D90C"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 xml:space="preserve">Kratzert et al. (2024, </w:t>
      </w:r>
      <w:r w:rsidRPr="007D7803">
        <w:rPr>
          <w:rFonts w:ascii="Times New Roman" w:eastAsia="Times New Roman" w:hAnsi="Times New Roman" w:cs="Times New Roman"/>
          <w:b/>
          <w:bCs/>
          <w:i/>
          <w:iCs/>
          <w:kern w:val="0"/>
          <w14:ligatures w14:val="none"/>
        </w:rPr>
        <w:t>HESS Opinions</w:t>
      </w:r>
      <w:r w:rsidRPr="007D7803">
        <w:rPr>
          <w:rFonts w:ascii="Times New Roman" w:eastAsia="Times New Roman" w:hAnsi="Times New Roman" w:cs="Times New Roman"/>
          <w:b/>
          <w:bCs/>
          <w:kern w:val="0"/>
          <w14:ligatures w14:val="none"/>
        </w:rPr>
        <w:t>).</w:t>
      </w:r>
      <w:r w:rsidRPr="007D7803">
        <w:rPr>
          <w:rFonts w:ascii="Times New Roman" w:eastAsia="Times New Roman" w:hAnsi="Times New Roman" w:cs="Times New Roman"/>
          <w:kern w:val="0"/>
          <w14:ligatures w14:val="none"/>
        </w:rPr>
        <w:t xml:space="preserve"> Why single-basin LSTM (and by extension single-site SARIMAX) generalizes badly — directly relevant to RQ2.</w:t>
      </w:r>
    </w:p>
    <w:p w14:paraId="29506E03" w14:textId="77777777" w:rsidR="007D7803" w:rsidRPr="007D7803" w:rsidRDefault="007D7803" w:rsidP="007D78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 xml:space="preserve">Frame et al. (2022, </w:t>
      </w:r>
      <w:r w:rsidRPr="007D7803">
        <w:rPr>
          <w:rFonts w:ascii="Times New Roman" w:eastAsia="Times New Roman" w:hAnsi="Times New Roman" w:cs="Times New Roman"/>
          <w:b/>
          <w:bCs/>
          <w:i/>
          <w:iCs/>
          <w:kern w:val="0"/>
          <w14:ligatures w14:val="none"/>
        </w:rPr>
        <w:t>HESS</w:t>
      </w:r>
      <w:r w:rsidRPr="007D7803">
        <w:rPr>
          <w:rFonts w:ascii="Times New Roman" w:eastAsia="Times New Roman" w:hAnsi="Times New Roman" w:cs="Times New Roman"/>
          <w:b/>
          <w:bCs/>
          <w:kern w:val="0"/>
          <w14:ligatures w14:val="none"/>
        </w:rPr>
        <w:t>).</w:t>
      </w:r>
      <w:r w:rsidRPr="007D7803">
        <w:rPr>
          <w:rFonts w:ascii="Times New Roman" w:eastAsia="Times New Roman" w:hAnsi="Times New Roman" w:cs="Times New Roman"/>
          <w:kern w:val="0"/>
          <w14:ligatures w14:val="none"/>
        </w:rPr>
        <w:t xml:space="preserve"> Deep-learning rainfall–runoff predictions of extreme events — the empirical case study of how anomaly-detection behaves under extremes in a hydrological setting.</w:t>
      </w:r>
    </w:p>
    <w:p w14:paraId="0D993BF7" w14:textId="77777777" w:rsidR="007D7803" w:rsidRPr="007D7803" w:rsidRDefault="007C1183" w:rsidP="007D7803">
      <w:pPr>
        <w:spacing w:after="0" w:line="240" w:lineRule="auto"/>
        <w:rPr>
          <w:rFonts w:ascii="Times New Roman" w:eastAsia="Times New Roman" w:hAnsi="Times New Roman" w:cs="Times New Roman"/>
          <w:kern w:val="0"/>
          <w14:ligatures w14:val="none"/>
        </w:rPr>
      </w:pPr>
      <w:r w:rsidRPr="007C1183">
        <w:rPr>
          <w:rFonts w:ascii="Times New Roman" w:eastAsia="Times New Roman" w:hAnsi="Times New Roman" w:cs="Times New Roman"/>
          <w:noProof/>
          <w:kern w:val="0"/>
        </w:rPr>
        <w:pict w14:anchorId="767F4FA5">
          <v:rect id="_x0000_i1040" alt="" style="width:468pt;height:.05pt;mso-width-percent:0;mso-height-percent:0;mso-width-percent:0;mso-height-percent:0" o:hralign="center" o:hrstd="t" o:hr="t" fillcolor="#a0a0a0" stroked="f"/>
        </w:pict>
      </w:r>
    </w:p>
    <w:p w14:paraId="4A9E2229" w14:textId="77777777" w:rsidR="007D7803" w:rsidRPr="007D7803" w:rsidRDefault="007D7803" w:rsidP="007D78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803">
        <w:rPr>
          <w:rFonts w:ascii="Times New Roman" w:eastAsia="Times New Roman" w:hAnsi="Times New Roman" w:cs="Times New Roman"/>
          <w:b/>
          <w:bCs/>
          <w:kern w:val="0"/>
          <w:sz w:val="36"/>
          <w:szCs w:val="36"/>
          <w14:ligatures w14:val="none"/>
        </w:rPr>
        <w:t>5. Headline numbers</w:t>
      </w:r>
    </w:p>
    <w:p w14:paraId="2F9157E9"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Quick directory of how many references in Files map onto each part of the deck: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2"/>
        <w:gridCol w:w="2048"/>
      </w:tblGrid>
      <w:tr w:rsidR="007D7803" w:rsidRPr="007D7803" w14:paraId="2003650B" w14:textId="77777777">
        <w:trPr>
          <w:tblHeader/>
          <w:tblCellSpacing w:w="15" w:type="dxa"/>
        </w:trPr>
        <w:tc>
          <w:tcPr>
            <w:tcW w:w="0" w:type="auto"/>
            <w:vAlign w:val="center"/>
            <w:hideMark/>
          </w:tcPr>
          <w:p w14:paraId="75E65763" w14:textId="77777777" w:rsidR="007D7803" w:rsidRPr="007D7803" w:rsidRDefault="007D7803" w:rsidP="007D7803">
            <w:pPr>
              <w:spacing w:after="0" w:line="240" w:lineRule="auto"/>
              <w:jc w:val="center"/>
              <w:rPr>
                <w:rFonts w:ascii="Times New Roman" w:eastAsia="Times New Roman" w:hAnsi="Times New Roman" w:cs="Times New Roman"/>
                <w:b/>
                <w:bCs/>
                <w:kern w:val="0"/>
                <w14:ligatures w14:val="none"/>
              </w:rPr>
            </w:pPr>
            <w:r w:rsidRPr="007D7803">
              <w:rPr>
                <w:rFonts w:ascii="Times New Roman" w:eastAsia="Times New Roman" w:hAnsi="Times New Roman" w:cs="Times New Roman"/>
                <w:b/>
                <w:bCs/>
                <w:kern w:val="0"/>
                <w14:ligatures w14:val="none"/>
              </w:rPr>
              <w:t>Deck topic</w:t>
            </w:r>
          </w:p>
        </w:tc>
        <w:tc>
          <w:tcPr>
            <w:tcW w:w="0" w:type="auto"/>
            <w:vAlign w:val="center"/>
            <w:hideMark/>
          </w:tcPr>
          <w:p w14:paraId="20B377B0" w14:textId="77777777" w:rsidR="007D7803" w:rsidRPr="007D7803" w:rsidRDefault="007D7803" w:rsidP="007D7803">
            <w:pPr>
              <w:spacing w:after="0" w:line="240" w:lineRule="auto"/>
              <w:jc w:val="center"/>
              <w:rPr>
                <w:rFonts w:ascii="Times New Roman" w:eastAsia="Times New Roman" w:hAnsi="Times New Roman" w:cs="Times New Roman"/>
                <w:b/>
                <w:bCs/>
                <w:kern w:val="0"/>
                <w14:ligatures w14:val="none"/>
              </w:rPr>
            </w:pPr>
            <w:r w:rsidRPr="007D7803">
              <w:rPr>
                <w:rFonts w:ascii="Times New Roman" w:eastAsia="Times New Roman" w:hAnsi="Times New Roman" w:cs="Times New Roman"/>
                <w:b/>
                <w:bCs/>
                <w:kern w:val="0"/>
                <w14:ligatures w14:val="none"/>
              </w:rPr>
              <w:t>File refs</w:t>
            </w:r>
          </w:p>
        </w:tc>
      </w:tr>
      <w:tr w:rsidR="007D7803" w:rsidRPr="007D7803" w14:paraId="08E530E9" w14:textId="77777777">
        <w:trPr>
          <w:tblCellSpacing w:w="15" w:type="dxa"/>
        </w:trPr>
        <w:tc>
          <w:tcPr>
            <w:tcW w:w="0" w:type="auto"/>
            <w:vAlign w:val="center"/>
            <w:hideMark/>
          </w:tcPr>
          <w:p w14:paraId="3D482320"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Isolation Forest specifically</w:t>
            </w:r>
          </w:p>
        </w:tc>
        <w:tc>
          <w:tcPr>
            <w:tcW w:w="0" w:type="auto"/>
            <w:vAlign w:val="center"/>
            <w:hideMark/>
          </w:tcPr>
          <w:p w14:paraId="13784B15"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15 (§7.3)</w:t>
            </w:r>
          </w:p>
        </w:tc>
      </w:tr>
      <w:tr w:rsidR="007D7803" w:rsidRPr="007D7803" w14:paraId="63687F3E" w14:textId="77777777">
        <w:trPr>
          <w:tblCellSpacing w:w="15" w:type="dxa"/>
        </w:trPr>
        <w:tc>
          <w:tcPr>
            <w:tcW w:w="0" w:type="auto"/>
            <w:vAlign w:val="center"/>
            <w:hideMark/>
          </w:tcPr>
          <w:p w14:paraId="5B920AAC"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Kalman Filter specifically</w:t>
            </w:r>
          </w:p>
        </w:tc>
        <w:tc>
          <w:tcPr>
            <w:tcW w:w="0" w:type="auto"/>
            <w:vAlign w:val="center"/>
            <w:hideMark/>
          </w:tcPr>
          <w:p w14:paraId="0CB052E3"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33 (§7.2)</w:t>
            </w:r>
          </w:p>
        </w:tc>
      </w:tr>
      <w:tr w:rsidR="007D7803" w:rsidRPr="007D7803" w14:paraId="5BA3C602" w14:textId="77777777">
        <w:trPr>
          <w:tblCellSpacing w:w="15" w:type="dxa"/>
        </w:trPr>
        <w:tc>
          <w:tcPr>
            <w:tcW w:w="0" w:type="auto"/>
            <w:vAlign w:val="center"/>
            <w:hideMark/>
          </w:tcPr>
          <w:p w14:paraId="3AE650E1"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SARIMAX specifically</w:t>
            </w:r>
          </w:p>
        </w:tc>
        <w:tc>
          <w:tcPr>
            <w:tcW w:w="0" w:type="auto"/>
            <w:vAlign w:val="center"/>
            <w:hideMark/>
          </w:tcPr>
          <w:p w14:paraId="30B99C09"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49 (§7.1)</w:t>
            </w:r>
          </w:p>
        </w:tc>
      </w:tr>
      <w:tr w:rsidR="007D7803" w:rsidRPr="007D7803" w14:paraId="09E58339" w14:textId="77777777">
        <w:trPr>
          <w:tblCellSpacing w:w="15" w:type="dxa"/>
        </w:trPr>
        <w:tc>
          <w:tcPr>
            <w:tcW w:w="0" w:type="auto"/>
            <w:vAlign w:val="center"/>
            <w:hideMark/>
          </w:tcPr>
          <w:p w14:paraId="34F0122B"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TSAD broadly (incl. autoencoders, transformers, DBSCAN, robust stats)</w:t>
            </w:r>
          </w:p>
        </w:tc>
        <w:tc>
          <w:tcPr>
            <w:tcW w:w="0" w:type="auto"/>
            <w:vAlign w:val="center"/>
            <w:hideMark/>
          </w:tcPr>
          <w:p w14:paraId="78F5D47C"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32 (§7.7) + 13 (§7.4)</w:t>
            </w:r>
          </w:p>
        </w:tc>
      </w:tr>
      <w:tr w:rsidR="007D7803" w:rsidRPr="007D7803" w14:paraId="5BC58820" w14:textId="77777777">
        <w:trPr>
          <w:tblCellSpacing w:w="15" w:type="dxa"/>
        </w:trPr>
        <w:tc>
          <w:tcPr>
            <w:tcW w:w="0" w:type="auto"/>
            <w:vAlign w:val="center"/>
            <w:hideMark/>
          </w:tcPr>
          <w:p w14:paraId="44E7E405"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Hydrological forecasting broadly (LSTM, hybrid, operational)</w:t>
            </w:r>
          </w:p>
        </w:tc>
        <w:tc>
          <w:tcPr>
            <w:tcW w:w="0" w:type="auto"/>
            <w:vAlign w:val="center"/>
            <w:hideMark/>
          </w:tcPr>
          <w:p w14:paraId="0F236425"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33 (§7.6)</w:t>
            </w:r>
          </w:p>
        </w:tc>
      </w:tr>
      <w:tr w:rsidR="007D7803" w:rsidRPr="007D7803" w14:paraId="3C9494FE" w14:textId="77777777">
        <w:trPr>
          <w:tblCellSpacing w:w="15" w:type="dxa"/>
        </w:trPr>
        <w:tc>
          <w:tcPr>
            <w:tcW w:w="0" w:type="auto"/>
            <w:vAlign w:val="center"/>
            <w:hideMark/>
          </w:tcPr>
          <w:p w14:paraId="440425AA"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Forecast verification &amp; UQ (CRPS, Brier, ROC, GLUE…)</w:t>
            </w:r>
          </w:p>
        </w:tc>
        <w:tc>
          <w:tcPr>
            <w:tcW w:w="0" w:type="auto"/>
            <w:vAlign w:val="center"/>
            <w:hideMark/>
          </w:tcPr>
          <w:p w14:paraId="6E25D621"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56 (§8.6–8.9)</w:t>
            </w:r>
          </w:p>
        </w:tc>
      </w:tr>
      <w:tr w:rsidR="007D7803" w:rsidRPr="007D7803" w14:paraId="05E83AF5" w14:textId="77777777">
        <w:trPr>
          <w:tblCellSpacing w:w="15" w:type="dxa"/>
        </w:trPr>
        <w:tc>
          <w:tcPr>
            <w:tcW w:w="0" w:type="auto"/>
            <w:vAlign w:val="center"/>
            <w:hideMark/>
          </w:tcPr>
          <w:p w14:paraId="2B24A86B"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July 2021 — Belgian Vesdre / Ourthe / Amblève</w:t>
            </w:r>
          </w:p>
        </w:tc>
        <w:tc>
          <w:tcPr>
            <w:tcW w:w="0" w:type="auto"/>
            <w:vAlign w:val="center"/>
            <w:hideMark/>
          </w:tcPr>
          <w:p w14:paraId="385DEA09"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6 (§4.3)</w:t>
            </w:r>
          </w:p>
        </w:tc>
      </w:tr>
      <w:tr w:rsidR="007D7803" w:rsidRPr="007D7803" w14:paraId="748894F6" w14:textId="77777777">
        <w:trPr>
          <w:tblCellSpacing w:w="15" w:type="dxa"/>
        </w:trPr>
        <w:tc>
          <w:tcPr>
            <w:tcW w:w="0" w:type="auto"/>
            <w:vAlign w:val="center"/>
            <w:hideMark/>
          </w:tcPr>
          <w:p w14:paraId="392A7AC2"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lastRenderedPageBreak/>
              <w:t>July 2021 — German Ahr / Erft / Inde / Roer</w:t>
            </w:r>
          </w:p>
        </w:tc>
        <w:tc>
          <w:tcPr>
            <w:tcW w:w="0" w:type="auto"/>
            <w:vAlign w:val="center"/>
            <w:hideMark/>
          </w:tcPr>
          <w:p w14:paraId="2DB42F55"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12 (§4.4)</w:t>
            </w:r>
          </w:p>
        </w:tc>
      </w:tr>
      <w:tr w:rsidR="007D7803" w:rsidRPr="007D7803" w14:paraId="528863E6" w14:textId="77777777">
        <w:trPr>
          <w:tblCellSpacing w:w="15" w:type="dxa"/>
        </w:trPr>
        <w:tc>
          <w:tcPr>
            <w:tcW w:w="0" w:type="auto"/>
            <w:vAlign w:val="center"/>
            <w:hideMark/>
          </w:tcPr>
          <w:p w14:paraId="36C78D57"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July 2021 — Dutch Geul / Roer / Limburg</w:t>
            </w:r>
          </w:p>
        </w:tc>
        <w:tc>
          <w:tcPr>
            <w:tcW w:w="0" w:type="auto"/>
            <w:vAlign w:val="center"/>
            <w:hideMark/>
          </w:tcPr>
          <w:p w14:paraId="208612B5"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4 (§4.5) + 1 URL</w:t>
            </w:r>
          </w:p>
        </w:tc>
      </w:tr>
      <w:tr w:rsidR="007D7803" w:rsidRPr="007D7803" w14:paraId="3CD607CD" w14:textId="77777777">
        <w:trPr>
          <w:tblCellSpacing w:w="15" w:type="dxa"/>
        </w:trPr>
        <w:tc>
          <w:tcPr>
            <w:tcW w:w="0" w:type="auto"/>
            <w:vAlign w:val="center"/>
            <w:hideMark/>
          </w:tcPr>
          <w:p w14:paraId="556D4698"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July 2021 — climate attribution</w:t>
            </w:r>
          </w:p>
        </w:tc>
        <w:tc>
          <w:tcPr>
            <w:tcW w:w="0" w:type="auto"/>
            <w:vAlign w:val="center"/>
            <w:hideMark/>
          </w:tcPr>
          <w:p w14:paraId="5C3A1F77"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2 (§4.6)</w:t>
            </w:r>
          </w:p>
        </w:tc>
      </w:tr>
      <w:tr w:rsidR="007D7803" w:rsidRPr="007D7803" w14:paraId="44C1E0D4" w14:textId="77777777">
        <w:trPr>
          <w:tblCellSpacing w:w="15" w:type="dxa"/>
        </w:trPr>
        <w:tc>
          <w:tcPr>
            <w:tcW w:w="0" w:type="auto"/>
            <w:vAlign w:val="center"/>
            <w:hideMark/>
          </w:tcPr>
          <w:p w14:paraId="79F608B4"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July 2021 — warning chain &amp; impacts</w:t>
            </w:r>
          </w:p>
        </w:tc>
        <w:tc>
          <w:tcPr>
            <w:tcW w:w="0" w:type="auto"/>
            <w:vAlign w:val="center"/>
            <w:hideMark/>
          </w:tcPr>
          <w:p w14:paraId="6EB8DB4C"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4 (§4.7)</w:t>
            </w:r>
          </w:p>
        </w:tc>
      </w:tr>
      <w:tr w:rsidR="007D7803" w:rsidRPr="007D7803" w14:paraId="6BD4B2E3" w14:textId="77777777">
        <w:trPr>
          <w:tblCellSpacing w:w="15" w:type="dxa"/>
        </w:trPr>
        <w:tc>
          <w:tcPr>
            <w:tcW w:w="0" w:type="auto"/>
            <w:vAlign w:val="center"/>
            <w:hideMark/>
          </w:tcPr>
          <w:p w14:paraId="5CDB0659"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Meuse hydrology — foundational</w:t>
            </w:r>
          </w:p>
        </w:tc>
        <w:tc>
          <w:tcPr>
            <w:tcW w:w="0" w:type="auto"/>
            <w:vAlign w:val="center"/>
            <w:hideMark/>
          </w:tcPr>
          <w:p w14:paraId="598F5C4C"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44 (§1.1)</w:t>
            </w:r>
          </w:p>
        </w:tc>
      </w:tr>
      <w:tr w:rsidR="007D7803" w:rsidRPr="007D7803" w14:paraId="430EDC65" w14:textId="77777777">
        <w:trPr>
          <w:tblCellSpacing w:w="15" w:type="dxa"/>
        </w:trPr>
        <w:tc>
          <w:tcPr>
            <w:tcW w:w="0" w:type="auto"/>
            <w:vAlign w:val="center"/>
            <w:hideMark/>
          </w:tcPr>
          <w:p w14:paraId="59DFA227"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Meuse climate-change projections</w:t>
            </w:r>
          </w:p>
        </w:tc>
        <w:tc>
          <w:tcPr>
            <w:tcW w:w="0" w:type="auto"/>
            <w:vAlign w:val="center"/>
            <w:hideMark/>
          </w:tcPr>
          <w:p w14:paraId="735C9D63"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13 (§1.2)</w:t>
            </w:r>
          </w:p>
        </w:tc>
      </w:tr>
      <w:tr w:rsidR="007D7803" w:rsidRPr="007D7803" w14:paraId="3E3A97F0" w14:textId="77777777">
        <w:trPr>
          <w:tblCellSpacing w:w="15" w:type="dxa"/>
        </w:trPr>
        <w:tc>
          <w:tcPr>
            <w:tcW w:w="0" w:type="auto"/>
            <w:vAlign w:val="center"/>
            <w:hideMark/>
          </w:tcPr>
          <w:p w14:paraId="2C29EB14"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Meuse hydrological modelling (HBV / wflow / SWAT)</w:t>
            </w:r>
          </w:p>
        </w:tc>
        <w:tc>
          <w:tcPr>
            <w:tcW w:w="0" w:type="auto"/>
            <w:vAlign w:val="center"/>
            <w:hideMark/>
          </w:tcPr>
          <w:p w14:paraId="5F2C36AE"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7 (§1.4) + 4 URLs</w:t>
            </w:r>
          </w:p>
        </w:tc>
      </w:tr>
      <w:tr w:rsidR="007D7803" w:rsidRPr="007D7803" w14:paraId="38F0FDBB" w14:textId="77777777">
        <w:trPr>
          <w:tblCellSpacing w:w="15" w:type="dxa"/>
        </w:trPr>
        <w:tc>
          <w:tcPr>
            <w:tcW w:w="0" w:type="auto"/>
            <w:vAlign w:val="center"/>
            <w:hideMark/>
          </w:tcPr>
          <w:p w14:paraId="68E3AD26"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Meuse tributaries (Ourthe / Lesse / Vesdre / Geul / Inde…)</w:t>
            </w:r>
          </w:p>
        </w:tc>
        <w:tc>
          <w:tcPr>
            <w:tcW w:w="0" w:type="auto"/>
            <w:vAlign w:val="center"/>
            <w:hideMark/>
          </w:tcPr>
          <w:p w14:paraId="01767847"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18 (§1.5)</w:t>
            </w:r>
          </w:p>
        </w:tc>
      </w:tr>
      <w:tr w:rsidR="007D7803" w:rsidRPr="007D7803" w14:paraId="1DEF134C" w14:textId="77777777">
        <w:trPr>
          <w:tblCellSpacing w:w="15" w:type="dxa"/>
        </w:trPr>
        <w:tc>
          <w:tcPr>
            <w:tcW w:w="0" w:type="auto"/>
            <w:vAlign w:val="center"/>
            <w:hideMark/>
          </w:tcPr>
          <w:p w14:paraId="1042C2C8"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Data portals &amp; reanalyses (Visualcrossing alternatives)</w:t>
            </w:r>
          </w:p>
        </w:tc>
        <w:tc>
          <w:tcPr>
            <w:tcW w:w="0" w:type="auto"/>
            <w:vAlign w:val="center"/>
            <w:hideMark/>
          </w:tcPr>
          <w:p w14:paraId="6C373B69"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16 (§6.6) + 3 URLs</w:t>
            </w:r>
          </w:p>
        </w:tc>
      </w:tr>
      <w:tr w:rsidR="007D7803" w:rsidRPr="007D7803" w14:paraId="09610B41" w14:textId="77777777">
        <w:trPr>
          <w:tblCellSpacing w:w="15" w:type="dxa"/>
        </w:trPr>
        <w:tc>
          <w:tcPr>
            <w:tcW w:w="0" w:type="auto"/>
            <w:vAlign w:val="center"/>
            <w:hideMark/>
          </w:tcPr>
          <w:p w14:paraId="77C41084"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Compound events (would be relevant if CO₂-flood is reframed as compound)</w:t>
            </w:r>
          </w:p>
        </w:tc>
        <w:tc>
          <w:tcPr>
            <w:tcW w:w="0" w:type="auto"/>
            <w:vAlign w:val="center"/>
            <w:hideMark/>
          </w:tcPr>
          <w:p w14:paraId="37BA83DA"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48 (§8.1)</w:t>
            </w:r>
          </w:p>
        </w:tc>
      </w:tr>
      <w:tr w:rsidR="007D7803" w:rsidRPr="007D7803" w14:paraId="079EA26F" w14:textId="77777777">
        <w:trPr>
          <w:tblCellSpacing w:w="15" w:type="dxa"/>
        </w:trPr>
        <w:tc>
          <w:tcPr>
            <w:tcW w:w="0" w:type="auto"/>
            <w:vAlign w:val="center"/>
            <w:hideMark/>
          </w:tcPr>
          <w:p w14:paraId="6AF973E8"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Non-stationarity &amp; EVT (the "how unusual was 2021" question)</w:t>
            </w:r>
          </w:p>
        </w:tc>
        <w:tc>
          <w:tcPr>
            <w:tcW w:w="0" w:type="auto"/>
            <w:vAlign w:val="center"/>
            <w:hideMark/>
          </w:tcPr>
          <w:p w14:paraId="7EE08D6E"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30 (§8.2 + §8.3)</w:t>
            </w:r>
          </w:p>
        </w:tc>
      </w:tr>
      <w:tr w:rsidR="007D7803" w:rsidRPr="007D7803" w14:paraId="792DAC9E" w14:textId="77777777">
        <w:trPr>
          <w:tblCellSpacing w:w="15" w:type="dxa"/>
        </w:trPr>
        <w:tc>
          <w:tcPr>
            <w:tcW w:w="0" w:type="auto"/>
            <w:vAlign w:val="center"/>
            <w:hideMark/>
          </w:tcPr>
          <w:p w14:paraId="6BCA3E55"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Viefhues / Eryilmaz / CO₂-as-flood-precursor</w:t>
            </w:r>
          </w:p>
        </w:tc>
        <w:tc>
          <w:tcPr>
            <w:tcW w:w="0" w:type="auto"/>
            <w:vAlign w:val="center"/>
            <w:hideMark/>
          </w:tcPr>
          <w:p w14:paraId="48C6440E"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0</w:t>
            </w:r>
          </w:p>
        </w:tc>
      </w:tr>
      <w:tr w:rsidR="007D7803" w:rsidRPr="007D7803" w14:paraId="0A7975A5" w14:textId="77777777">
        <w:trPr>
          <w:tblCellSpacing w:w="15" w:type="dxa"/>
        </w:trPr>
        <w:tc>
          <w:tcPr>
            <w:tcW w:w="0" w:type="auto"/>
            <w:vAlign w:val="center"/>
            <w:hideMark/>
          </w:tcPr>
          <w:p w14:paraId="684419F0"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Kerkrade specifically</w:t>
            </w:r>
          </w:p>
        </w:tc>
        <w:tc>
          <w:tcPr>
            <w:tcW w:w="0" w:type="auto"/>
            <w:vAlign w:val="center"/>
            <w:hideMark/>
          </w:tcPr>
          <w:p w14:paraId="17A405A6"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0</w:t>
            </w:r>
          </w:p>
        </w:tc>
      </w:tr>
      <w:tr w:rsidR="007D7803" w:rsidRPr="007D7803" w14:paraId="3832F121" w14:textId="77777777">
        <w:trPr>
          <w:tblCellSpacing w:w="15" w:type="dxa"/>
        </w:trPr>
        <w:tc>
          <w:tcPr>
            <w:tcW w:w="0" w:type="auto"/>
            <w:vAlign w:val="center"/>
            <w:hideMark/>
          </w:tcPr>
          <w:p w14:paraId="70A2E13A"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EM-DAT</w:t>
            </w:r>
          </w:p>
        </w:tc>
        <w:tc>
          <w:tcPr>
            <w:tcW w:w="0" w:type="auto"/>
            <w:vAlign w:val="center"/>
            <w:hideMark/>
          </w:tcPr>
          <w:p w14:paraId="33A7674E" w14:textId="77777777" w:rsidR="007D7803" w:rsidRPr="007D7803" w:rsidRDefault="007D7803" w:rsidP="007D7803">
            <w:pPr>
              <w:spacing w:after="0"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b/>
                <w:bCs/>
                <w:kern w:val="0"/>
                <w14:ligatures w14:val="none"/>
              </w:rPr>
              <w:t>0</w:t>
            </w:r>
          </w:p>
        </w:tc>
      </w:tr>
    </w:tbl>
    <w:p w14:paraId="15595802" w14:textId="77777777" w:rsidR="007D7803" w:rsidRPr="007D7803" w:rsidRDefault="007D7803" w:rsidP="007D7803">
      <w:pPr>
        <w:spacing w:before="100" w:beforeAutospacing="1" w:after="100" w:afterAutospacing="1" w:line="240" w:lineRule="auto"/>
        <w:rPr>
          <w:rFonts w:ascii="Times New Roman" w:eastAsia="Times New Roman" w:hAnsi="Times New Roman" w:cs="Times New Roman"/>
          <w:kern w:val="0"/>
          <w14:ligatures w14:val="none"/>
        </w:rPr>
      </w:pPr>
      <w:r w:rsidRPr="007D7803">
        <w:rPr>
          <w:rFonts w:ascii="Times New Roman" w:eastAsia="Times New Roman" w:hAnsi="Times New Roman" w:cs="Times New Roman"/>
          <w:kern w:val="0"/>
          <w14:ligatures w14:val="none"/>
        </w:rPr>
        <w:t xml:space="preserve">Total deck-relevant references in Files: roughly </w:t>
      </w:r>
      <w:r w:rsidRPr="007D7803">
        <w:rPr>
          <w:rFonts w:ascii="Times New Roman" w:eastAsia="Times New Roman" w:hAnsi="Times New Roman" w:cs="Times New Roman"/>
          <w:b/>
          <w:bCs/>
          <w:kern w:val="0"/>
          <w14:ligatures w14:val="none"/>
        </w:rPr>
        <w:t>400 of 690</w:t>
      </w:r>
      <w:r w:rsidRPr="007D7803">
        <w:rPr>
          <w:rFonts w:ascii="Times New Roman" w:eastAsia="Times New Roman" w:hAnsi="Times New Roman" w:cs="Times New Roman"/>
          <w:kern w:val="0"/>
          <w14:ligatures w14:val="none"/>
        </w:rPr>
        <w:t xml:space="preserve">, concentrated heavily in methods (Section 7) and 2021 (Section 4). Total deck-relevant references the deck currently cites: </w:t>
      </w:r>
      <w:r w:rsidRPr="007D7803">
        <w:rPr>
          <w:rFonts w:ascii="Times New Roman" w:eastAsia="Times New Roman" w:hAnsi="Times New Roman" w:cs="Times New Roman"/>
          <w:b/>
          <w:bCs/>
          <w:kern w:val="0"/>
          <w14:ligatures w14:val="none"/>
        </w:rPr>
        <w:t>2</w:t>
      </w:r>
      <w:r w:rsidRPr="007D7803">
        <w:rPr>
          <w:rFonts w:ascii="Times New Roman" w:eastAsia="Times New Roman" w:hAnsi="Times New Roman" w:cs="Times New Roman"/>
          <w:kern w:val="0"/>
          <w14:ligatures w14:val="none"/>
        </w:rPr>
        <w:t xml:space="preserve"> (Viefhues; Eryilmaz). The gap between these two numbers is the work this juxtaposition has been describing.</w:t>
      </w:r>
    </w:p>
    <w:p w14:paraId="5C9BD3C0" w14:textId="77777777" w:rsidR="00D513A1" w:rsidRDefault="00D513A1"/>
    <w:sectPr w:rsidR="00D51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DB4"/>
    <w:multiLevelType w:val="multilevel"/>
    <w:tmpl w:val="091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1DF3"/>
    <w:multiLevelType w:val="multilevel"/>
    <w:tmpl w:val="737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5DB5"/>
    <w:multiLevelType w:val="multilevel"/>
    <w:tmpl w:val="84FE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14FD1"/>
    <w:multiLevelType w:val="multilevel"/>
    <w:tmpl w:val="817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3162"/>
    <w:multiLevelType w:val="multilevel"/>
    <w:tmpl w:val="55B8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863A8"/>
    <w:multiLevelType w:val="multilevel"/>
    <w:tmpl w:val="CC4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52D53"/>
    <w:multiLevelType w:val="multilevel"/>
    <w:tmpl w:val="2288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D1410"/>
    <w:multiLevelType w:val="multilevel"/>
    <w:tmpl w:val="C072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17B64"/>
    <w:multiLevelType w:val="multilevel"/>
    <w:tmpl w:val="F8C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749EB"/>
    <w:multiLevelType w:val="multilevel"/>
    <w:tmpl w:val="FE4E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5C1B61"/>
    <w:multiLevelType w:val="multilevel"/>
    <w:tmpl w:val="3C4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1692D"/>
    <w:multiLevelType w:val="multilevel"/>
    <w:tmpl w:val="7AD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C6F10"/>
    <w:multiLevelType w:val="multilevel"/>
    <w:tmpl w:val="27C8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E03D1"/>
    <w:multiLevelType w:val="multilevel"/>
    <w:tmpl w:val="438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E367D"/>
    <w:multiLevelType w:val="multilevel"/>
    <w:tmpl w:val="20B4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600963"/>
    <w:multiLevelType w:val="multilevel"/>
    <w:tmpl w:val="889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C07DE"/>
    <w:multiLevelType w:val="multilevel"/>
    <w:tmpl w:val="DC1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A4ED0"/>
    <w:multiLevelType w:val="multilevel"/>
    <w:tmpl w:val="6CC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91D08"/>
    <w:multiLevelType w:val="multilevel"/>
    <w:tmpl w:val="F0C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B35433"/>
    <w:multiLevelType w:val="multilevel"/>
    <w:tmpl w:val="DD78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80597"/>
    <w:multiLevelType w:val="multilevel"/>
    <w:tmpl w:val="649A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948E4"/>
    <w:multiLevelType w:val="multilevel"/>
    <w:tmpl w:val="493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92039"/>
    <w:multiLevelType w:val="multilevel"/>
    <w:tmpl w:val="C6B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56349"/>
    <w:multiLevelType w:val="multilevel"/>
    <w:tmpl w:val="7C9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19923">
    <w:abstractNumId w:val="13"/>
  </w:num>
  <w:num w:numId="2" w16cid:durableId="2011523654">
    <w:abstractNumId w:val="14"/>
  </w:num>
  <w:num w:numId="3" w16cid:durableId="1850564036">
    <w:abstractNumId w:val="19"/>
  </w:num>
  <w:num w:numId="4" w16cid:durableId="127359617">
    <w:abstractNumId w:val="22"/>
  </w:num>
  <w:num w:numId="5" w16cid:durableId="160387637">
    <w:abstractNumId w:val="11"/>
  </w:num>
  <w:num w:numId="6" w16cid:durableId="1256282453">
    <w:abstractNumId w:val="0"/>
  </w:num>
  <w:num w:numId="7" w16cid:durableId="1105423303">
    <w:abstractNumId w:val="15"/>
  </w:num>
  <w:num w:numId="8" w16cid:durableId="802649859">
    <w:abstractNumId w:val="20"/>
  </w:num>
  <w:num w:numId="9" w16cid:durableId="1018123042">
    <w:abstractNumId w:val="3"/>
  </w:num>
  <w:num w:numId="10" w16cid:durableId="817378441">
    <w:abstractNumId w:val="5"/>
  </w:num>
  <w:num w:numId="11" w16cid:durableId="2086951221">
    <w:abstractNumId w:val="8"/>
  </w:num>
  <w:num w:numId="12" w16cid:durableId="1450509400">
    <w:abstractNumId w:val="1"/>
  </w:num>
  <w:num w:numId="13" w16cid:durableId="1466509789">
    <w:abstractNumId w:val="10"/>
  </w:num>
  <w:num w:numId="14" w16cid:durableId="1136991629">
    <w:abstractNumId w:val="12"/>
  </w:num>
  <w:num w:numId="15" w16cid:durableId="471753204">
    <w:abstractNumId w:val="16"/>
  </w:num>
  <w:num w:numId="16" w16cid:durableId="1639990755">
    <w:abstractNumId w:val="2"/>
  </w:num>
  <w:num w:numId="17" w16cid:durableId="735670477">
    <w:abstractNumId w:val="17"/>
  </w:num>
  <w:num w:numId="18" w16cid:durableId="1209099721">
    <w:abstractNumId w:val="9"/>
  </w:num>
  <w:num w:numId="19" w16cid:durableId="159153920">
    <w:abstractNumId w:val="4"/>
  </w:num>
  <w:num w:numId="20" w16cid:durableId="916213131">
    <w:abstractNumId w:val="23"/>
  </w:num>
  <w:num w:numId="21" w16cid:durableId="1178425958">
    <w:abstractNumId w:val="6"/>
  </w:num>
  <w:num w:numId="22" w16cid:durableId="2022319970">
    <w:abstractNumId w:val="21"/>
  </w:num>
  <w:num w:numId="23" w16cid:durableId="319433575">
    <w:abstractNumId w:val="7"/>
  </w:num>
  <w:num w:numId="24" w16cid:durableId="17521159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03"/>
    <w:rsid w:val="007C1183"/>
    <w:rsid w:val="007D7803"/>
    <w:rsid w:val="00B82FEA"/>
    <w:rsid w:val="00CE7CA9"/>
    <w:rsid w:val="00CF704B"/>
    <w:rsid w:val="00D5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3EC3"/>
  <w15:chartTrackingRefBased/>
  <w15:docId w15:val="{5B352635-6181-7C4A-9CFF-29C1D3DB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7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03"/>
    <w:rPr>
      <w:rFonts w:eastAsiaTheme="majorEastAsia" w:cstheme="majorBidi"/>
      <w:color w:val="272727" w:themeColor="text1" w:themeTint="D8"/>
    </w:rPr>
  </w:style>
  <w:style w:type="paragraph" w:styleId="Title">
    <w:name w:val="Title"/>
    <w:basedOn w:val="Normal"/>
    <w:next w:val="Normal"/>
    <w:link w:val="TitleChar"/>
    <w:uiPriority w:val="10"/>
    <w:qFormat/>
    <w:rsid w:val="007D7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03"/>
    <w:pPr>
      <w:spacing w:before="160"/>
      <w:jc w:val="center"/>
    </w:pPr>
    <w:rPr>
      <w:i/>
      <w:iCs/>
      <w:color w:val="404040" w:themeColor="text1" w:themeTint="BF"/>
    </w:rPr>
  </w:style>
  <w:style w:type="character" w:customStyle="1" w:styleId="QuoteChar">
    <w:name w:val="Quote Char"/>
    <w:basedOn w:val="DefaultParagraphFont"/>
    <w:link w:val="Quote"/>
    <w:uiPriority w:val="29"/>
    <w:rsid w:val="007D7803"/>
    <w:rPr>
      <w:i/>
      <w:iCs/>
      <w:color w:val="404040" w:themeColor="text1" w:themeTint="BF"/>
    </w:rPr>
  </w:style>
  <w:style w:type="paragraph" w:styleId="ListParagraph">
    <w:name w:val="List Paragraph"/>
    <w:basedOn w:val="Normal"/>
    <w:uiPriority w:val="34"/>
    <w:qFormat/>
    <w:rsid w:val="007D7803"/>
    <w:pPr>
      <w:ind w:left="720"/>
      <w:contextualSpacing/>
    </w:pPr>
  </w:style>
  <w:style w:type="character" w:styleId="IntenseEmphasis">
    <w:name w:val="Intense Emphasis"/>
    <w:basedOn w:val="DefaultParagraphFont"/>
    <w:uiPriority w:val="21"/>
    <w:qFormat/>
    <w:rsid w:val="007D7803"/>
    <w:rPr>
      <w:i/>
      <w:iCs/>
      <w:color w:val="0F4761" w:themeColor="accent1" w:themeShade="BF"/>
    </w:rPr>
  </w:style>
  <w:style w:type="paragraph" w:styleId="IntenseQuote">
    <w:name w:val="Intense Quote"/>
    <w:basedOn w:val="Normal"/>
    <w:next w:val="Normal"/>
    <w:link w:val="IntenseQuoteChar"/>
    <w:uiPriority w:val="30"/>
    <w:qFormat/>
    <w:rsid w:val="007D7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803"/>
    <w:rPr>
      <w:i/>
      <w:iCs/>
      <w:color w:val="0F4761" w:themeColor="accent1" w:themeShade="BF"/>
    </w:rPr>
  </w:style>
  <w:style w:type="character" w:styleId="IntenseReference">
    <w:name w:val="Intense Reference"/>
    <w:basedOn w:val="DefaultParagraphFont"/>
    <w:uiPriority w:val="32"/>
    <w:qFormat/>
    <w:rsid w:val="007D7803"/>
    <w:rPr>
      <w:b/>
      <w:bCs/>
      <w:smallCaps/>
      <w:color w:val="0F4761" w:themeColor="accent1" w:themeShade="BF"/>
      <w:spacing w:val="5"/>
    </w:rPr>
  </w:style>
  <w:style w:type="character" w:styleId="Emphasis">
    <w:name w:val="Emphasis"/>
    <w:basedOn w:val="DefaultParagraphFont"/>
    <w:uiPriority w:val="20"/>
    <w:qFormat/>
    <w:rsid w:val="007D7803"/>
    <w:rPr>
      <w:i/>
      <w:iCs/>
    </w:rPr>
  </w:style>
  <w:style w:type="paragraph" w:styleId="NormalWeb">
    <w:name w:val="Normal (Web)"/>
    <w:basedOn w:val="Normal"/>
    <w:uiPriority w:val="99"/>
    <w:semiHidden/>
    <w:unhideWhenUsed/>
    <w:rsid w:val="007D78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78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4506</Words>
  <Characters>27989</Characters>
  <Application>Microsoft Office Word</Application>
  <DocSecurity>0</DocSecurity>
  <Lines>799</Lines>
  <Paragraphs>601</Paragraphs>
  <ScaleCrop>false</ScaleCrop>
  <Company/>
  <LinksUpToDate>false</LinksUpToDate>
  <CharactersWithSpaces>31894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GILLIKIN</dc:creator>
  <cp:keywords/>
  <dc:description/>
  <cp:lastModifiedBy>BRIAN GILLIKIN</cp:lastModifiedBy>
  <cp:revision>1</cp:revision>
  <dcterms:created xsi:type="dcterms:W3CDTF">2026-04-29T00:02:00Z</dcterms:created>
  <dcterms:modified xsi:type="dcterms:W3CDTF">2026-04-29T00:02:00Z</dcterms:modified>
</cp:coreProperties>
</file>