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7B8AA3C"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797B60">
        <w:t>,</w:t>
      </w:r>
      <w:r w:rsidR="009E3B5C">
        <w:t xml:space="preserve">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797B60">
        <w:t xml:space="preserve"> or the direction of light </w:t>
      </w:r>
      <w:r w:rsidR="00797B60">
        <w:fldChar w:fldCharType="begin" w:fldLock="1"/>
      </w:r>
      <w:r w:rsidR="00797B60">
        <w:instrText>ADDIN CSL_CITATION {"citationItems":[{"id":"ITEM-1","itemData":{"DOI":"10.1038/nn1312","ISBN":"1097-6256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neuroscience","id":"ITEM-1","issue":"10","issued":{"date-parts":[["2004"]]},"page":"1057-1058","title":"Experience can change the 'light-from-above' prior.","type":"article-journal","volume":"7"},"uris":["http://www.mendeley.com/documents/?uuid=d09f6cde-9e25-4331-8fe9-f3773fecc4c0"]}],"mendeley":{"formattedCitation":"(Adams, Graf, &amp; Ernst, 2004)","plainTextFormattedCitation":"(Adams, Graf, &amp; Ernst, 2004)"},"properties":{"noteIndex":0},"schema":"https://github.com/citation-style-language/schema/raw/master/csl-citation.json"}</w:instrText>
      </w:r>
      <w:r w:rsidR="00797B60">
        <w:fldChar w:fldCharType="separate"/>
      </w:r>
      <w:r w:rsidR="00797B60" w:rsidRPr="00797B60">
        <w:rPr>
          <w:noProof/>
        </w:rPr>
        <w:t>(Adams, Graf, &amp; Ernst, 2004)</w:t>
      </w:r>
      <w:r w:rsidR="00797B60">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1C85E510"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w:t>
      </w:r>
      <w:r w:rsidR="001D4959">
        <w:t xml:space="preserve">texture </w:t>
      </w:r>
      <w:r w:rsidR="00FE00F2">
        <w:t>of a tennis ball (texture) and the physical properties (</w:t>
      </w:r>
      <w:r w:rsidR="008C2054">
        <w:t xml:space="preserve">size, </w:t>
      </w:r>
      <w:r w:rsidR="00FE00F2">
        <w:t xml:space="preserve">mass, density, drag coefficient) of a tennis ball (Tennis ball, Congruent), the </w:t>
      </w:r>
      <w:r w:rsidR="001D4959">
        <w:t xml:space="preserve">texture </w:t>
      </w:r>
      <w:r w:rsidR="00FE00F2">
        <w:t xml:space="preserve">of a basketball and the physical properties of a basketball (Basketball, Congruent), the </w:t>
      </w:r>
      <w:r w:rsidR="00173434">
        <w:t xml:space="preserve">texture </w:t>
      </w:r>
      <w:r w:rsidR="00FE00F2">
        <w:t xml:space="preserve">of a tennis ball and the physical properties of a basketball (Tennis ball, Incongruent) or the </w:t>
      </w:r>
      <w:r w:rsidR="00FA3913">
        <w:t xml:space="preserve">texture </w:t>
      </w:r>
      <w:r w:rsidR="00FE00F2">
        <w:t xml:space="preserve">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836352">
        <w:t xml:space="preserve"> for the Tennis Ball, Congruent, without air drag conditions</w:t>
      </w:r>
      <w:r w:rsidR="002F519B">
        <w:t xml:space="preserve"> and ranged between 4.9035 and 6.8649 m/s</w:t>
      </w:r>
      <w:r w:rsidR="0006438B">
        <w:t>.</w:t>
      </w:r>
      <w:r w:rsidR="00836352">
        <w:t xml:space="preserve"> We matched the initial vertical velocities for the other conditions, which lead to slight differences in overall flight duration (0.98 to 1.0 s; 1.17 to 1.2 s; 1.352 to 1.4 s) and horizontal length of the trajectory.</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w:t>
      </w:r>
      <w:r w:rsidR="00C10AA1" w:rsidRPr="00797B60">
        <w:rPr>
          <w:rFonts w:eastAsiaTheme="minorEastAsia"/>
          <w:i/>
          <w:iCs/>
        </w:rPr>
        <w:t>m</w:t>
      </w:r>
      <w:r w:rsidR="00C10AA1">
        <w:rPr>
          <w:rFonts w:eastAsiaTheme="minorEastAsia"/>
        </w:rPr>
        <w:t xml:space="preserve"> is the mass of the object (0.06 kg for the tennis ball and 0.6 kg for the basketball).</w:t>
      </w:r>
    </w:p>
    <w:p w14:paraId="5D1C1A1E" w14:textId="77777777" w:rsidR="00047573" w:rsidRDefault="00047573" w:rsidP="00047573">
      <w:pPr>
        <w:pStyle w:val="Heading2"/>
      </w:pPr>
      <w:commentRangeStart w:id="3"/>
      <w:r>
        <w:rPr>
          <w:noProof/>
        </w:rPr>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3"/>
      <w:r w:rsidR="001B67E1">
        <w:rPr>
          <w:rStyle w:val="CommentReference"/>
          <w:rFonts w:asciiTheme="minorHAnsi" w:eastAsiaTheme="minorHAnsi" w:hAnsiTheme="minorHAnsi" w:cstheme="minorBidi"/>
          <w:color w:val="auto"/>
        </w:rPr>
        <w:commentReference w:id="3"/>
      </w:r>
    </w:p>
    <w:p w14:paraId="0D7BA975" w14:textId="7BF34E60" w:rsidR="009F4A02" w:rsidRDefault="00047573" w:rsidP="00047573">
      <w:pPr>
        <w:pStyle w:val="Caption"/>
      </w:pPr>
      <w:r>
        <w:t xml:space="preserve">Figure </w:t>
      </w:r>
      <w:fldSimple w:instr=" SEQ Figure \* ARABIC ">
        <w:r w:rsidR="007E51E7">
          <w:rPr>
            <w:noProof/>
          </w:rPr>
          <w:t>1</w:t>
        </w:r>
      </w:fldSimple>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77777777" w:rsidR="00047573" w:rsidRPr="00047573" w:rsidRDefault="00047573" w:rsidP="00047573"/>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129A83B2" w:rsidR="004A25AA" w:rsidRDefault="009F4A02" w:rsidP="00EC2370">
      <w:pPr>
        <w:jc w:val="both"/>
      </w:pPr>
      <w:r>
        <w:t xml:space="preserve">We then removed those trials as outliers where the </w:t>
      </w:r>
      <w:r w:rsidR="00797B60">
        <w:t>Error Ratio</w:t>
      </w:r>
      <w:r>
        <w:t xml:space="preserve"> </w:t>
      </w:r>
      <w:r w:rsidR="00797B60">
        <w:t xml:space="preserve">was smaller than 0.25 or greater than 4. Here, we excluded 1180 of an initial 19200 trials, or 6.18 %. In a second step, </w:t>
      </w:r>
      <w:r w:rsidR="000E5B03">
        <w:t>w</w:t>
      </w:r>
      <w:r w:rsidR="00B47E32">
        <w:t>e removed those trials where either of the error ratios lay more than 1.5 times the interquartile distance above the upper quartile or below the lower quartile.</w:t>
      </w:r>
      <w:r w:rsidR="00797B60">
        <w:t xml:space="preserve"> This algorithm lead to a loss of </w:t>
      </w:r>
      <w:r w:rsidR="00E07821">
        <w:t xml:space="preserve">another </w:t>
      </w:r>
      <w:r w:rsidR="00E641E4">
        <w:t>977</w:t>
      </w:r>
      <w:r w:rsidR="00E07821">
        <w:t xml:space="preserve"> trials, or </w:t>
      </w:r>
      <w:r w:rsidR="00103BDD">
        <w:t>5.4</w:t>
      </w:r>
      <w:r w:rsidR="00E07821">
        <w:t> % of the remaining trials.</w:t>
      </w:r>
      <w:r w:rsidR="006F1E4D">
        <w:t xml:space="preserve">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r w:rsidR="00B86946">
        <w:t xml:space="preserve"> Linear Mixed Modelling allows to </w:t>
      </w:r>
      <w:r w:rsidR="00D57C5D">
        <w:t xml:space="preserve">estimate intercepts and regression coefficients across the whole population (“fixed effects”) or separately for sub-groups of the population (“random effects”). This allows us to separate between variability in responses </w:t>
      </w:r>
      <w:proofErr w:type="gramStart"/>
      <w:r w:rsidR="00D57C5D">
        <w:t>due to the effect</w:t>
      </w:r>
      <w:proofErr w:type="gramEnd"/>
      <w:r w:rsidR="00D57C5D">
        <w:t xml:space="preserve"> in question, and variability due to other sources, e. g. idiosyncrasies of each participant. Bayesian Linear Mixed Modelling extends this framework by estimating whole distributions for each fixed and random effect, thus allowing us to test </w:t>
      </w:r>
      <w:r w:rsidR="00D1708A">
        <w:t>for variability differences. It furthermore enables the application of priors, which we will not make us of in the present paper.</w:t>
      </w:r>
    </w:p>
    <w:p w14:paraId="323DD6DB" w14:textId="73B7DC28" w:rsidR="009D5335" w:rsidRDefault="009D5335" w:rsidP="00EC2370">
      <w:pPr>
        <w:jc w:val="both"/>
      </w:pPr>
      <w:r>
        <w:t xml:space="preserve">We test each hypothesis both temporally and spatially. For </w:t>
      </w:r>
      <w:r w:rsidRPr="00C64662">
        <w:rPr>
          <w:b/>
          <w:bCs/>
        </w:rPr>
        <w:t>Hypothesis 1</w:t>
      </w:r>
      <w:r>
        <w:t xml:space="preserve">, we expect humans to use their internalized knowledge of air drag in their habitual environment to predict object motion. Therefore, performance should be accurate for those trials where air drag is </w:t>
      </w:r>
      <w:proofErr w:type="gramStart"/>
      <w:r>
        <w:t>simulated</w:t>
      </w:r>
      <w:proofErr w:type="gramEnd"/>
      <w:r w:rsidR="00C64662">
        <w:t xml:space="preserve"> and systematic errors should be observed when the trajectory unfolds without the influence of air drag. </w:t>
      </w:r>
      <w:r>
        <w:t xml:space="preserve">In the temporal task, participants are expected to respond too late when no air drag is simulated in the visible part </w:t>
      </w:r>
      <w:r w:rsidR="00E16F8E">
        <w:t>of</w:t>
      </w:r>
      <w:r>
        <w:t xml:space="preserve"> the trajectory because air drag would slow the target down on its way from peak back to the initial level.</w:t>
      </w:r>
      <w:r w:rsidR="00C64662">
        <w:t xml:space="preserve"> (</w:t>
      </w:r>
      <w:r w:rsidR="00C64662" w:rsidRPr="00E16F8E">
        <w:rPr>
          <w:i/>
          <w:iCs/>
        </w:rPr>
        <w:t>Prediction 1a</w:t>
      </w:r>
      <w:r w:rsidR="00C64662">
        <w:t>). In the spatial task, participants should expect the ball to be slowed down by air drag, so we predict an undershoot in participant responses (</w:t>
      </w:r>
      <w:proofErr w:type="spellStart"/>
      <w:r w:rsidR="00C64662">
        <w:t>i</w:t>
      </w:r>
      <w:proofErr w:type="spellEnd"/>
      <w:r w:rsidR="00C64662">
        <w:t xml:space="preserve">. e. they place the object too far to the left; </w:t>
      </w:r>
      <w:r w:rsidR="00C64662" w:rsidRPr="00E16F8E">
        <w:rPr>
          <w:i/>
          <w:iCs/>
        </w:rPr>
        <w:t>Prediction 1b</w:t>
      </w:r>
      <w:r w:rsidR="00C64662">
        <w:t>).</w:t>
      </w:r>
    </w:p>
    <w:p w14:paraId="490EDBA9" w14:textId="25026E4A" w:rsidR="00E16F8E" w:rsidRDefault="00C64662" w:rsidP="0006438B">
      <w:pPr>
        <w:jc w:val="both"/>
      </w:pPr>
      <w:r>
        <w:t xml:space="preserve">For </w:t>
      </w:r>
      <w:r w:rsidRPr="00E16F8E">
        <w:rPr>
          <w:b/>
          <w:bCs/>
        </w:rPr>
        <w:t>Hypothesis 2</w:t>
      </w:r>
      <w:r>
        <w:t>, we expect the texture of the object to affect how participants extrapolate motion. For the target with tennis ball texture, but basketball size and mass</w:t>
      </w:r>
      <w:r w:rsidR="00E16F8E">
        <w:t xml:space="preserve"> (</w:t>
      </w:r>
      <w:r w:rsidR="008B6F26">
        <w:t>T</w:t>
      </w:r>
      <w:r w:rsidR="00E16F8E">
        <w:t xml:space="preserve">ennis, </w:t>
      </w:r>
      <w:r w:rsidR="008B6F26">
        <w:t>I</w:t>
      </w:r>
      <w:r w:rsidR="00E16F8E">
        <w:t>ncongruent)</w:t>
      </w:r>
      <w:r>
        <w:t xml:space="preserve">, participants should </w:t>
      </w:r>
      <w:r w:rsidR="00E16F8E">
        <w:t>respond slightly later than for the target with basketball texture and basketball size. For the target with basketball texture, but tennis ball size and mass, participant should respond slightly earlier than for the target with tennis ball texture and tennis ball size (</w:t>
      </w:r>
      <w:r w:rsidR="00E16F8E" w:rsidRPr="00E16F8E">
        <w:rPr>
          <w:i/>
          <w:iCs/>
        </w:rPr>
        <w:t>Prediction 2a</w:t>
      </w:r>
      <w:r w:rsidR="00E16F8E">
        <w:t>).</w:t>
      </w:r>
      <w:r w:rsidR="008B6F26">
        <w:t xml:space="preserve"> In the spatial domain, we expect participants to undershoot (</w:t>
      </w:r>
      <w:proofErr w:type="spellStart"/>
      <w:r w:rsidR="008B6F26">
        <w:t>i</w:t>
      </w:r>
      <w:proofErr w:type="spellEnd"/>
      <w:r w:rsidR="008B6F26">
        <w:t>. e. they perceive the point of impact too far to the left) for the Basketball, Incongruent target with regards to the Tennis Ball, Congruent, and an overshoot (</w:t>
      </w:r>
      <w:proofErr w:type="spellStart"/>
      <w:r w:rsidR="008B6F26">
        <w:t>i</w:t>
      </w:r>
      <w:proofErr w:type="spellEnd"/>
      <w:r w:rsidR="008B6F26">
        <w:t>. e. they perceive the point of impact too far to the right) for the Tennis Ball, Incongruent target with regards to the Basketball, Congruent target (</w:t>
      </w:r>
      <w:r w:rsidR="008B6F26">
        <w:rPr>
          <w:i/>
          <w:iCs/>
        </w:rPr>
        <w:t>P</w:t>
      </w:r>
      <w:r w:rsidR="008B6F26" w:rsidRPr="008B6F26">
        <w:rPr>
          <w:i/>
          <w:iCs/>
        </w:rPr>
        <w:t>rediction 2b</w:t>
      </w:r>
      <w:r w:rsidR="008B6F26">
        <w:t>).</w:t>
      </w:r>
    </w:p>
    <w:p w14:paraId="35D96208" w14:textId="77777777" w:rsidR="00147804" w:rsidRPr="00147804" w:rsidRDefault="00147804" w:rsidP="0006438B">
      <w:pPr>
        <w:jc w:val="both"/>
      </w:pPr>
    </w:p>
    <w:p w14:paraId="3C91F271" w14:textId="6F85F2AC" w:rsidR="000F2606" w:rsidRDefault="00C8333D" w:rsidP="000F2606">
      <w:pPr>
        <w:pStyle w:val="Heading2"/>
      </w:pPr>
      <w:r>
        <w:rPr>
          <w:rFonts w:eastAsiaTheme="minorEastAsia"/>
        </w:rPr>
        <w:t xml:space="preserve">Results - </w:t>
      </w:r>
      <w:r w:rsidR="000F2606">
        <w:t>Confirmatory Analyses</w:t>
      </w:r>
    </w:p>
    <w:p w14:paraId="38043087" w14:textId="25C2CE13" w:rsidR="00E16F8E" w:rsidRPr="00E16F8E" w:rsidRDefault="00E16F8E" w:rsidP="00E16F8E">
      <w:r>
        <w:t xml:space="preserve">We will first conduct confirmatory analyses to test our main </w:t>
      </w:r>
      <w:r w:rsidR="00147804" w:rsidRPr="000C59D9">
        <w:rPr>
          <w:b/>
          <w:bCs/>
        </w:rPr>
        <w:t>H</w:t>
      </w:r>
      <w:r w:rsidRPr="000C59D9">
        <w:rPr>
          <w:b/>
          <w:bCs/>
        </w:rPr>
        <w:t xml:space="preserve">ypotheses </w:t>
      </w:r>
      <w:r w:rsidR="00147804" w:rsidRPr="000C59D9">
        <w:rPr>
          <w:b/>
          <w:bCs/>
        </w:rPr>
        <w:t>1 and 2</w:t>
      </w:r>
      <w:r w:rsidR="00147804">
        <w:t xml:space="preserve"> via our </w:t>
      </w:r>
      <w:r w:rsidR="00147804" w:rsidRPr="000C59D9">
        <w:rPr>
          <w:i/>
          <w:iCs/>
        </w:rPr>
        <w:t>Predictions 1a, 1b, 2a and 2b</w:t>
      </w:r>
      <w:r>
        <w:t>.</w:t>
      </w:r>
    </w:p>
    <w:p w14:paraId="77D0A381" w14:textId="666ACB9C" w:rsidR="00DF2DEF" w:rsidRDefault="00DF2DEF" w:rsidP="00DF2DEF">
      <w:pPr>
        <w:pStyle w:val="Heading3"/>
      </w:pPr>
      <w:r>
        <w:lastRenderedPageBreak/>
        <w:t>Hypothesis 1: Representation of Air Drag</w:t>
      </w:r>
    </w:p>
    <w:p w14:paraId="5894D6DA" w14:textId="3189144D" w:rsidR="000F2606" w:rsidRDefault="00FA323C" w:rsidP="00EC2370">
      <w:pPr>
        <w:jc w:val="both"/>
      </w:pPr>
      <w:r>
        <w:t>First, we test the timing responses</w:t>
      </w:r>
      <w:r w:rsidR="000C59D9">
        <w:t xml:space="preserve"> (</w:t>
      </w:r>
      <w:r w:rsidR="000C59D9" w:rsidRPr="000C59D9">
        <w:rPr>
          <w:i/>
          <w:iCs/>
        </w:rPr>
        <w:t>Prediction 1a</w:t>
      </w:r>
      <w:r w:rsidR="000C59D9">
        <w:t>)</w:t>
      </w:r>
      <w:r>
        <w:t xml:space="preserve">. </w:t>
      </w:r>
      <w:r>
        <w:fldChar w:fldCharType="begin"/>
      </w:r>
      <w:r>
        <w:instrText xml:space="preserve"> REF _Ref36174245 \h </w:instrText>
      </w:r>
      <w:r>
        <w:fldChar w:fldCharType="separate"/>
      </w:r>
      <w:r>
        <w:t xml:space="preserve">Figure </w:t>
      </w:r>
      <w:r>
        <w:rPr>
          <w:noProof/>
        </w:rPr>
        <w:t>2</w:t>
      </w:r>
      <w:r>
        <w:fldChar w:fldCharType="end"/>
      </w:r>
      <w:r>
        <w:t xml:space="preserve">A displays the distribution of responses for the timing task. </w:t>
      </w:r>
      <w:r w:rsidR="000F2606">
        <w:t xml:space="preserve">To test </w:t>
      </w:r>
      <w:r>
        <w:t>our</w:t>
      </w:r>
      <w:r w:rsidR="000F2606">
        <w:t xml:space="preserve">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054CBB3C" w:rsidR="007651EB" w:rsidRDefault="00144185" w:rsidP="00EC2370">
      <w:pPr>
        <w:jc w:val="both"/>
      </w:pPr>
      <w:r>
        <w:t>A Likelihood Ratio Test showed that the Test Model is significantly better than the Null Model (p</w:t>
      </w:r>
      <w:r w:rsidR="00B83FDA">
        <w:t> </w:t>
      </w:r>
      <w:r>
        <w:t>=</w:t>
      </w:r>
      <w:r w:rsidR="00B83FDA">
        <w:t> </w:t>
      </w:r>
      <w:r>
        <w:t>0.00</w:t>
      </w:r>
      <w:r w:rsidR="00975D41">
        <w:t>3</w:t>
      </w:r>
      <w:r>
        <w:t>). The regression coefficient for the fixed effect Air Drag: Absent is 0.01</w:t>
      </w:r>
      <w:r w:rsidR="007D41E8">
        <w:t>6</w:t>
      </w:r>
      <w:r>
        <w:t xml:space="preserve"> (SE = 0.005),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4A2CC62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w:t>
      </w:r>
      <w:r w:rsidR="007D41E8">
        <w:t>679</w:t>
      </w:r>
      <w:r>
        <w:t xml:space="preserve"> and p = 0.</w:t>
      </w:r>
      <w:r w:rsidR="007D41E8">
        <w:t>797</w:t>
      </w:r>
      <w:r w:rsidR="00993195">
        <w:t xml:space="preserve">, respectively). </w:t>
      </w:r>
    </w:p>
    <w:p w14:paraId="511DC312" w14:textId="05A8E7FA" w:rsidR="0072483C" w:rsidRDefault="00993195" w:rsidP="00EC2370">
      <w:pPr>
        <w:jc w:val="both"/>
      </w:pPr>
      <w:r>
        <w:t xml:space="preserve">A frequentist approach does, to our knowledge, not allow to quantify in which of the two conditions performance is more </w:t>
      </w:r>
      <w:proofErr w:type="gramStart"/>
      <w:r>
        <w:t>similar to</w:t>
      </w:r>
      <w:proofErr w:type="gramEnd"/>
      <w:r>
        <w:t xml:space="preserve">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w:t>
      </w:r>
      <w:proofErr w:type="gramStart"/>
      <w:r w:rsidR="00B136E5">
        <w:t>this options</w:t>
      </w:r>
      <w:proofErr w:type="gramEnd"/>
      <w:r w:rsidR="00B136E5">
        <w:t xml:space="preserve">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xml:space="preserve">, we can use the </w:t>
      </w:r>
      <w:proofErr w:type="gramStart"/>
      <w:r w:rsidR="00044507">
        <w:t>hypothesis(</w:t>
      </w:r>
      <w:proofErr w:type="gramEnd"/>
      <w:r w:rsidR="00044507">
        <w:t>)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43FAAC45" w:rsidR="00EE4AFB" w:rsidRDefault="00EE4AFB" w:rsidP="00EC2370">
      <w:pPr>
        <w:jc w:val="both"/>
      </w:pPr>
      <w:r>
        <w:lastRenderedPageBreak/>
        <w:t>For the spatial task</w:t>
      </w:r>
      <w:r w:rsidR="000C59D9">
        <w:t xml:space="preserve"> (</w:t>
      </w:r>
      <w:r w:rsidR="000C59D9" w:rsidRPr="000C59D9">
        <w:rPr>
          <w:i/>
          <w:iCs/>
        </w:rPr>
        <w:t>Prediction 1b</w:t>
      </w:r>
      <w:r w:rsidR="000C59D9">
        <w:t>)</w:t>
      </w:r>
      <w:r>
        <w:t xml:space="preserve">,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0AD3FB9" w:rsidR="00982D30" w:rsidRDefault="007C696F" w:rsidP="00EC2370">
      <w:pPr>
        <w:jc w:val="both"/>
      </w:pPr>
      <w:r>
        <w:t>By means of a Likelihood Ratio Test, we found that the Test Model is significantly better than the Null Model (p </w:t>
      </w:r>
      <w:r>
        <w:rPr>
          <w:lang w:val="en-CA"/>
        </w:rPr>
        <w:t>&lt; </w:t>
      </w:r>
      <w:r w:rsidR="00766971">
        <w:rPr>
          <w:lang w:val="en-CA"/>
        </w:rPr>
        <w:t>2.2*10^16</w:t>
      </w:r>
      <w:r>
        <w:rPr>
          <w:lang w:val="en-CA"/>
        </w:rPr>
        <w:t>). The regression coefficient for Air Drag</w:t>
      </w:r>
      <w:r w:rsidRPr="007C696F">
        <w:t>: Absent is -0</w:t>
      </w:r>
      <w:r>
        <w:t>.0</w:t>
      </w:r>
      <w:r w:rsidR="00766971">
        <w:t>22</w:t>
      </w:r>
      <w:r>
        <w:t> (SE = 0.00</w:t>
      </w:r>
      <w:r w:rsidR="0054533C">
        <w:t>2</w:t>
      </w:r>
      <w:r>
        <w:t xml:space="preserve">). We again test whether the intercepts differ significant from </w:t>
      </w:r>
      <w:r w:rsidR="00EF75FD">
        <w:t>1</w:t>
      </w:r>
      <w:r>
        <w:t xml:space="preserve"> in either condition. We find that </w:t>
      </w:r>
      <w:r w:rsidR="00AE1848">
        <w:t xml:space="preserve">the intercept does not differ </w:t>
      </w:r>
      <w:r w:rsidR="00EF75FD">
        <w:t>for the Air Drag: Present condition (p = 0.05</w:t>
      </w:r>
      <w:r w:rsidR="0054533C">
        <w:t>6</w:t>
      </w:r>
      <w:r w:rsidR="00EF75FD">
        <w:t xml:space="preserve">),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w:t>
      </w:r>
      <w:r w:rsidR="0054533C">
        <w:t>6</w:t>
      </w:r>
      <w:r w:rsidR="006D07B1">
        <w:t xml:space="preserve">). However, considering that the intercept for Air Drag: Present is only marginally </w:t>
      </w:r>
      <w:proofErr w:type="gramStart"/>
      <w:r w:rsidR="006D07B1">
        <w:t>not-different</w:t>
      </w:r>
      <w:proofErr w:type="gramEnd"/>
      <w:r w:rsidR="006D07B1">
        <w:t xml:space="preserve">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67684E0B"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3D34BAAC" w14:textId="77777777" w:rsidR="001B67E1" w:rsidRDefault="001B67E1" w:rsidP="001B67E1">
      <w:pPr>
        <w:keepNext/>
        <w:jc w:val="both"/>
      </w:pPr>
      <w:r>
        <w:rPr>
          <w:noProof/>
        </w:rPr>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4" w:name="_Ref36174245"/>
      <w:r>
        <w:t xml:space="preserve">Figure </w:t>
      </w:r>
      <w:fldSimple w:instr=" SEQ Figure \* ARABIC ">
        <w:r w:rsidR="007E51E7">
          <w:rPr>
            <w:noProof/>
          </w:rPr>
          <w:t>2</w:t>
        </w:r>
      </w:fldSimple>
      <w:bookmarkEnd w:id="4"/>
      <w:r>
        <w:t xml:space="preserve">: Distribution of responses error ratios for </w:t>
      </w:r>
      <w:proofErr w:type="spellStart"/>
      <w:r>
        <w:t>Airdrag</w:t>
      </w:r>
      <w:proofErr w:type="spellEnd"/>
      <w:r>
        <w:t xml:space="preserve"> and No </w:t>
      </w:r>
      <w:proofErr w:type="spellStart"/>
      <w:r>
        <w:t>Airdrag</w:t>
      </w:r>
      <w:proofErr w:type="spellEnd"/>
      <w:r>
        <w:t>.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11B73F72"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w:t>
      </w:r>
      <w:proofErr w:type="gramStart"/>
      <w:r w:rsidR="00C873FC">
        <w:t>Basket Ball</w:t>
      </w:r>
      <w:proofErr w:type="gramEnd"/>
      <w:r w:rsidR="00C873FC">
        <w:t xml:space="preserve">, Incongruent condition, we expect responses to be slightly earlier than for Basket Ball, </w:t>
      </w:r>
      <w:r w:rsidR="00FC24F3">
        <w:t>Congruent</w:t>
      </w:r>
      <w:r w:rsidR="00E854C3">
        <w:t xml:space="preserve"> (</w:t>
      </w:r>
      <w:r w:rsidR="00E854C3" w:rsidRPr="00E854C3">
        <w:rPr>
          <w:i/>
          <w:iCs/>
        </w:rPr>
        <w:t>Prediction 2a</w:t>
      </w:r>
      <w:r w:rsidR="00E854C3">
        <w: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35061521" w:rsidR="00F364B7" w:rsidRDefault="00BF3F46" w:rsidP="00EC2370">
      <w:pPr>
        <w:jc w:val="both"/>
      </w:pPr>
      <w:r>
        <w:t>A Likelihood Ratio Test (</w:t>
      </w:r>
      <w:proofErr w:type="spellStart"/>
      <w:proofErr w:type="gramStart"/>
      <w:r>
        <w:t>anova</w:t>
      </w:r>
      <w:proofErr w:type="spellEnd"/>
      <w:r>
        <w:t>(</w:t>
      </w:r>
      <w:proofErr w:type="gramEnd"/>
      <w:r>
        <w:t xml:space="preserve">) function in R) showed that the Test Model is not significantly better than the Test Model (p </w:t>
      </w:r>
      <w:r w:rsidRPr="00BF3F46">
        <w:t>=</w:t>
      </w:r>
      <w:r>
        <w:t xml:space="preserve"> 0.</w:t>
      </w:r>
      <w:r w:rsidR="00901CB6">
        <w:t>778</w:t>
      </w:r>
      <w:r>
        <w:t xml:space="preserve">);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w:t>
      </w:r>
      <w:r w:rsidR="006352FD">
        <w:t> </w:t>
      </w:r>
      <w:r w:rsidR="00C87709">
        <w:t>s).</w:t>
      </w:r>
    </w:p>
    <w:p w14:paraId="3BB78EAB" w14:textId="45C6EF85" w:rsidR="00BF3F46" w:rsidRDefault="00833A98" w:rsidP="00EC2370">
      <w:pPr>
        <w:jc w:val="both"/>
      </w:pPr>
      <w:r>
        <w:t>We perform the same procedure for the spatial task</w:t>
      </w:r>
      <w:r w:rsidR="00E854C3">
        <w:t xml:space="preserve"> (</w:t>
      </w:r>
      <w:r w:rsidR="00E854C3" w:rsidRPr="00E854C3">
        <w:rPr>
          <w:i/>
          <w:iCs/>
        </w:rPr>
        <w:t>Prediction 2b</w:t>
      </w:r>
      <w:r w:rsidR="00E854C3">
        <w:t>)</w:t>
      </w:r>
      <w:r>
        <w:t>.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4C3CF236" w:rsidR="00FA5A8D" w:rsidRDefault="00C8333D" w:rsidP="00EC2370">
      <w:pPr>
        <w:jc w:val="both"/>
      </w:pPr>
      <w:r>
        <w:t>a</w:t>
      </w:r>
      <w:r w:rsidR="00EA265E">
        <w:t>gain with a Likelihood Ratio Test</w:t>
      </w:r>
      <w:r>
        <w:t xml:space="preserve"> (</w:t>
      </w:r>
      <w:proofErr w:type="spellStart"/>
      <w:proofErr w:type="gramStart"/>
      <w:r>
        <w:t>anova</w:t>
      </w:r>
      <w:proofErr w:type="spellEnd"/>
      <w:r>
        <w:t>(</w:t>
      </w:r>
      <w:proofErr w:type="gramEnd"/>
      <w:r>
        <w:t>) function in R)</w:t>
      </w:r>
      <w:r w:rsidR="00EA265E">
        <w:t xml:space="preserve">. The Test Model proved to be significantly better than the test model (p &lt; </w:t>
      </w:r>
      <w:r w:rsidR="00901CB6">
        <w:t>2.2*10^16</w:t>
      </w:r>
      <w:r w:rsidR="00EA265E">
        <w:rPr>
          <w:lang w:val="en-CA"/>
        </w:rPr>
        <w:t xml:space="preserve">). It estimates the regression coefficient for the interaction of Ball Type: Basketball and Congruency: Incongruent </w:t>
      </w:r>
      <w:r w:rsidR="00EA265E" w:rsidRPr="00EA265E">
        <w:t>-0.0</w:t>
      </w:r>
      <w:r w:rsidR="00137912">
        <w:t>63</w:t>
      </w:r>
      <w:r w:rsidR="00EA265E" w:rsidRPr="00EA265E">
        <w:t xml:space="preserve"> (SE = 0.00</w:t>
      </w:r>
      <w:r w:rsidR="00137912">
        <w:t>7</w:t>
      </w:r>
      <w:r w:rsidR="00EA265E" w:rsidRPr="00EA265E">
        <w:t>)</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lastRenderedPageBreak/>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5" w:name="_Ref36173219"/>
      <w:r>
        <w:t xml:space="preserve">Figure </w:t>
      </w:r>
      <w:fldSimple w:instr=" SEQ Figure \* ARABIC ">
        <w:r w:rsidR="007E51E7">
          <w:rPr>
            <w:noProof/>
          </w:rPr>
          <w:t>3</w:t>
        </w:r>
      </w:fldSimple>
      <w:bookmarkEnd w:id="5"/>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56E920F6" w14:textId="655078C8" w:rsidR="00B07FC5" w:rsidRDefault="00B07FC5" w:rsidP="00BC575F">
      <w:pPr>
        <w:pStyle w:val="Heading3"/>
      </w:pPr>
      <w:r>
        <w:t>Is precision lower when no air drag is presented in the visible part of the trajectory?</w:t>
      </w:r>
    </w:p>
    <w:p w14:paraId="44DD75B4" w14:textId="5E6194BF" w:rsidR="00B07FC5" w:rsidRDefault="00B07FC5" w:rsidP="00B07FC5">
      <w:r>
        <w:t xml:space="preserve">Humans might pick up subtle difference in trajectories unfolding with or without air drag, which might lead to more variable responses. </w:t>
      </w:r>
      <w:r w:rsidR="00BE04CF">
        <w:t xml:space="preserve">And indeed, </w:t>
      </w:r>
      <w:r w:rsidR="00BE04CF">
        <w:fldChar w:fldCharType="begin"/>
      </w:r>
      <w:r w:rsidR="00BE04CF">
        <w:instrText xml:space="preserve"> REF _Ref36174245 \h </w:instrText>
      </w:r>
      <w:r w:rsidR="00BE04CF">
        <w:fldChar w:fldCharType="separate"/>
      </w:r>
      <w:r w:rsidR="00BE04CF">
        <w:t xml:space="preserve">Figure </w:t>
      </w:r>
      <w:r w:rsidR="00BE04CF">
        <w:rPr>
          <w:noProof/>
        </w:rPr>
        <w:t>2</w:t>
      </w:r>
      <w:r w:rsidR="00BE04CF">
        <w:fldChar w:fldCharType="end"/>
      </w:r>
      <w:r w:rsidR="00BE04CF">
        <w:t xml:space="preserve"> suggests that there might be variability</w:t>
      </w:r>
      <w:r w:rsidR="00DA3054">
        <w:t xml:space="preserve"> </w:t>
      </w:r>
      <w:r w:rsidR="00BE04CF">
        <w:t xml:space="preserve">differences between the </w:t>
      </w:r>
      <w:proofErr w:type="spellStart"/>
      <w:r w:rsidR="00BE04CF">
        <w:t>Airdrag</w:t>
      </w:r>
      <w:proofErr w:type="spellEnd"/>
      <w:r w:rsidR="00BE04CF">
        <w:t>: Present and Air Drag: Absent conditions</w:t>
      </w:r>
      <w:r w:rsidR="00DA3054">
        <w:t>, especially in the timing task.</w:t>
      </w:r>
      <w:r w:rsidR="00BE04CF">
        <w:t xml:space="preserve"> </w:t>
      </w:r>
      <w:r>
        <w:t>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xml:space="preserve">, we found a Posterior Probability of nearly 1 and </w:t>
      </w:r>
      <w:proofErr w:type="gramStart"/>
      <w:r>
        <w:t>a</w:t>
      </w:r>
      <w:proofErr w:type="gramEnd"/>
      <w:r>
        <w:t xml:space="preserve"> Evidence Ratio </w:t>
      </w:r>
      <w:r>
        <w:lastRenderedPageBreak/>
        <w:t>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w:t>
      </w:r>
      <w:proofErr w:type="gramStart"/>
      <w:r>
        <w:t>m;</w:t>
      </w:r>
      <w:proofErr w:type="gramEnd"/>
      <w:r>
        <w:t xml:space="preserve">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4647B238" w14:textId="77777777" w:rsidR="00DA3054" w:rsidRDefault="00DA3054" w:rsidP="00DA3054">
      <w:pPr>
        <w:keepNext/>
        <w:jc w:val="both"/>
      </w:pPr>
      <w:r>
        <w:rPr>
          <w:noProof/>
        </w:rPr>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Distribution of errors for trials where the ball texture was congruent with its size and other physical properties (Congruent) and where they were incongruent (Incongruent). The dotted line represents an error ratio of 1, that is perfect accuracy. A. Timing errors. B. Spatial errors.</w:t>
      </w:r>
      <w:bookmarkStart w:id="6" w:name="_GoBack"/>
      <w:bookmarkEnd w:id="6"/>
    </w:p>
    <w:p w14:paraId="17E2F730" w14:textId="77777777" w:rsidR="00DA3054" w:rsidRPr="00DA3054" w:rsidRDefault="00DA3054" w:rsidP="00DA3054"/>
    <w:p w14:paraId="72E83542" w14:textId="790B1B44" w:rsidR="00864D4C" w:rsidRDefault="00864D4C" w:rsidP="005C547D">
      <w:pPr>
        <w:pStyle w:val="Heading3"/>
      </w:pPr>
      <w:r>
        <w:t xml:space="preserve">Do different </w:t>
      </w:r>
      <w:r w:rsidR="000D68EA">
        <w:t>object sizes</w:t>
      </w:r>
      <w:r>
        <w:t xml:space="preserve"> elicit differences in conditions?</w:t>
      </w:r>
    </w:p>
    <w:p w14:paraId="5F3E87DB" w14:textId="7BAA8FF6" w:rsidR="00BC575F" w:rsidRDefault="005C547D" w:rsidP="00EC2370">
      <w:pPr>
        <w:jc w:val="both"/>
      </w:pPr>
      <w:r>
        <w:t>It is furthermore possible that performance is affected by the simulated objects. For example, performance for tennis ball</w:t>
      </w:r>
      <w:r w:rsidR="0072302C">
        <w:t>-sized targets (Tennis Ball, Congruent and Basketball, Incongruent)</w:t>
      </w:r>
      <w:r>
        <w:t xml:space="preserve"> could be less precise because they are smaller, which might lead to a less precise representation of their size.</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 especially for the spatial task. </w:t>
      </w:r>
      <w:r w:rsidR="00F83CC5">
        <w:t>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6180C0A7"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 xml:space="preserve">Ball </m:t>
                </m:r>
                <m:r>
                  <w:rPr>
                    <w:rFonts w:ascii="Cambria Math" w:hAnsi="Cambria Math"/>
                  </w:rPr>
                  <m:t>Size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xml:space="preserve">, we found a Posterior Probability of XX and an Evidence Ratio of XXX </w:t>
      </w:r>
      <w:proofErr w:type="gramStart"/>
      <w:r>
        <w:t>( s</w:t>
      </w:r>
      <w:proofErr w:type="gramEnd"/>
      <w:r>
        <w:t>; SE = , on a log scale)</w:t>
      </w:r>
      <w:r w:rsidR="000132A7">
        <w:t>.</w:t>
      </w:r>
      <w:r w:rsidR="00A40624">
        <w:t xml:space="preserve"> </w:t>
      </w:r>
    </w:p>
    <w:p w14:paraId="0D1CAA36" w14:textId="6FA9BE5A" w:rsidR="00A40624" w:rsidRDefault="00A40624" w:rsidP="000F2606">
      <w:r>
        <w:lastRenderedPageBreak/>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797B60">
        <w:trPr>
          <w:trHeight w:val="376"/>
        </w:trPr>
        <w:tc>
          <w:tcPr>
            <w:tcW w:w="8314" w:type="dxa"/>
            <w:shd w:val="clear" w:color="auto" w:fill="FFFFFF" w:themeFill="background1"/>
            <w:vAlign w:val="center"/>
          </w:tcPr>
          <w:p w14:paraId="63422FED" w14:textId="6C7E5CB5" w:rsidR="00A40624" w:rsidRPr="009D32B4" w:rsidRDefault="00A40624"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Size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797B60">
            <w:pPr>
              <w:pStyle w:val="MaterialsandMethodsText"/>
            </w:pPr>
            <w:r w:rsidRPr="00277A48">
              <w:t>[</w:t>
            </w:r>
            <w:r>
              <w:t>20</w:t>
            </w:r>
            <w:r w:rsidRPr="00277A48">
              <w:t>]</w:t>
            </w:r>
          </w:p>
        </w:tc>
      </w:tr>
    </w:tbl>
    <w:p w14:paraId="54CEB217" w14:textId="2A328875" w:rsidR="00A40624" w:rsidRDefault="0028204D" w:rsidP="000F2606">
      <w:r>
        <w:t xml:space="preserve">For the hypothesis that smaller balls lead to a bias in timing responses, we found a Posterior Probability </w:t>
      </w:r>
      <w:proofErr w:type="spellStart"/>
      <w:r>
        <w:t>fo</w:t>
      </w:r>
      <w:proofErr w:type="spellEnd"/>
      <w:r>
        <w:t xml:space="preserve"> XX and an Evidence Ratio of XXX </w:t>
      </w:r>
      <w:proofErr w:type="gramStart"/>
      <w:r>
        <w:t>( m</w:t>
      </w:r>
      <w:proofErr w:type="gramEnd"/>
      <w:r>
        <w:t>; SE = , on a log scale).</w:t>
      </w:r>
    </w:p>
    <w:p w14:paraId="52172B26" w14:textId="7E2D0C60"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w:t>
      </w:r>
      <w:r w:rsidR="004B7C16">
        <w:t xml:space="preserve">non-Bayesian </w:t>
      </w:r>
      <w:r w:rsidR="00A367D0">
        <w:t>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797B60">
        <w:trPr>
          <w:trHeight w:val="376"/>
        </w:trPr>
        <w:tc>
          <w:tcPr>
            <w:tcW w:w="8314" w:type="dxa"/>
            <w:shd w:val="clear" w:color="auto" w:fill="FFFFFF" w:themeFill="background1"/>
            <w:vAlign w:val="center"/>
          </w:tcPr>
          <w:p w14:paraId="22FFF03C" w14:textId="2E56EFCA"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Size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797B60">
            <w:pPr>
              <w:pStyle w:val="MaterialsandMethodsText"/>
            </w:pPr>
            <w:r w:rsidRPr="00277A48">
              <w:t>[</w:t>
            </w:r>
            <w:r>
              <w:t>20</w:t>
            </w:r>
            <w:r w:rsidRPr="00277A48">
              <w:t>]</w:t>
            </w:r>
          </w:p>
        </w:tc>
      </w:tr>
      <w:tr w:rsidR="00A367D0" w:rsidRPr="00277A48" w14:paraId="256D5833" w14:textId="77777777" w:rsidTr="00797B60">
        <w:trPr>
          <w:trHeight w:val="376"/>
        </w:trPr>
        <w:tc>
          <w:tcPr>
            <w:tcW w:w="8314" w:type="dxa"/>
            <w:shd w:val="clear" w:color="auto" w:fill="FFFFFF" w:themeFill="background1"/>
            <w:vAlign w:val="center"/>
          </w:tcPr>
          <w:p w14:paraId="14411D8F" w14:textId="3F06294C"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Size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39B2D4DC" w:rsidR="00422259" w:rsidRPr="000F2606" w:rsidRDefault="00A367D0" w:rsidP="000F2606">
      <w:r>
        <w:t xml:space="preserve">And compare them again Null </w:t>
      </w:r>
      <w:r w:rsidR="00C55203">
        <w:t>M</w:t>
      </w:r>
      <w:r>
        <w:t>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797B60">
        <w:trPr>
          <w:trHeight w:val="376"/>
        </w:trPr>
        <w:tc>
          <w:tcPr>
            <w:tcW w:w="8314" w:type="dxa"/>
            <w:shd w:val="clear" w:color="auto" w:fill="FFFFFF" w:themeFill="background1"/>
            <w:vAlign w:val="center"/>
          </w:tcPr>
          <w:p w14:paraId="648D8AA6" w14:textId="5911C22E"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797B60">
            <w:pPr>
              <w:pStyle w:val="MaterialsandMethodsText"/>
            </w:pPr>
            <w:r w:rsidRPr="00277A48">
              <w:t>[</w:t>
            </w:r>
            <w:r>
              <w:t>20</w:t>
            </w:r>
            <w:r w:rsidRPr="00277A48">
              <w:t>]</w:t>
            </w:r>
          </w:p>
        </w:tc>
      </w:tr>
      <w:tr w:rsidR="00A367D0" w:rsidRPr="00277A48" w14:paraId="79CECA1C" w14:textId="77777777" w:rsidTr="00797B60">
        <w:trPr>
          <w:trHeight w:val="376"/>
        </w:trPr>
        <w:tc>
          <w:tcPr>
            <w:tcW w:w="8314" w:type="dxa"/>
            <w:shd w:val="clear" w:color="auto" w:fill="FFFFFF" w:themeFill="background1"/>
            <w:vAlign w:val="center"/>
          </w:tcPr>
          <w:p w14:paraId="7AC34A95" w14:textId="19533508" w:rsidR="00A367D0" w:rsidRDefault="00A367D0"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797B60">
            <w:pPr>
              <w:pStyle w:val="MaterialsandMethodsText"/>
            </w:pPr>
            <w:r w:rsidRPr="00277A48">
              <w:t>[</w:t>
            </w:r>
            <w:r>
              <w:t>20</w:t>
            </w:r>
            <w:r w:rsidRPr="00277A48">
              <w:t>]</w:t>
            </w:r>
          </w:p>
        </w:tc>
      </w:tr>
    </w:tbl>
    <w:p w14:paraId="14F95EF1" w14:textId="768ACEA8" w:rsidR="00325883" w:rsidRDefault="009754A8" w:rsidP="003F4A3B">
      <w:pPr>
        <w:jc w:val="both"/>
      </w:pPr>
      <w:r>
        <w:t>We tested the Test Models against the Null Models with a Likelihood Ratio Test and found the variable “</w:t>
      </w:r>
      <w:r w:rsidR="00C174DC">
        <w:t>Ball Size</w:t>
      </w:r>
      <w:r>
        <w:t>” did not improve the model fit significantly for the temporal task (p = 0.</w:t>
      </w:r>
      <w:r w:rsidR="00C174DC">
        <w:t>422</w:t>
      </w:r>
      <w:r>
        <w:t>)</w:t>
      </w:r>
      <w:r w:rsidR="00C174DC">
        <w:t>.</w:t>
      </w:r>
      <w:r>
        <w:t xml:space="preserve"> </w:t>
      </w:r>
      <w:r w:rsidR="00C174DC">
        <w:t xml:space="preserve">For </w:t>
      </w:r>
      <w:r>
        <w:t>the spatial task</w:t>
      </w:r>
      <w:r w:rsidR="00C174DC">
        <w:t>, however, it did improve model fit significantly</w:t>
      </w:r>
      <w:r>
        <w:t> (p </w:t>
      </w:r>
      <w:r w:rsidR="00C174DC">
        <w:rPr>
          <w:lang w:val="en-CA"/>
        </w:rPr>
        <w:t>&lt; 2.2</w:t>
      </w:r>
      <w:r w:rsidR="00C174DC" w:rsidRPr="00C174DC">
        <w:t>*</w:t>
      </w:r>
      <w:r w:rsidR="00C174DC">
        <w:t>10</w:t>
      </w:r>
      <w:r w:rsidR="00C174DC" w:rsidRPr="00C174DC">
        <w:t>^1</w:t>
      </w:r>
      <w:r w:rsidR="00C174DC">
        <w:t>6</w:t>
      </w:r>
      <w:r>
        <w:t>).</w:t>
      </w:r>
      <w:r w:rsidR="003F7138">
        <w:t xml:space="preserve"> The regression coefficient for Ball Size: 0.12 m was 0.024</w:t>
      </w:r>
      <w:r w:rsidR="004B7C16">
        <w:t xml:space="preserve"> (SE = 0.002); the larger targets thus lead observers to judge objects as travelling further than smaller objects. </w:t>
      </w:r>
    </w:p>
    <w:p w14:paraId="7BCDE400" w14:textId="60944FA8" w:rsidR="005914F7" w:rsidRDefault="005914F7" w:rsidP="003F4A3B">
      <w:pPr>
        <w:jc w:val="both"/>
      </w:pPr>
      <w:r>
        <w:t>We thus conclude …</w:t>
      </w:r>
    </w:p>
    <w:p w14:paraId="16EA4308" w14:textId="77777777" w:rsidR="007E51E7" w:rsidRDefault="007E51E7" w:rsidP="007E51E7">
      <w:pPr>
        <w:keepNext/>
        <w:jc w:val="both"/>
      </w:pPr>
      <w:r>
        <w:rPr>
          <w:noProof/>
        </w:rPr>
        <w:lastRenderedPageBreak/>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7" w:name="_Ref36175866"/>
      <w:r>
        <w:t xml:space="preserve">Figure </w:t>
      </w:r>
      <w:fldSimple w:instr=" SEQ Figure \* ARABIC ">
        <w:r>
          <w:rPr>
            <w:noProof/>
          </w:rPr>
          <w:t>5</w:t>
        </w:r>
      </w:fldSimple>
      <w:bookmarkEnd w:id="7"/>
      <w:r>
        <w:t>: Distribution of errors for trials where the ball was of tennis ball size (0.033 m) and where the ball was of basketball size (0.12 m).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797B60">
        <w:trPr>
          <w:trHeight w:val="376"/>
        </w:trPr>
        <w:tc>
          <w:tcPr>
            <w:tcW w:w="8314" w:type="dxa"/>
            <w:shd w:val="clear" w:color="auto" w:fill="FFFFFF" w:themeFill="background1"/>
            <w:vAlign w:val="center"/>
          </w:tcPr>
          <w:p w14:paraId="4A2EFFA1" w14:textId="738098A8" w:rsidR="00F32BAD" w:rsidRPr="009D32B4" w:rsidRDefault="00F32BAD"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797B60">
            <w:pPr>
              <w:pStyle w:val="MaterialsandMethodsText"/>
            </w:pPr>
            <w:r w:rsidRPr="00277A48">
              <w:t>[</w:t>
            </w:r>
            <w:r>
              <w:t>20</w:t>
            </w:r>
            <w:r w:rsidRPr="00277A48">
              <w:t>]</w:t>
            </w:r>
          </w:p>
        </w:tc>
      </w:tr>
      <w:tr w:rsidR="00F32BAD" w:rsidRPr="00277A48" w14:paraId="7020D58F" w14:textId="77777777" w:rsidTr="00797B60">
        <w:trPr>
          <w:trHeight w:val="376"/>
        </w:trPr>
        <w:tc>
          <w:tcPr>
            <w:tcW w:w="8314" w:type="dxa"/>
            <w:shd w:val="clear" w:color="auto" w:fill="FFFFFF" w:themeFill="background1"/>
            <w:vAlign w:val="center"/>
          </w:tcPr>
          <w:p w14:paraId="3462FBE4" w14:textId="2D9D5E23" w:rsidR="00F32BAD" w:rsidRDefault="00F32BAD"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797B60">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w:t>
      </w:r>
      <w:r w:rsidR="00FC0059">
        <w:lastRenderedPageBreak/>
        <w:t xml:space="preserve">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797B60">
        <w:trPr>
          <w:trHeight w:val="376"/>
        </w:trPr>
        <w:tc>
          <w:tcPr>
            <w:tcW w:w="8314" w:type="dxa"/>
            <w:shd w:val="clear" w:color="auto" w:fill="FFFFFF" w:themeFill="background1"/>
            <w:vAlign w:val="center"/>
          </w:tcPr>
          <w:p w14:paraId="05614FC0" w14:textId="37CBFC60" w:rsidR="00622426" w:rsidRPr="009D32B4" w:rsidRDefault="00622426"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797B60">
            <w:pPr>
              <w:pStyle w:val="MaterialsandMethodsText"/>
            </w:pPr>
            <w:r w:rsidRPr="00277A48">
              <w:t>[</w:t>
            </w:r>
            <w:r>
              <w:t>20</w:t>
            </w:r>
            <w:r w:rsidRPr="00277A48">
              <w:t>]</w:t>
            </w:r>
          </w:p>
        </w:tc>
      </w:tr>
      <w:tr w:rsidR="00622426" w:rsidRPr="00277A48" w14:paraId="3054F403" w14:textId="77777777" w:rsidTr="00797B60">
        <w:trPr>
          <w:trHeight w:val="376"/>
        </w:trPr>
        <w:tc>
          <w:tcPr>
            <w:tcW w:w="8314" w:type="dxa"/>
            <w:shd w:val="clear" w:color="auto" w:fill="FFFFFF" w:themeFill="background1"/>
            <w:vAlign w:val="center"/>
          </w:tcPr>
          <w:p w14:paraId="54E8C126" w14:textId="697D996B" w:rsidR="00622426" w:rsidRDefault="00622426"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797B60">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797B60">
        <w:trPr>
          <w:trHeight w:val="376"/>
        </w:trPr>
        <w:tc>
          <w:tcPr>
            <w:tcW w:w="8314" w:type="dxa"/>
            <w:shd w:val="clear" w:color="auto" w:fill="FFFFFF" w:themeFill="background1"/>
            <w:vAlign w:val="center"/>
          </w:tcPr>
          <w:p w14:paraId="4536CC97" w14:textId="24AADDB7" w:rsidR="00BF42C5" w:rsidRPr="009D32B4" w:rsidRDefault="00BF42C5"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797B60">
            <w:pPr>
              <w:pStyle w:val="MaterialsandMethodsText"/>
            </w:pPr>
            <w:r w:rsidRPr="00277A48">
              <w:t>[</w:t>
            </w:r>
            <w:r>
              <w:t>20</w:t>
            </w:r>
            <w:r w:rsidRPr="00277A48">
              <w:t>]</w:t>
            </w:r>
          </w:p>
        </w:tc>
      </w:tr>
      <w:tr w:rsidR="00BF42C5" w:rsidRPr="00277A48" w14:paraId="03BA7F1B" w14:textId="77777777" w:rsidTr="00797B60">
        <w:trPr>
          <w:trHeight w:val="376"/>
        </w:trPr>
        <w:tc>
          <w:tcPr>
            <w:tcW w:w="8314" w:type="dxa"/>
            <w:shd w:val="clear" w:color="auto" w:fill="FFFFFF" w:themeFill="background1"/>
            <w:vAlign w:val="center"/>
          </w:tcPr>
          <w:p w14:paraId="516EE6D4" w14:textId="4A088414" w:rsidR="00BF42C5" w:rsidRDefault="00BF42C5"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797B60">
            <w:pPr>
              <w:pStyle w:val="MaterialsandMethodsText"/>
            </w:pPr>
            <w:r w:rsidRPr="00277A48">
              <w:t>[</w:t>
            </w:r>
            <w:r>
              <w:t>20</w:t>
            </w:r>
            <w:r w:rsidRPr="00277A48">
              <w:t>]</w:t>
            </w:r>
          </w:p>
        </w:tc>
      </w:tr>
    </w:tbl>
    <w:p w14:paraId="4E5589D5" w14:textId="627B8F52" w:rsidR="00325883" w:rsidRDefault="000971C8" w:rsidP="003F4A3B">
      <w:pPr>
        <w:jc w:val="both"/>
      </w:pPr>
      <w:r>
        <w:t>We found both Test Models to be significantly better than the Null Models. For the timing task, we found a regression coefficient for SD Ratio Timing of 0.088 s (SE = 0.038 s; p = 0.021). For the spatial task, we found a regression coefficient for SD Ratio Distance of 0.57 m (SE = 0.052; p </w:t>
      </w:r>
      <w:r>
        <w:rPr>
          <w:lang w:val="en-CA"/>
        </w:rPr>
        <w:t>&lt;</w:t>
      </w:r>
      <w:r>
        <w:t> 2*10^16).</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w:t>
      </w:r>
      <w:proofErr w:type="spellStart"/>
      <w:r w:rsidR="004A71E1">
        <w:t>airdrag</w:t>
      </w:r>
      <w:proofErr w:type="spellEnd"/>
      <w:r w:rsidR="004A71E1">
        <w:t xml:space="preserve">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797B60">
        <w:trPr>
          <w:trHeight w:val="376"/>
        </w:trPr>
        <w:tc>
          <w:tcPr>
            <w:tcW w:w="8314" w:type="dxa"/>
            <w:shd w:val="clear" w:color="auto" w:fill="FFFFFF" w:themeFill="background1"/>
            <w:vAlign w:val="center"/>
          </w:tcPr>
          <w:p w14:paraId="3E286793" w14:textId="489862D6" w:rsidR="004A71E1" w:rsidRPr="009D32B4" w:rsidRDefault="004A71E1"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797B60">
            <w:pPr>
              <w:pStyle w:val="MaterialsandMethodsText"/>
            </w:pPr>
            <w:r w:rsidRPr="00277A48">
              <w:t>[</w:t>
            </w:r>
            <w:r>
              <w:t>20</w:t>
            </w:r>
            <w:r w:rsidRPr="00277A48">
              <w:t>]</w:t>
            </w:r>
          </w:p>
        </w:tc>
      </w:tr>
      <w:tr w:rsidR="004A71E1" w:rsidRPr="00277A48" w14:paraId="10E7CC97" w14:textId="77777777" w:rsidTr="00797B60">
        <w:trPr>
          <w:trHeight w:val="376"/>
        </w:trPr>
        <w:tc>
          <w:tcPr>
            <w:tcW w:w="8314" w:type="dxa"/>
            <w:shd w:val="clear" w:color="auto" w:fill="FFFFFF" w:themeFill="background1"/>
            <w:vAlign w:val="center"/>
          </w:tcPr>
          <w:p w14:paraId="26B337B2" w14:textId="496BB45A" w:rsidR="004A71E1" w:rsidRDefault="004A71E1"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oMath>
            </m:oMathPara>
          </w:p>
        </w:tc>
        <w:tc>
          <w:tcPr>
            <w:tcW w:w="783" w:type="dxa"/>
            <w:shd w:val="clear" w:color="auto" w:fill="FFFFFF" w:themeFill="background1"/>
            <w:vAlign w:val="center"/>
          </w:tcPr>
          <w:p w14:paraId="446C7C42" w14:textId="77777777" w:rsidR="004A71E1" w:rsidRPr="00277A48" w:rsidRDefault="004A71E1" w:rsidP="00797B60">
            <w:pPr>
              <w:pStyle w:val="MaterialsandMethodsText"/>
            </w:pPr>
            <w:r w:rsidRPr="00277A48">
              <w:t>[</w:t>
            </w:r>
            <w:r>
              <w:t>20</w:t>
            </w:r>
            <w:r w:rsidRPr="00277A48">
              <w:t>]</w:t>
            </w:r>
          </w:p>
        </w:tc>
      </w:tr>
    </w:tbl>
    <w:p w14:paraId="318F281B" w14:textId="22500512" w:rsidR="004A71E1" w:rsidRDefault="00FC367F" w:rsidP="003F4A3B">
      <w:pPr>
        <w:jc w:val="both"/>
      </w:pPr>
      <w:r>
        <w:t xml:space="preserve">Using the </w:t>
      </w:r>
      <w:proofErr w:type="gramStart"/>
      <w:r>
        <w:t>hypothesis(</w:t>
      </w:r>
      <w:proofErr w:type="gramEnd"/>
      <w:r>
        <w:t>)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lastRenderedPageBreak/>
        <w:drawing>
          <wp:inline distT="0" distB="0" distL="0" distR="0" wp14:anchorId="507EEA8F" wp14:editId="15C019D3">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8" w:name="_Ref36169278"/>
      <w:bookmarkStart w:id="9" w:name="_Ref36169284"/>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9"/>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8"/>
    </w:p>
    <w:p w14:paraId="5AE7B51B" w14:textId="061BAFCB" w:rsidR="00143A8E" w:rsidRPr="0030022A" w:rsidRDefault="00143A8E" w:rsidP="003F4A3B">
      <w:pPr>
        <w:jc w:val="both"/>
      </w:pPr>
    </w:p>
    <w:p w14:paraId="6F33B032" w14:textId="2CFB69DF" w:rsidR="00143A8E" w:rsidRPr="0030022A" w:rsidRDefault="00143A8E" w:rsidP="003F4A3B">
      <w:pPr>
        <w:jc w:val="both"/>
      </w:pPr>
    </w:p>
    <w:p w14:paraId="441965A8" w14:textId="24B81CF5" w:rsidR="00143A8E" w:rsidRPr="0030022A" w:rsidRDefault="00143A8E" w:rsidP="00143A8E">
      <w:pPr>
        <w:pStyle w:val="Heading2"/>
        <w:rPr>
          <w:lang w:val="es-ES"/>
        </w:rPr>
      </w:pPr>
      <w:proofErr w:type="spellStart"/>
      <w:r w:rsidRPr="0030022A">
        <w:rPr>
          <w:lang w:val="es-ES"/>
        </w:rPr>
        <w:t>References</w:t>
      </w:r>
      <w:proofErr w:type="spellEnd"/>
    </w:p>
    <w:p w14:paraId="0B118C0E" w14:textId="5175F878" w:rsidR="00797B60" w:rsidRPr="00797B60" w:rsidRDefault="00143A8E" w:rsidP="00797B6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797B60" w:rsidRPr="00797B60">
        <w:rPr>
          <w:rFonts w:ascii="Calibri" w:hAnsi="Calibri" w:cs="Calibri"/>
          <w:noProof/>
          <w:szCs w:val="24"/>
        </w:rPr>
        <w:t xml:space="preserve">Adams, W. J., Graf, E. W., &amp; Ernst, M. O. (2004). Experience can change the “light-from-above” prior. </w:t>
      </w:r>
      <w:r w:rsidR="00797B60" w:rsidRPr="00797B60">
        <w:rPr>
          <w:rFonts w:ascii="Calibri" w:hAnsi="Calibri" w:cs="Calibri"/>
          <w:i/>
          <w:iCs/>
          <w:noProof/>
          <w:szCs w:val="24"/>
        </w:rPr>
        <w:t>Nature Neuroscience</w:t>
      </w:r>
      <w:r w:rsidR="00797B60" w:rsidRPr="00797B60">
        <w:rPr>
          <w:rFonts w:ascii="Calibri" w:hAnsi="Calibri" w:cs="Calibri"/>
          <w:noProof/>
          <w:szCs w:val="24"/>
        </w:rPr>
        <w:t xml:space="preserve">, </w:t>
      </w:r>
      <w:r w:rsidR="00797B60" w:rsidRPr="00797B60">
        <w:rPr>
          <w:rFonts w:ascii="Calibri" w:hAnsi="Calibri" w:cs="Calibri"/>
          <w:i/>
          <w:iCs/>
          <w:noProof/>
          <w:szCs w:val="24"/>
        </w:rPr>
        <w:t>7</w:t>
      </w:r>
      <w:r w:rsidR="00797B60" w:rsidRPr="00797B60">
        <w:rPr>
          <w:rFonts w:ascii="Calibri" w:hAnsi="Calibri" w:cs="Calibri"/>
          <w:noProof/>
          <w:szCs w:val="24"/>
        </w:rPr>
        <w:t>(10), 1057–1058. https://doi.org/10.1038/nn1312</w:t>
      </w:r>
    </w:p>
    <w:p w14:paraId="3B3698D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Bates, D., Mächler, M., Bolker, B. M., &amp; Walker, S. C. (2015). Fitting linear mixed-effects models using lme4. </w:t>
      </w:r>
      <w:r w:rsidRPr="00797B60">
        <w:rPr>
          <w:rFonts w:ascii="Calibri" w:hAnsi="Calibri" w:cs="Calibri"/>
          <w:i/>
          <w:iCs/>
          <w:noProof/>
          <w:szCs w:val="24"/>
        </w:rPr>
        <w:t>Journal of Statistical Software</w:t>
      </w:r>
      <w:r w:rsidRPr="00797B60">
        <w:rPr>
          <w:rFonts w:ascii="Calibri" w:hAnsi="Calibri" w:cs="Calibri"/>
          <w:noProof/>
          <w:szCs w:val="24"/>
        </w:rPr>
        <w:t xml:space="preserve">, </w:t>
      </w:r>
      <w:r w:rsidRPr="00797B60">
        <w:rPr>
          <w:rFonts w:ascii="Calibri" w:hAnsi="Calibri" w:cs="Calibri"/>
          <w:i/>
          <w:iCs/>
          <w:noProof/>
          <w:szCs w:val="24"/>
        </w:rPr>
        <w:t>67</w:t>
      </w:r>
      <w:r w:rsidRPr="00797B60">
        <w:rPr>
          <w:rFonts w:ascii="Calibri" w:hAnsi="Calibri" w:cs="Calibri"/>
          <w:noProof/>
          <w:szCs w:val="24"/>
        </w:rPr>
        <w:t>(1). https://doi.org/10.18637/jss.v067.i01</w:t>
      </w:r>
    </w:p>
    <w:p w14:paraId="3891C92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Bosco, G., Delle Monache, S., Gravano, S., Indovina, I., La Scaleia, B., Maffei, V., … Lacquaniti, F. (2015). Filling gaps in visual motion for target capture.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 https://doi.org/10.3389/fnint.2015.00013</w:t>
      </w:r>
    </w:p>
    <w:p w14:paraId="4BDE58E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Bürkner, P. C. (2018). Advanced Bayesian multilevel modeling with the R package brms. </w:t>
      </w:r>
      <w:r w:rsidRPr="00797B60">
        <w:rPr>
          <w:rFonts w:ascii="Calibri" w:hAnsi="Calibri" w:cs="Calibri"/>
          <w:i/>
          <w:iCs/>
          <w:noProof/>
          <w:szCs w:val="24"/>
        </w:rPr>
        <w:t>R Journal</w:t>
      </w:r>
      <w:r w:rsidRPr="00797B60">
        <w:rPr>
          <w:rFonts w:ascii="Calibri" w:hAnsi="Calibri" w:cs="Calibri"/>
          <w:noProof/>
          <w:szCs w:val="24"/>
        </w:rPr>
        <w:t xml:space="preserve">, </w:t>
      </w:r>
      <w:r w:rsidRPr="00797B60">
        <w:rPr>
          <w:rFonts w:ascii="Calibri" w:hAnsi="Calibri" w:cs="Calibri"/>
          <w:i/>
          <w:iCs/>
          <w:noProof/>
          <w:szCs w:val="24"/>
        </w:rPr>
        <w:t>10</w:t>
      </w:r>
      <w:r w:rsidRPr="00797B60">
        <w:rPr>
          <w:rFonts w:ascii="Calibri" w:hAnsi="Calibri" w:cs="Calibri"/>
          <w:noProof/>
          <w:szCs w:val="24"/>
        </w:rPr>
        <w:t>(1), 395–411. https://doi.org/10.32614/rj-2018-017</w:t>
      </w:r>
    </w:p>
    <w:p w14:paraId="2C053BD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Gómez, J., &amp; López-Moliner, J. (2013). Synergies between optical and physical variables in intercepting parabolic targets. </w:t>
      </w:r>
      <w:r w:rsidRPr="00797B60">
        <w:rPr>
          <w:rFonts w:ascii="Calibri" w:hAnsi="Calibri" w:cs="Calibri"/>
          <w:i/>
          <w:iCs/>
          <w:noProof/>
          <w:szCs w:val="24"/>
        </w:rPr>
        <w:t>Frontiers in Behavioral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(May), 46. https://doi.org/10.3389/fnbeh.2013.00046</w:t>
      </w:r>
    </w:p>
    <w:p w14:paraId="5FD530C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Hosking, S. G., &amp; Crassini, B. (2010). The effects of familiar size and object trajectories on time-to-contact judgements.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203</w:t>
      </w:r>
      <w:r w:rsidRPr="00797B60">
        <w:rPr>
          <w:rFonts w:ascii="Calibri" w:hAnsi="Calibri" w:cs="Calibri"/>
          <w:noProof/>
          <w:szCs w:val="24"/>
        </w:rPr>
        <w:t>(3), 541–552. https://doi.org/10.1007/s00221-010-2258-7</w:t>
      </w:r>
    </w:p>
    <w:p w14:paraId="10BCDFF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Indovina, I., Maffei, V., Bosco, G., Zago, M., Macaluso, E., &amp; Lacquaniti, F. (2005). Representation of visual gravitational motion in the human vestibular cortex. </w:t>
      </w:r>
      <w:r w:rsidRPr="00797B60">
        <w:rPr>
          <w:rFonts w:ascii="Calibri" w:hAnsi="Calibri" w:cs="Calibri"/>
          <w:i/>
          <w:iCs/>
          <w:noProof/>
          <w:szCs w:val="24"/>
        </w:rPr>
        <w:t>Science (New York, N.Y.)</w:t>
      </w:r>
      <w:r w:rsidRPr="00797B60">
        <w:rPr>
          <w:rFonts w:ascii="Calibri" w:hAnsi="Calibri" w:cs="Calibri"/>
          <w:noProof/>
          <w:szCs w:val="24"/>
        </w:rPr>
        <w:t xml:space="preserve">, </w:t>
      </w:r>
      <w:r w:rsidRPr="00797B60">
        <w:rPr>
          <w:rFonts w:ascii="Calibri" w:hAnsi="Calibri" w:cs="Calibri"/>
          <w:i/>
          <w:iCs/>
          <w:noProof/>
          <w:szCs w:val="24"/>
        </w:rPr>
        <w:t>308</w:t>
      </w:r>
      <w:r w:rsidRPr="00797B60">
        <w:rPr>
          <w:rFonts w:ascii="Calibri" w:hAnsi="Calibri" w:cs="Calibri"/>
          <w:noProof/>
          <w:szCs w:val="24"/>
        </w:rPr>
        <w:t>(April), 416–419. https://doi.org/10.1126/science.1107961</w:t>
      </w:r>
    </w:p>
    <w:p w14:paraId="38E8DDD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Jokisch, D., &amp; Troje, N. F. (2003). Biological motion as a cue for the perception of size.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3</w:t>
      </w:r>
      <w:r w:rsidRPr="00797B60">
        <w:rPr>
          <w:rFonts w:ascii="Calibri" w:hAnsi="Calibri" w:cs="Calibri"/>
          <w:noProof/>
          <w:szCs w:val="24"/>
        </w:rPr>
        <w:t>(4), 252–264. https://doi.org/10.1167/3.4.1</w:t>
      </w:r>
    </w:p>
    <w:p w14:paraId="589497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 &amp; López-Moliner, J. (2019). Earth-Gravity Congruent Motion Facilitates Ocular Control for Pursuit of Parabolic Trajectories. </w:t>
      </w:r>
      <w:r w:rsidRPr="00797B60">
        <w:rPr>
          <w:rFonts w:ascii="Calibri" w:hAnsi="Calibri" w:cs="Calibri"/>
          <w:i/>
          <w:iCs/>
          <w:noProof/>
          <w:szCs w:val="24"/>
        </w:rPr>
        <w:t>Scientific Reports</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(1). https://doi.org/10.1038/s41598-019-50512-6</w:t>
      </w:r>
    </w:p>
    <w:p w14:paraId="577FC571"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(2017). Gravity as a strong prior: Implications for perception and action. </w:t>
      </w:r>
      <w:r w:rsidRPr="00797B60">
        <w:rPr>
          <w:rFonts w:ascii="Calibri" w:hAnsi="Calibri" w:cs="Calibri"/>
          <w:i/>
          <w:iCs/>
          <w:noProof/>
          <w:szCs w:val="24"/>
        </w:rPr>
        <w:t>Frontiers in Human Neuroscience</w:t>
      </w:r>
      <w:r w:rsidRPr="00797B60">
        <w:rPr>
          <w:rFonts w:ascii="Calibri" w:hAnsi="Calibri" w:cs="Calibri"/>
          <w:noProof/>
          <w:szCs w:val="24"/>
        </w:rPr>
        <w:t>, Vol. 11. https://doi.org/10.3389/fnhum.2017.00203</w:t>
      </w:r>
    </w:p>
    <w:p w14:paraId="5BC6672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(2020). Characterizing the Strong Earth Gravity Prior. </w:t>
      </w:r>
      <w:r w:rsidRPr="00797B60">
        <w:rPr>
          <w:rFonts w:ascii="Calibri" w:hAnsi="Calibri" w:cs="Calibri"/>
          <w:i/>
          <w:iCs/>
          <w:noProof/>
          <w:szCs w:val="24"/>
        </w:rPr>
        <w:t>PsyArXive</w:t>
      </w:r>
      <w:r w:rsidRPr="00797B60">
        <w:rPr>
          <w:rFonts w:ascii="Calibri" w:hAnsi="Calibri" w:cs="Calibri"/>
          <w:noProof/>
          <w:szCs w:val="24"/>
        </w:rPr>
        <w:t>, 1–19. https://doi.org/10.31234/osf.io/exp93</w:t>
      </w:r>
    </w:p>
    <w:p w14:paraId="65701A9B"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 Scaleia, B., Zago, M., Moscatelli, A., Lacquaniti, F., &amp; Viviani, P. (2014). Implied dynamics biases the visual perception of velocity. </w:t>
      </w:r>
      <w:r w:rsidRPr="00797B60">
        <w:rPr>
          <w:rFonts w:ascii="Calibri" w:hAnsi="Calibri" w:cs="Calibri"/>
          <w:i/>
          <w:iCs/>
          <w:noProof/>
          <w:szCs w:val="24"/>
        </w:rPr>
        <w:t>PLoS ONE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(3). https://doi.org/10.1371/journal.pone.0093020</w:t>
      </w:r>
    </w:p>
    <w:p w14:paraId="18B9AB8A"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Gravano, S., Indovina, I., La Scaleia, B., Maffei, V., &amp; Zago, M. (2015). Gravity in the Brain as a Reference for Space and Time Perception. </w:t>
      </w:r>
      <w:r w:rsidRPr="00797B60">
        <w:rPr>
          <w:rFonts w:ascii="Calibri" w:hAnsi="Calibri" w:cs="Calibri"/>
          <w:i/>
          <w:iCs/>
          <w:noProof/>
          <w:szCs w:val="24"/>
        </w:rPr>
        <w:t>Multisensory Research</w:t>
      </w:r>
      <w:r w:rsidRPr="00797B60">
        <w:rPr>
          <w:rFonts w:ascii="Calibri" w:hAnsi="Calibri" w:cs="Calibri"/>
          <w:noProof/>
          <w:szCs w:val="24"/>
        </w:rPr>
        <w:t xml:space="preserve">, </w:t>
      </w:r>
      <w:r w:rsidRPr="00797B60">
        <w:rPr>
          <w:rFonts w:ascii="Calibri" w:hAnsi="Calibri" w:cs="Calibri"/>
          <w:i/>
          <w:iCs/>
          <w:noProof/>
          <w:szCs w:val="24"/>
        </w:rPr>
        <w:t>28</w:t>
      </w:r>
      <w:r w:rsidRPr="00797B60">
        <w:rPr>
          <w:rFonts w:ascii="Calibri" w:hAnsi="Calibri" w:cs="Calibri"/>
          <w:noProof/>
          <w:szCs w:val="24"/>
        </w:rPr>
        <w:t>(5–6), 397–426. https://doi.org/10.1163/22134808-00002471</w:t>
      </w:r>
    </w:p>
    <w:p w14:paraId="25F690F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Indovina, I., La Scaleia, B., Maffei, V., Moscatelli, A., &amp; Zago, M. (2013). Visual gravitational motion and the vestibular system in humans.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(December), 101. https://doi.org/10.3389/fnint.2013.00101</w:t>
      </w:r>
    </w:p>
    <w:p w14:paraId="7F23562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López-Moliner, J., Field, D. T., &amp; Wann, J. P. (2007). Interceptive timing: prior knowledge matters.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 1–8. https://doi.org/10.1167/7.13.11</w:t>
      </w:r>
    </w:p>
    <w:p w14:paraId="09ACDF8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 Zago, M., &amp; Berthoz, A. (2001). Does the Brain Model Newton’s Laws. </w:t>
      </w:r>
      <w:r w:rsidRPr="00797B60">
        <w:rPr>
          <w:rFonts w:ascii="Calibri" w:hAnsi="Calibri" w:cs="Calibri"/>
          <w:i/>
          <w:iCs/>
          <w:noProof/>
          <w:szCs w:val="24"/>
        </w:rPr>
        <w:t>Nature Neuroscience</w:t>
      </w:r>
      <w:r w:rsidRPr="00797B60">
        <w:rPr>
          <w:rFonts w:ascii="Calibri" w:hAnsi="Calibri" w:cs="Calibri"/>
          <w:noProof/>
          <w:szCs w:val="24"/>
        </w:rPr>
        <w:t xml:space="preserve">, </w:t>
      </w:r>
      <w:r w:rsidRPr="00797B60">
        <w:rPr>
          <w:rFonts w:ascii="Calibri" w:hAnsi="Calibri" w:cs="Calibri"/>
          <w:i/>
          <w:iCs/>
          <w:noProof/>
          <w:szCs w:val="24"/>
        </w:rPr>
        <w:t>12</w:t>
      </w:r>
      <w:r w:rsidRPr="00797B60">
        <w:rPr>
          <w:rFonts w:ascii="Calibri" w:hAnsi="Calibri" w:cs="Calibri"/>
          <w:noProof/>
          <w:szCs w:val="24"/>
        </w:rPr>
        <w:t>(17), 109–110. https://doi.org/10.1097/00001756-200112040-00004</w:t>
      </w:r>
    </w:p>
    <w:p w14:paraId="4807EAED"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Joseph, Zago, M., Berthoz, A., &amp; Lacquaniti, F. (2003). The Brain as a Predictor: On Catching Flying Balls in Zero-G. In J. C. Buckey &amp; J. L. Homick (Eds.), </w:t>
      </w:r>
      <w:r w:rsidRPr="00797B60">
        <w:rPr>
          <w:rFonts w:ascii="Calibri" w:hAnsi="Calibri" w:cs="Calibri"/>
          <w:i/>
          <w:iCs/>
          <w:noProof/>
          <w:szCs w:val="24"/>
        </w:rPr>
        <w:t>The Neurolab Spacelab Mission: Neuroscience Research in Space</w:t>
      </w:r>
      <w:r w:rsidRPr="00797B60">
        <w:rPr>
          <w:rFonts w:ascii="Calibri" w:hAnsi="Calibri" w:cs="Calibri"/>
          <w:noProof/>
          <w:szCs w:val="24"/>
        </w:rPr>
        <w:t xml:space="preserve"> (pp. 55–61). National Aeronautics and Space Administration, Lyndon B. Johnson Space Center.</w:t>
      </w:r>
    </w:p>
    <w:p w14:paraId="72CC58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232</w:t>
      </w:r>
      <w:r w:rsidRPr="00797B60">
        <w:rPr>
          <w:rFonts w:ascii="Calibri" w:hAnsi="Calibri" w:cs="Calibri"/>
          <w:noProof/>
          <w:szCs w:val="24"/>
        </w:rPr>
        <w:t>(12), 3803–3811. https://doi.org/10.1007/s00221-014-4050-6</w:t>
      </w:r>
    </w:p>
    <w:p w14:paraId="2466F8EC"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Neupärtl, N., Tatai, F., &amp; Rothkopf, C. A. (2020). Intuitive physical reasoning about objects ’ masses transfers to a visuomotor decision task consistent with Newtonian physics Author summary. </w:t>
      </w:r>
      <w:r w:rsidRPr="00797B60">
        <w:rPr>
          <w:rFonts w:ascii="Calibri" w:hAnsi="Calibri" w:cs="Calibri"/>
          <w:i/>
          <w:iCs/>
          <w:noProof/>
          <w:szCs w:val="24"/>
        </w:rPr>
        <w:t>BioRxiv</w:t>
      </w:r>
      <w:r w:rsidRPr="00797B60">
        <w:rPr>
          <w:rFonts w:ascii="Calibri" w:hAnsi="Calibri" w:cs="Calibri"/>
          <w:noProof/>
          <w:szCs w:val="24"/>
        </w:rPr>
        <w:t>, 1–32.</w:t>
      </w:r>
    </w:p>
    <w:p w14:paraId="1D68496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R Core Team. (2017). </w:t>
      </w:r>
      <w:r w:rsidRPr="00797B60">
        <w:rPr>
          <w:rFonts w:ascii="Calibri" w:hAnsi="Calibri" w:cs="Calibri"/>
          <w:i/>
          <w:iCs/>
          <w:noProof/>
          <w:szCs w:val="24"/>
        </w:rPr>
        <w:t>A Language and Environment for Statistical Computing. R Foundation for Statistical Computing,</w:t>
      </w:r>
      <w:r w:rsidRPr="00797B60">
        <w:rPr>
          <w:rFonts w:ascii="Calibri" w:hAnsi="Calibri" w:cs="Calibri"/>
          <w:noProof/>
          <w:szCs w:val="24"/>
        </w:rPr>
        <w:t>. Retrieved from http://www.r-project.org/.</w:t>
      </w:r>
    </w:p>
    <w:p w14:paraId="44D5D6A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797B60">
        <w:rPr>
          <w:rFonts w:ascii="Calibri" w:hAnsi="Calibri" w:cs="Calibri"/>
          <w:i/>
          <w:iCs/>
          <w:noProof/>
          <w:szCs w:val="24"/>
        </w:rPr>
        <w:t>Journal of Neurophysiology</w:t>
      </w:r>
      <w:r w:rsidRPr="00797B60">
        <w:rPr>
          <w:rFonts w:ascii="Calibri" w:hAnsi="Calibri" w:cs="Calibri"/>
          <w:noProof/>
          <w:szCs w:val="24"/>
        </w:rPr>
        <w:t xml:space="preserve">, </w:t>
      </w:r>
      <w:r w:rsidRPr="00797B60">
        <w:rPr>
          <w:rFonts w:ascii="Calibri" w:hAnsi="Calibri" w:cs="Calibri"/>
          <w:i/>
          <w:iCs/>
          <w:noProof/>
          <w:szCs w:val="24"/>
        </w:rPr>
        <w:t>94</w:t>
      </w:r>
      <w:r w:rsidRPr="00797B60">
        <w:rPr>
          <w:rFonts w:ascii="Calibri" w:hAnsi="Calibri" w:cs="Calibri"/>
          <w:noProof/>
          <w:szCs w:val="24"/>
        </w:rPr>
        <w:t>(6), 4471–4480. https://doi.org/10.1152/jn.00527.2005</w:t>
      </w:r>
    </w:p>
    <w:p w14:paraId="5A99A34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797B60">
        <w:rPr>
          <w:rFonts w:ascii="Calibri" w:hAnsi="Calibri" w:cs="Calibri"/>
          <w:i/>
          <w:iCs/>
          <w:noProof/>
          <w:szCs w:val="24"/>
        </w:rPr>
        <w:t>Journal of Neuroscience</w:t>
      </w:r>
      <w:r w:rsidRPr="00797B60">
        <w:rPr>
          <w:rFonts w:ascii="Calibri" w:hAnsi="Calibri" w:cs="Calibri"/>
          <w:noProof/>
          <w:szCs w:val="24"/>
        </w:rPr>
        <w:t xml:space="preserve">, </w:t>
      </w:r>
      <w:r w:rsidRPr="00797B60">
        <w:rPr>
          <w:rFonts w:ascii="Calibri" w:hAnsi="Calibri" w:cs="Calibri"/>
          <w:i/>
          <w:iCs/>
          <w:noProof/>
          <w:szCs w:val="24"/>
        </w:rPr>
        <w:t>32</w:t>
      </w:r>
      <w:r w:rsidRPr="00797B60">
        <w:rPr>
          <w:rFonts w:ascii="Calibri" w:hAnsi="Calibri" w:cs="Calibri"/>
          <w:noProof/>
          <w:szCs w:val="24"/>
        </w:rPr>
        <w:t>(6), 1969–1973. https://doi.org/10.1523/JNEUROSCI.3886-11.2012</w:t>
      </w:r>
    </w:p>
    <w:p w14:paraId="5318F0D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Stan Development Team. (2016). </w:t>
      </w:r>
      <w:r w:rsidRPr="00797B60">
        <w:rPr>
          <w:rFonts w:ascii="Calibri" w:hAnsi="Calibri" w:cs="Calibri"/>
          <w:i/>
          <w:iCs/>
          <w:noProof/>
          <w:szCs w:val="24"/>
        </w:rPr>
        <w:t>Stan: the R interface to Stan. R package version 2.14.1</w:t>
      </w:r>
      <w:r w:rsidRPr="00797B60">
        <w:rPr>
          <w:rFonts w:ascii="Calibri" w:hAnsi="Calibri" w:cs="Calibri"/>
          <w:noProof/>
          <w:szCs w:val="24"/>
        </w:rPr>
        <w:t>. 1–23. Retrieved from http://mc-stan.org</w:t>
      </w:r>
    </w:p>
    <w:p w14:paraId="7EDC6E73"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Vallortigara, G., &amp; Regolin, L. (2007). Gravity bias in the interpretation of biological motion by inexperienced chicks. </w:t>
      </w:r>
      <w:r w:rsidRPr="00797B60">
        <w:rPr>
          <w:rFonts w:ascii="Calibri" w:hAnsi="Calibri" w:cs="Calibri"/>
          <w:i/>
          <w:iCs/>
          <w:noProof/>
          <w:szCs w:val="24"/>
        </w:rPr>
        <w:t>Current Biology</w:t>
      </w:r>
      <w:r w:rsidRPr="00797B60">
        <w:rPr>
          <w:rFonts w:ascii="Calibri" w:hAnsi="Calibri" w:cs="Calibri"/>
          <w:noProof/>
          <w:szCs w:val="24"/>
        </w:rPr>
        <w:t xml:space="preserve">, </w:t>
      </w:r>
      <w:r w:rsidRPr="00797B60">
        <w:rPr>
          <w:rFonts w:ascii="Calibri" w:hAnsi="Calibri" w:cs="Calibri"/>
          <w:i/>
          <w:iCs/>
          <w:noProof/>
          <w:szCs w:val="24"/>
        </w:rPr>
        <w:t>16</w:t>
      </w:r>
      <w:r w:rsidRPr="00797B60">
        <w:rPr>
          <w:rFonts w:ascii="Calibri" w:hAnsi="Calibri" w:cs="Calibri"/>
          <w:noProof/>
          <w:szCs w:val="24"/>
        </w:rPr>
        <w:t>(September), R279–R280.</w:t>
      </w:r>
    </w:p>
    <w:p w14:paraId="698625C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Wei, X. X., &amp; Stocker, A. A. (2017). Lawful relation between perceptual bias and discriminability. </w:t>
      </w:r>
      <w:r w:rsidRPr="00797B60">
        <w:rPr>
          <w:rFonts w:ascii="Calibri" w:hAnsi="Calibri" w:cs="Calibri"/>
          <w:i/>
          <w:iCs/>
          <w:noProof/>
          <w:szCs w:val="24"/>
        </w:rPr>
        <w:t>Proceedings of the National Academy of Sciences of the United States of America</w:t>
      </w:r>
      <w:r w:rsidRPr="00797B60">
        <w:rPr>
          <w:rFonts w:ascii="Calibri" w:hAnsi="Calibri" w:cs="Calibri"/>
          <w:noProof/>
          <w:szCs w:val="24"/>
        </w:rPr>
        <w:t xml:space="preserve">, </w:t>
      </w:r>
      <w:r w:rsidRPr="00797B60">
        <w:rPr>
          <w:rFonts w:ascii="Calibri" w:hAnsi="Calibri" w:cs="Calibri"/>
          <w:i/>
          <w:iCs/>
          <w:noProof/>
          <w:szCs w:val="24"/>
        </w:rPr>
        <w:t>114</w:t>
      </w:r>
      <w:r w:rsidRPr="00797B60">
        <w:rPr>
          <w:rFonts w:ascii="Calibri" w:hAnsi="Calibri" w:cs="Calibri"/>
          <w:noProof/>
          <w:szCs w:val="24"/>
        </w:rPr>
        <w:t>(38), 10244–10249. https://doi.org/10.1073/pnas.1619153114</w:t>
      </w:r>
    </w:p>
    <w:p w14:paraId="5A63B0E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rPr>
      </w:pPr>
      <w:r w:rsidRPr="00797B60">
        <w:rPr>
          <w:rFonts w:ascii="Calibri" w:hAnsi="Calibri" w:cs="Calibri"/>
          <w:noProof/>
          <w:szCs w:val="24"/>
        </w:rPr>
        <w:t xml:space="preserve">Zago, M., La Scaleia, B., Miller, W. L., &amp; Lacquaniti, F. (2011). Coherence of structural visual cues and pictorial gravity paves the way for interceptive actions.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11</w:t>
      </w:r>
      <w:r w:rsidRPr="00797B60">
        <w:rPr>
          <w:rFonts w:ascii="Calibri" w:hAnsi="Calibri" w:cs="Calibri"/>
          <w:noProof/>
          <w:szCs w:val="24"/>
        </w:rPr>
        <w:t>(10), 1–10. https://doi.org/10.1167/11.10.13.Introduction</w:t>
      </w:r>
    </w:p>
    <w:p w14:paraId="2D2D712A" w14:textId="5AF04ADC" w:rsidR="00143A8E" w:rsidRDefault="00143A8E"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97B60" w:rsidRDefault="00797B60">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797B60" w:rsidRDefault="00797B60">
      <w:pPr>
        <w:pStyle w:val="CommentText"/>
      </w:pPr>
      <w:r>
        <w:rPr>
          <w:rStyle w:val="CommentReference"/>
        </w:rPr>
        <w:annotationRef/>
      </w:r>
      <w:r>
        <w:t>?</w:t>
      </w:r>
    </w:p>
  </w:comment>
  <w:comment w:id="2" w:author="Björn Jörges" w:date="2020-03-21T02:25:00Z" w:initials="BJ">
    <w:p w14:paraId="7913EE9E" w14:textId="714DF70C" w:rsidR="00797B60" w:rsidRDefault="00797B60">
      <w:pPr>
        <w:pStyle w:val="CommentText"/>
      </w:pPr>
      <w:r>
        <w:rPr>
          <w:rStyle w:val="CommentReference"/>
        </w:rPr>
        <w:annotationRef/>
      </w:r>
      <w:r>
        <w:t>?</w:t>
      </w:r>
    </w:p>
  </w:comment>
  <w:comment w:id="3" w:author="Björn Jörges" w:date="2020-03-27T03:22:00Z" w:initials="BJ">
    <w:p w14:paraId="1893F84F" w14:textId="77777777" w:rsidR="00797B60" w:rsidRDefault="00797B60">
      <w:pPr>
        <w:pStyle w:val="CommentText"/>
        <w:rPr>
          <w:lang w:val="es-ES"/>
        </w:rPr>
      </w:pPr>
      <w:r>
        <w:rPr>
          <w:rStyle w:val="CommentReference"/>
        </w:rPr>
        <w:annotationRef/>
      </w:r>
      <w:r w:rsidRPr="001B67E1">
        <w:rPr>
          <w:lang w:val="es-ES"/>
        </w:rPr>
        <w:t xml:space="preserve">No sé </w:t>
      </w:r>
      <w:proofErr w:type="gramStart"/>
      <w:r w:rsidRPr="001B67E1">
        <w:rPr>
          <w:lang w:val="es-ES"/>
        </w:rPr>
        <w:t>porque</w:t>
      </w:r>
      <w:proofErr w:type="gramEnd"/>
      <w:r w:rsidRPr="001B67E1">
        <w:rPr>
          <w:lang w:val="es-ES"/>
        </w:rPr>
        <w:t xml:space="preserve"> pero el </w:t>
      </w:r>
      <w:proofErr w:type="spellStart"/>
      <w:r w:rsidRPr="001B67E1">
        <w:rPr>
          <w:lang w:val="es-ES"/>
        </w:rPr>
        <w:t>codigo</w:t>
      </w:r>
      <w:proofErr w:type="spellEnd"/>
      <w:r w:rsidRPr="001B67E1">
        <w:rPr>
          <w:lang w:val="es-ES"/>
        </w:rPr>
        <w:t xml:space="preserve"> para este </w:t>
      </w:r>
      <w:proofErr w:type="spellStart"/>
      <w:r w:rsidRPr="001B67E1">
        <w:rPr>
          <w:lang w:val="es-ES"/>
        </w:rPr>
        <w:t>plot</w:t>
      </w:r>
      <w:proofErr w:type="spellEnd"/>
      <w:r w:rsidRPr="001B67E1">
        <w:rPr>
          <w:lang w:val="es-ES"/>
        </w:rPr>
        <w:t xml:space="preserve"> no me va.</w:t>
      </w:r>
      <w:r>
        <w:rPr>
          <w:lang w:val="es-ES"/>
        </w:rPr>
        <w:t xml:space="preserve"> Podrías:</w:t>
      </w:r>
    </w:p>
    <w:p w14:paraId="09058CAF" w14:textId="77777777" w:rsidR="00797B60" w:rsidRDefault="00797B60" w:rsidP="001B67E1">
      <w:pPr>
        <w:pStyle w:val="CommentText"/>
        <w:numPr>
          <w:ilvl w:val="0"/>
          <w:numId w:val="1"/>
        </w:numPr>
        <w:rPr>
          <w:lang w:val="es-ES"/>
        </w:rPr>
      </w:pPr>
      <w:r>
        <w:rPr>
          <w:lang w:val="es-ES"/>
        </w:rPr>
        <w:t xml:space="preserve"> Añadir el pantallazo de la visual </w:t>
      </w:r>
      <w:proofErr w:type="spellStart"/>
      <w:r>
        <w:rPr>
          <w:lang w:val="es-ES"/>
        </w:rPr>
        <w:t>scene</w:t>
      </w:r>
      <w:proofErr w:type="spellEnd"/>
    </w:p>
    <w:p w14:paraId="032C4062" w14:textId="77777777" w:rsidR="00797B60" w:rsidRDefault="00797B60" w:rsidP="001B67E1">
      <w:pPr>
        <w:pStyle w:val="CommentText"/>
        <w:numPr>
          <w:ilvl w:val="0"/>
          <w:numId w:val="1"/>
        </w:numPr>
        <w:rPr>
          <w:lang w:val="es-ES"/>
        </w:rPr>
      </w:pPr>
      <w:r>
        <w:rPr>
          <w:lang w:val="es-ES"/>
        </w:rPr>
        <w:t xml:space="preserve"> Poner etiquetas a los paneles (A, B, C en </w:t>
      </w:r>
      <w:proofErr w:type="spellStart"/>
      <w:r>
        <w:rPr>
          <w:lang w:val="es-ES"/>
        </w:rPr>
        <w:t>mayuscula</w:t>
      </w:r>
      <w:proofErr w:type="spellEnd"/>
      <w:r>
        <w:rPr>
          <w:lang w:val="es-ES"/>
        </w:rPr>
        <w:t>)</w:t>
      </w:r>
    </w:p>
    <w:p w14:paraId="22DEEF9C" w14:textId="77777777" w:rsidR="00797B60" w:rsidRDefault="00797B60" w:rsidP="001B67E1">
      <w:pPr>
        <w:pStyle w:val="CommentText"/>
        <w:numPr>
          <w:ilvl w:val="0"/>
          <w:numId w:val="1"/>
        </w:numPr>
        <w:rPr>
          <w:lang w:val="es-ES"/>
        </w:rPr>
      </w:pPr>
      <w:r>
        <w:rPr>
          <w:lang w:val="es-ES"/>
        </w:rPr>
        <w:t xml:space="preserve"> Borrar el título</w:t>
      </w:r>
    </w:p>
    <w:p w14:paraId="320DB128" w14:textId="77777777" w:rsidR="00797B60" w:rsidRDefault="00797B60" w:rsidP="001B67E1">
      <w:pPr>
        <w:pStyle w:val="CommentText"/>
        <w:numPr>
          <w:ilvl w:val="0"/>
          <w:numId w:val="1"/>
        </w:numPr>
        <w:rPr>
          <w:lang w:val="es-ES"/>
        </w:rPr>
      </w:pPr>
      <w:r>
        <w:rPr>
          <w:lang w:val="es-ES"/>
        </w:rPr>
        <w:t xml:space="preserve"> Hacer la letra </w:t>
      </w:r>
      <w:proofErr w:type="spellStart"/>
      <w:r>
        <w:rPr>
          <w:lang w:val="es-ES"/>
        </w:rPr>
        <w:t>mas</w:t>
      </w:r>
      <w:proofErr w:type="spellEnd"/>
      <w:r>
        <w:rPr>
          <w:lang w:val="es-ES"/>
        </w:rPr>
        <w:t xml:space="preserve"> grande</w:t>
      </w:r>
    </w:p>
    <w:p w14:paraId="06368EBE" w14:textId="77777777" w:rsidR="00797B60" w:rsidRDefault="00797B60" w:rsidP="001B67E1">
      <w:pPr>
        <w:pStyle w:val="CommentText"/>
        <w:numPr>
          <w:ilvl w:val="0"/>
          <w:numId w:val="1"/>
        </w:numPr>
        <w:rPr>
          <w:lang w:val="es-ES"/>
        </w:rPr>
      </w:pPr>
      <w:r>
        <w:rPr>
          <w:lang w:val="es-ES"/>
        </w:rPr>
        <w:t xml:space="preserve"> Añadir la leyenda para la textura (</w:t>
      </w:r>
      <w:proofErr w:type="spellStart"/>
      <w:r>
        <w:rPr>
          <w:lang w:val="es-ES"/>
        </w:rPr>
        <w:t>tennis</w:t>
      </w:r>
      <w:proofErr w:type="spellEnd"/>
      <w:r>
        <w:rPr>
          <w:lang w:val="es-ES"/>
        </w:rPr>
        <w:t xml:space="preserve"> o </w:t>
      </w:r>
      <w:proofErr w:type="spellStart"/>
      <w:r>
        <w:rPr>
          <w:lang w:val="es-ES"/>
        </w:rPr>
        <w:t>basket</w:t>
      </w:r>
      <w:proofErr w:type="spellEnd"/>
      <w:r>
        <w:rPr>
          <w:lang w:val="es-ES"/>
        </w:rPr>
        <w:t>) en B y C</w:t>
      </w:r>
    </w:p>
    <w:p w14:paraId="2EB5E0C5" w14:textId="77777777" w:rsidR="00797B60" w:rsidRDefault="00797B60" w:rsidP="001B67E1">
      <w:pPr>
        <w:pStyle w:val="CommentText"/>
        <w:rPr>
          <w:lang w:val="es-ES"/>
        </w:rPr>
      </w:pPr>
    </w:p>
    <w:p w14:paraId="28A15653" w14:textId="28BDC21D" w:rsidR="00797B60" w:rsidRPr="001B67E1" w:rsidRDefault="00797B60" w:rsidP="001B67E1">
      <w:pPr>
        <w:pStyle w:val="CommentText"/>
        <w:rPr>
          <w:lang w:val="es-ES"/>
        </w:rPr>
      </w:pPr>
      <w:proofErr w:type="spellStart"/>
      <w:r>
        <w:rPr>
          <w:lang w:val="es-ES"/>
        </w:rPr>
        <w:t>Graciaaaas</w:t>
      </w:r>
      <w:proofErr w:type="spellEnd"/>
      <w:r>
        <w:rPr>
          <w:lang w:val="es-ES"/>
        </w:rPr>
        <w:t xml:space="preserve">! Es que estoy flipando con tus </w:t>
      </w:r>
      <w:proofErr w:type="spellStart"/>
      <w:r>
        <w:rPr>
          <w:lang w:val="es-ES"/>
        </w:rPr>
        <w:t>plotsssss</w:t>
      </w:r>
      <w:proofErr w:type="spellEnd"/>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202FC"/>
    <w:rsid w:val="00044507"/>
    <w:rsid w:val="00047573"/>
    <w:rsid w:val="0006438B"/>
    <w:rsid w:val="000856B8"/>
    <w:rsid w:val="000971C8"/>
    <w:rsid w:val="000B5F57"/>
    <w:rsid w:val="000C59D9"/>
    <w:rsid w:val="000D68EA"/>
    <w:rsid w:val="000E1AC4"/>
    <w:rsid w:val="000E24ED"/>
    <w:rsid w:val="000E5B03"/>
    <w:rsid w:val="000F2606"/>
    <w:rsid w:val="00103BDD"/>
    <w:rsid w:val="001045AC"/>
    <w:rsid w:val="00122D16"/>
    <w:rsid w:val="001328CE"/>
    <w:rsid w:val="00137912"/>
    <w:rsid w:val="00143A8E"/>
    <w:rsid w:val="00144185"/>
    <w:rsid w:val="00147804"/>
    <w:rsid w:val="00173434"/>
    <w:rsid w:val="001A5466"/>
    <w:rsid w:val="001B3C08"/>
    <w:rsid w:val="001B67E1"/>
    <w:rsid w:val="001D4959"/>
    <w:rsid w:val="001D62CA"/>
    <w:rsid w:val="00211086"/>
    <w:rsid w:val="00262789"/>
    <w:rsid w:val="0028008E"/>
    <w:rsid w:val="0028204D"/>
    <w:rsid w:val="002B09EC"/>
    <w:rsid w:val="002E6967"/>
    <w:rsid w:val="002F519B"/>
    <w:rsid w:val="0030022A"/>
    <w:rsid w:val="0031622F"/>
    <w:rsid w:val="00325883"/>
    <w:rsid w:val="00332167"/>
    <w:rsid w:val="00336BA5"/>
    <w:rsid w:val="00345AF4"/>
    <w:rsid w:val="00393F22"/>
    <w:rsid w:val="003A095A"/>
    <w:rsid w:val="003F248C"/>
    <w:rsid w:val="003F4A3B"/>
    <w:rsid w:val="003F7138"/>
    <w:rsid w:val="00422259"/>
    <w:rsid w:val="00426C0D"/>
    <w:rsid w:val="0043561A"/>
    <w:rsid w:val="00454CF0"/>
    <w:rsid w:val="004609FC"/>
    <w:rsid w:val="004A25AA"/>
    <w:rsid w:val="004A71E1"/>
    <w:rsid w:val="004B4255"/>
    <w:rsid w:val="004B7C16"/>
    <w:rsid w:val="00511B44"/>
    <w:rsid w:val="00517E66"/>
    <w:rsid w:val="0054533C"/>
    <w:rsid w:val="00576ACE"/>
    <w:rsid w:val="005914F7"/>
    <w:rsid w:val="00593887"/>
    <w:rsid w:val="005C547D"/>
    <w:rsid w:val="005D15B0"/>
    <w:rsid w:val="005D37AF"/>
    <w:rsid w:val="00622426"/>
    <w:rsid w:val="00624045"/>
    <w:rsid w:val="006352FD"/>
    <w:rsid w:val="00652E8A"/>
    <w:rsid w:val="00665486"/>
    <w:rsid w:val="00683CFE"/>
    <w:rsid w:val="006C0E39"/>
    <w:rsid w:val="006D07B1"/>
    <w:rsid w:val="006E0C61"/>
    <w:rsid w:val="006E44AD"/>
    <w:rsid w:val="006F1E4D"/>
    <w:rsid w:val="00706A91"/>
    <w:rsid w:val="007164E4"/>
    <w:rsid w:val="0072302C"/>
    <w:rsid w:val="0072483C"/>
    <w:rsid w:val="00737D5F"/>
    <w:rsid w:val="00745CD3"/>
    <w:rsid w:val="007651EB"/>
    <w:rsid w:val="00766971"/>
    <w:rsid w:val="0077135F"/>
    <w:rsid w:val="00797B60"/>
    <w:rsid w:val="007C392A"/>
    <w:rsid w:val="007C696F"/>
    <w:rsid w:val="007D065C"/>
    <w:rsid w:val="007D41E8"/>
    <w:rsid w:val="007E2DE2"/>
    <w:rsid w:val="007E51E7"/>
    <w:rsid w:val="007F1585"/>
    <w:rsid w:val="00833A98"/>
    <w:rsid w:val="0083628E"/>
    <w:rsid w:val="00836352"/>
    <w:rsid w:val="008419DC"/>
    <w:rsid w:val="00864A40"/>
    <w:rsid w:val="00864D4C"/>
    <w:rsid w:val="008663AB"/>
    <w:rsid w:val="00883F65"/>
    <w:rsid w:val="008A7A14"/>
    <w:rsid w:val="008B6F26"/>
    <w:rsid w:val="008C2054"/>
    <w:rsid w:val="008C6CFC"/>
    <w:rsid w:val="008F2DF0"/>
    <w:rsid w:val="00901CB6"/>
    <w:rsid w:val="0091260F"/>
    <w:rsid w:val="0092614D"/>
    <w:rsid w:val="0093283D"/>
    <w:rsid w:val="00973BEE"/>
    <w:rsid w:val="009754A8"/>
    <w:rsid w:val="00975D41"/>
    <w:rsid w:val="00982D30"/>
    <w:rsid w:val="00990B00"/>
    <w:rsid w:val="00993195"/>
    <w:rsid w:val="0099701D"/>
    <w:rsid w:val="009B702B"/>
    <w:rsid w:val="009C404C"/>
    <w:rsid w:val="009D32B4"/>
    <w:rsid w:val="009D5335"/>
    <w:rsid w:val="009D6BC6"/>
    <w:rsid w:val="009E3B5C"/>
    <w:rsid w:val="009E536D"/>
    <w:rsid w:val="009F4A02"/>
    <w:rsid w:val="00A07C33"/>
    <w:rsid w:val="00A2275C"/>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47E32"/>
    <w:rsid w:val="00B76DE8"/>
    <w:rsid w:val="00B76F61"/>
    <w:rsid w:val="00B807E4"/>
    <w:rsid w:val="00B83FDA"/>
    <w:rsid w:val="00B86946"/>
    <w:rsid w:val="00BB37A1"/>
    <w:rsid w:val="00BC341D"/>
    <w:rsid w:val="00BC575F"/>
    <w:rsid w:val="00BC6687"/>
    <w:rsid w:val="00BE04CF"/>
    <w:rsid w:val="00BF3F46"/>
    <w:rsid w:val="00BF42C5"/>
    <w:rsid w:val="00BF6A66"/>
    <w:rsid w:val="00C01D2C"/>
    <w:rsid w:val="00C0675E"/>
    <w:rsid w:val="00C10AA1"/>
    <w:rsid w:val="00C174DC"/>
    <w:rsid w:val="00C31C34"/>
    <w:rsid w:val="00C5078A"/>
    <w:rsid w:val="00C55203"/>
    <w:rsid w:val="00C64662"/>
    <w:rsid w:val="00C64A62"/>
    <w:rsid w:val="00C76404"/>
    <w:rsid w:val="00C8333D"/>
    <w:rsid w:val="00C873FC"/>
    <w:rsid w:val="00C87709"/>
    <w:rsid w:val="00C92624"/>
    <w:rsid w:val="00CA45CA"/>
    <w:rsid w:val="00CC10F4"/>
    <w:rsid w:val="00CD05C5"/>
    <w:rsid w:val="00D1708A"/>
    <w:rsid w:val="00D57C5D"/>
    <w:rsid w:val="00D75621"/>
    <w:rsid w:val="00DA3054"/>
    <w:rsid w:val="00DA5A0C"/>
    <w:rsid w:val="00DB27C6"/>
    <w:rsid w:val="00DF2DEF"/>
    <w:rsid w:val="00E01F1C"/>
    <w:rsid w:val="00E07821"/>
    <w:rsid w:val="00E16F8E"/>
    <w:rsid w:val="00E24B79"/>
    <w:rsid w:val="00E30D08"/>
    <w:rsid w:val="00E522B4"/>
    <w:rsid w:val="00E641E4"/>
    <w:rsid w:val="00E7534E"/>
    <w:rsid w:val="00E8401A"/>
    <w:rsid w:val="00E854C3"/>
    <w:rsid w:val="00E86BD9"/>
    <w:rsid w:val="00EA265E"/>
    <w:rsid w:val="00EC2370"/>
    <w:rsid w:val="00EE05DB"/>
    <w:rsid w:val="00EE4AFB"/>
    <w:rsid w:val="00EF60B4"/>
    <w:rsid w:val="00EF75FD"/>
    <w:rsid w:val="00F24EB9"/>
    <w:rsid w:val="00F32BAD"/>
    <w:rsid w:val="00F364B7"/>
    <w:rsid w:val="00F705C1"/>
    <w:rsid w:val="00F71CDE"/>
    <w:rsid w:val="00F82622"/>
    <w:rsid w:val="00F83CC5"/>
    <w:rsid w:val="00FA323C"/>
    <w:rsid w:val="00FA3913"/>
    <w:rsid w:val="00FA5A8D"/>
    <w:rsid w:val="00FC0059"/>
    <w:rsid w:val="00FC24F3"/>
    <w:rsid w:val="00FC367F"/>
    <w:rsid w:val="00FD122D"/>
    <w:rsid w:val="00FE00F2"/>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72554-B7B4-4A32-A81E-66E314838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15</Pages>
  <Words>15012</Words>
  <Characters>85572</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164</cp:revision>
  <dcterms:created xsi:type="dcterms:W3CDTF">2020-03-09T22:29:00Z</dcterms:created>
  <dcterms:modified xsi:type="dcterms:W3CDTF">2020-03-27T11:46:00Z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