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6ADF" w14:textId="68494A5D" w:rsidR="008419DC" w:rsidRDefault="003F4A3B" w:rsidP="003F4A3B">
      <w:pPr>
        <w:pStyle w:val="Heading1"/>
        <w:jc w:val="center"/>
      </w:pPr>
      <w:r w:rsidRPr="003F4A3B">
        <w:t>Do Humans Maintain a Representation of the Air Drag in their environment?</w:t>
      </w:r>
    </w:p>
    <w:p w14:paraId="5EB6BB5C" w14:textId="233E8FA4" w:rsidR="003F4A3B" w:rsidRDefault="003F4A3B" w:rsidP="003F4A3B"/>
    <w:p w14:paraId="58A291C5" w14:textId="12168BAB" w:rsidR="00DA5A0C" w:rsidRDefault="00DA5A0C" w:rsidP="00DA5A0C">
      <w:pPr>
        <w:pStyle w:val="Heading2"/>
      </w:pPr>
      <w:r>
        <w:t>Introduction</w:t>
      </w:r>
    </w:p>
    <w:p w14:paraId="71EB0E43" w14:textId="47B8AA3C" w:rsidR="00A6529B" w:rsidRDefault="003F4A3B" w:rsidP="003F4A3B">
      <w:pPr>
        <w:jc w:val="both"/>
      </w:pPr>
      <w:r>
        <w:t>The importance of ecologically valid stimuli for the study of interceptive actions is self-eviden</w:t>
      </w:r>
      <w:r w:rsidR="000E1AC4">
        <w:t>t</w:t>
      </w:r>
      <w:r>
        <w:t>. Nonetheless, many studies neglect air drag when simulating stimuli in virtual reality.</w:t>
      </w:r>
      <w:r w:rsidR="000E1AC4">
        <w:t xml:space="preserve"> </w:t>
      </w:r>
      <w:r>
        <w:t>While this can facilitate some aspects of setup and analysis, it may lead to systematic errors in results.</w:t>
      </w:r>
      <w:r w:rsidR="000E1AC4">
        <w:t xml:space="preserve"> </w:t>
      </w:r>
      <w:r>
        <w:t>There is evidence that humans represent and use different physical properties of their environment, such as the size of known objects</w:t>
      </w:r>
      <w:r w:rsidR="000E1AC4">
        <w:t xml:space="preserve"> </w:t>
      </w:r>
      <w:r w:rsidR="000E1AC4">
        <w:fldChar w:fldCharType="begin" w:fldLock="1"/>
      </w:r>
      <w:r w:rsidR="003F248C">
        <w:instrText>ADDIN CSL_CITATION {"citationItems":[{"id":"ITEM-1","itemData":{"DOI":"10.1167/7.13.11","ISBN":"1534-7362 (Electronic)\\n1534-7362 (Linking)","ISSN":"1534-7362","PMID":"17997639","abstract":"Fast interceptive actions, such as catching a ball, rely upon accurate and precise information from vision. Recent models rely on flexible combinations of visual angle and its rate of expansion of which the tau parameter is a specific case. When an object approaches an observer, however, its trajectory may introduce bias into tau-like parameters that render these computations unacceptable as the sole source of information for actions. Here we show that observer knowledge of object size influences their action timing, and known size combined with image expansion simplifies the computations required to make interceptive actions and provides a route for experience to influence interceptive action.","author":[{"dropping-particle":"","family":"López-Moliner","given":"Joan","non-dropping-particle":"","parse-names":false,"suffix":""},{"dropping-particle":"","family":"Field","given":"David T","non-dropping-particle":"","parse-names":false,"suffix":""},{"dropping-particle":"","family":"Wann","given":"John P","non-dropping-particle":"","parse-names":false,"suffix":""}],"container-title":"Journal of vision","id":"ITEM-1","issued":{"date-parts":[["2007"]]},"page":"1-8","title":"Interceptive timing: prior knowledge matters.","type":"article-journal","volume":"7"},"uris":["http://www.mendeley.com/documents/?uuid=733a9d6c-6655-4933-a38d-50897b7e1f95"]},{"id":"ITEM-2","itemData":{"DOI":"10.1007/s00221-010-2258-7","ISBN":"1432-1106 (Electronic)\\n0014-4819 (Linking)","ISSN":"00144819","PMID":"20440609","abstract":"Many interceptive actions involve interactions with objects that are familiar to the observer and have known sizes. Two experiments investigated how known size influences observers' perception of time-to-contact (T(c)). Participants made T(c) judgements of objects that were either ambiguously sized, standard-size in identity/familiarity, or off-size in identity/familiarity, and simulated as approaching on linear trajectories (Experiment 1), or linear versus parabolic trajectories (Experiment 2). In Experiment 1, T(c) judgements were influenced by the size of the object in the three object identity/familiarity conditions; the greatest size effect occurred in the off-size condition compared to the ambiguous size and standard-size conditions. The results of Experiment 2 replicated these results and found that size effects were not reduced with displays simulating parabolic trajectories, that is, displays simulating ecologically valid free-falling objects. Taken together, the finding that T(c) judgements are influenced by object identity/familiarity does not provide support for the tau hypothesis, nor the hypothesis that T(c) judgements are based solely on optic expansion rates. However, the results do provide support for the proposition that T(c) judgements are based on a combination of rate of retinal image expansion and object identity/familiarity information, the latter information requiring observers to have prior experience with, or knowledge about, the objects.","author":[{"dropping-particle":"","family":"Hosking","given":"Simon G.","non-dropping-particle":"","parse-names":false,"suffix":""},{"dropping-particle":"","family":"Crassini","given":"Boris","non-dropping-particle":"","parse-names":false,"suffix":""}],"container-title":"Experimental Brain Research","id":"ITEM-2","issue":"3","issued":{"date-parts":[["2010"]]},"page":"541-552","title":"The effects of familiar size and object trajectories on time-to-contact judgements","type":"article-journal","volume":"203"},"uris":["http://www.mendeley.com/documents/?uuid=1761a026-b81d-4b00-8cd7-53e435fa1d7e"]}],"mendeley":{"formattedCitation":"(Hosking &amp; Crassini, 2010; López-Moliner, Field, &amp; Wann, 2007)","plainTextFormattedCitation":"(Hosking &amp; Crassini, 2010; López-Moliner, Field, &amp; Wann, 2007)","previouslyFormattedCitation":"(Hosking &amp; Crassini, 2010; López-Moliner, Field, &amp; Wann, 2007)"},"properties":{"noteIndex":0},"schema":"https://github.com/citation-style-language/schema/raw/master/csl-citation.json"}</w:instrText>
      </w:r>
      <w:r w:rsidR="000E1AC4">
        <w:fldChar w:fldCharType="separate"/>
      </w:r>
      <w:r w:rsidR="00336BA5" w:rsidRPr="00336BA5">
        <w:rPr>
          <w:noProof/>
        </w:rPr>
        <w:t>(Hosking &amp; Crassini, 2010; López-Moliner, Field, &amp; Wann, 2007)</w:t>
      </w:r>
      <w:r w:rsidR="000E1AC4">
        <w:fldChar w:fldCharType="end"/>
      </w:r>
      <w:r w:rsidR="009E3B5C">
        <w:t xml:space="preserve">, their mass </w:t>
      </w:r>
      <w:r w:rsidR="009E3B5C">
        <w:fldChar w:fldCharType="begin" w:fldLock="1"/>
      </w:r>
      <w:r w:rsidR="009E3B5C">
        <w:instrText>ADDIN CSL_CITATION {"citationItems":[{"id":"ITEM-1","itemData":{"author":[{"dropping-particle":"","family":"Neupärtl","given":"Nils","non-dropping-particle":"","parse-names":false,"suffix":""},{"dropping-particle":"","family":"Tatai","given":"Fabian","non-dropping-particle":"","parse-names":false,"suffix":""},{"dropping-particle":"","family":"Rothkopf","given":"Constantin A.","non-dropping-particle":"","parse-names":false,"suffix":""}],"container-title":"bioRxiv","id":"ITEM-1","issued":{"date-parts":[["2020"]]},"page":"1-32","title":"Intuitive physical reasoning about objects ’ masses transfers to a visuomotor decision task consistent with Newtonian physics Author summary","type":"article-journal"},"uris":["http://www.mendeley.com/documents/?uuid=05361040-2ca9-42c6-8363-24f112d99d1f"]}],"mendeley":{"formattedCitation":"(Neupärtl, Tatai, &amp; Rothkopf, 2020)","plainTextFormattedCitation":"(Neupärtl, Tatai, &amp; Rothkopf, 2020)","previouslyFormattedCitation":"(Neupärtl, Tatai, &amp; Rothkopf, 2020)"},"properties":{"noteIndex":0},"schema":"https://github.com/citation-style-language/schema/raw/master/csl-citation.json"}</w:instrText>
      </w:r>
      <w:r w:rsidR="009E3B5C">
        <w:fldChar w:fldCharType="separate"/>
      </w:r>
      <w:r w:rsidR="009E3B5C" w:rsidRPr="009E3B5C">
        <w:rPr>
          <w:noProof/>
        </w:rPr>
        <w:t>(Neupärtl, Tatai, &amp; Rothkopf, 2020)</w:t>
      </w:r>
      <w:r w:rsidR="009E3B5C">
        <w:fldChar w:fldCharType="end"/>
      </w:r>
      <w:r w:rsidR="00797B60">
        <w:t>,</w:t>
      </w:r>
      <w:r w:rsidR="009E3B5C">
        <w:t xml:space="preserve"> </w:t>
      </w:r>
      <w:r>
        <w:t>gravity</w:t>
      </w:r>
      <w:r w:rsidR="000E1AC4">
        <w:t xml:space="preserve"> </w:t>
      </w:r>
      <w:r w:rsidR="000E1AC4">
        <w:fldChar w:fldCharType="begin" w:fldLock="1"/>
      </w:r>
      <w:r w:rsidR="00336BA5">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cortex.","type":"article-journal","volume":"308"},"uris":["http://www.mendeley.com/documents/?uuid=137ce183-0a5a-4509-bc95-f48dcd5e22b6"]},{"id":"ITEM-2","itemData":{"ISBN":"0972533907","abstract":"The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L.","non-dropping-particle":"","parse-names":false,"suffix":""}],"id":"ITEM-2","issued":{"date-parts":[["2003"]]},"note":"NULL","page":"55 - 61","publisher":"National Aeronautics and Space Administration, Lyndon B. Johnson Space Center","title":"The Brain as a Predictor: On Catching Flying Balls in Zero-G","type":"chapter"},"uris":["http://www.mendeley.com/documents/?uuid=14012fd5-c757-4302-97a1-2043f493a11a"]},{"id":"ITEM-3","itemData":{"DOI":"10.1097/00001756-200112040-00004","ISBN":"1097-6256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neuroscience","id":"ITEM-3","issue":"17","issued":{"date-parts":[["2001"]]},"page":"109-110","title":"Does the Brain Model Newton's Laws","type":"article-journal","volume":"12"},"uris":["http://www.mendeley.com/documents/?uuid=d038ba84-5af4-4fa5-9fdc-0ca802b136fe"]},{"id":"ITEM-4","itemData":{"DOI":"10.3389/fnint.2015.00013","ISSN":"1662-5145","PMID":"25755637","abstract":"A remarkable challenge our brain must face constantly when interacting with the environment is represented by ambiguous and, at times, even missing sensory information. This is particularly compelling for visual information, being the main sensory system we rely upon to gather cues about the external world. It is not uncommon, for example, that objects catching our attention may disappear temporarily from view, occluded by visual obstacles in the foreground. Nevertheless, we are often able to keep our gaze on them throughout the occlusion or even catch them on the fly in the face of the transient lack of visual motion information. This implies that the brain can fill the gaps of missing sensory information by extrapolating the object motion through the occlusion. In recent years, much experimental evidence has been accumulated that both perceptual and motor processes exploit visual motion extrapolation mechanisms. Moreover, neurophysiological and neuroimaging studies have identified brain regions potentially involved in the predictive representation of the occluded target motion. Within this framework, ocular pursuit and manual interceptive behavior have proven to be useful experimental models for investigating visual extrapolation mechanisms. Studies in these fields have pointed out that visual motion extrapolation processes depend on manifold information related to short-term memory representations of the target motion before the occlusion, as well as to longer term representations derived from previous experience with the environment. We will review recent oculomotor and manual interception literature to provide up-to-date views on the neurophysiological underpinnings of visual motion extrapolation. (PsycINFO Database Record (c) 2015 APA, all rights reserved) (journal abstract)","author":[{"dropping-particle":"","family":"Bosco","given":"Gianfranco","non-dropping-particle":"","parse-names":false,"suffix":""},{"dropping-particle":"","family":"Delle Monache","given":"Sergi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dropping-particle":"","family":"Lacquaniti","given":"Francesco","non-dropping-particle":"","parse-names":false,"suffix":""}],"container-title":"Frontiers in Integrative Neuroscience","id":"ITEM-4","issued":{"date-parts":[["2015"]]},"title":"Filling gaps in visual motion for target capture","type":"article-journal","volume":"9"},"uris":["http://www.mendeley.com/documents/?uuid=04be07e9-116a-31af-99d6-8b6090d439d9"]},{"id":"ITEM-5","itemData":{"DOI":"10.1007/s00221-014-4050-6","ISSN":"14321106","PMID":"25142150","abstract":"Familiarity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Research","id":"ITEM-5","issue":"12","issued":{"date-parts":[["2014"]]},"page":"3803-3811","title":"Familiar trajectories facilitate the interpretation of physical forces when intercepting a moving target","type":"article-journal","volume":"232"},"uris":["http://www.mendeley.com/documents/?uuid=5480669d-7788-46f3-a926-17db5f2ac20c"]},{"id":"ITEM-6","itemData":{"DOI":"10.1371/journal.pone.0093020","ISSN":"19326203","PMID":"24667578","abstract":"We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ONE","id":"ITEM-6","issue":"3","issued":{"date-parts":[["2014"]]},"title":"Implied dynamics biases the visual perception of velocity","type":"article-journal","volume":"9"},"uris":["http://www.mendeley.com/documents/?uuid=b26b06c2-ad36-40bf-8261-d417ea852df0"]},{"id":"ITEM-7","itemData":{"DOI":"10.3389/fnint.2013.00101","ISSN":"1662-5145","PMID":"24421761","abstract":"The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neuroscience","id":"ITEM-7","issue":"December","issued":{"date-parts":[["2013"]]},"page":"101","title":"Visual gravitational motion and the vestibular system in humans.","type":"article-journal","volume":"7"},"uris":["http://www.mendeley.com/documents/?uuid=52722f9f-bf26-471d-b6d9-ef094735cd09"]},{"id":"ITEM-8","itemData":{"DOI":"10.1167/11.10.13.Introduction","ISSN":"1534-7362","PMID":"21933933","abstract":"Dealing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Vision","id":"ITEM-8","issue":"10","issued":{"date-parts":[["2011"]]},"page":"1-10","title":"Coherence of structural visual cues and pictorial gravity paves the way for interceptive actions","type":"article-journal","volume":"11"},"uris":["http://www.mendeley.com/documents/?uuid=f823a239-757b-48ff-811d-7f645693d896"]},{"id":"ITEM-9","itemData":{"DOI":"10.1523/JNEUROSCI.3886-11.2012","ISBN":"1529-2401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Neuroscience","id":"ITEM-9","issue":"6","issued":{"date-parts":[["2012"]]},"page":"1969-1973","title":"When Up Is Down in 0g: How Gravity Sensing Affects the Timing of Interceptive Actions","type":"article-journal","volume":"32"},"uris":["http://www.mendeley.com/documents/?uuid=7ee8ba33-a417-4767-8fc3-ae89438706e3"]},{"id":"ITEM-10","itemData":{"DOI":"10.1152/jn.00527.2005","ISSN":"0022-3077","author":[{"dropping-particle":"","family":"Senot","given":"P.","non-dropping-particle":"","parse-names":false,"suffix":""},{"dropping-particle":"","family":"Zago","given":"Myrka","non-dropping-particle":"","parse-names":false,"suffix":""},{"dropping-particle":"","family":"Lacquaniti","given":"Francesco","non-dropping-particle":"","parse-names":false,"suffix":""},{"dropping-particle":"","family":"McIntyre","given":"Joseph","non-dropping-particle":"","parse-names":false,"suffix":""}],"container-title":"Journal of Neurophysiology","id":"ITEM-10","issue":"6","issued":{"date-parts":[["2005"]]},"page":"4471-4480","title":"Anticipating the Effects of Gravity When Intercepting Moving Objects: Differentiating Up and Down Based on Nonvisual Cues","type":"article-journal","volume":"94"},"uris":["http://www.mendeley.com/documents/?uuid=688f6b31-4cb0-4f58-b31e-13db60031e31"]},{"id":"ITEM-11","itemData":{"DOI":"10.3389/fnbeh.2013.00046","ISSN":"1662-5153","PMID":"23720614","abstract":"Interception requires precise estimation of time-to-contact (TTC) information. A long-standing view posits that all relevant information for extracting TTC is available in the angular variables, which result from the projection of distal objects onto the retina. The different timing models rooted in this tradition have consequently relied on combining visual angle and its rate of expansion in different ways with tau being the most well-known solution for TTC. The generalization of these models to timing parabolic trajectories is not straightforward. For example, these different combinations rely on isotropic expansion and usually assume first-order information only, neglecting acceleration. As a consequence no optical formulations have been put forward so far to specify TTC of parabolic targets with enough accuracy. It is only recently that context-dependent physical variables have been shown to play an important role in TTC estimation. Known physical size and gravity can adequately explain observed data of linear and free-falling trajectories, respectively. Yet, a full timing model for specifying parabolic TTC has remained elusive. We here derive two formulations that specify TTC for parabolic ball trajectories. The first specification extends previous models in which known size is combined with thresholding visual angle or its rate of expansion to the case of fly balls. To efficiently use this model, observers need to recover the 3D radial velocity component of the trajectory which conveys the isotropic expansion. The second one uses knowledge of size and gravity combined with ball visual angle and elevation angle. Taking into account the noise due to sensory measurements, we simulate the expected performance of these models in terms of accuracy and precision. While the model that combines expansion information and size knowledge is more efficient during the late trajectory, the second one is shown to be efficient along all the flight.","author":[{"dropping-particle":"","family":"Gómez","given":"José","non-dropping-particle":"","parse-names":false,"suffix":""},{"dropping-particle":"","family":"López-Moliner","given":"Joan","non-dropping-particle":"","parse-names":false,"suffix":""}],"container-title":"Frontiers in behavioral neuroscience","id":"ITEM-11","issue":"May","issued":{"date-parts":[["2013"]]},"note":"Porque hay que primero recuperar velocidad y luego poner esta velocidad en la formula para TTC? No se podria poner la formula de velocidad directamente en la formula para TTC, y todo se calcula en un paso?\n\nHow does the simulating work?\nWhy do the estimates deviate from the actual values? What is not exact? It's not uncertainty/noise. Something missing in the formula or something approximated?\n\nMy experiment would be: Have them at constant velocity and constant ball size, but have them seen in first phase middle phase late phase, rest vista tapada?\n\nBut they are maybe integrated, so we have to increase uncertainty in the critical variables, which would be (1) gravity and size in GS and (2) size only in KS.So we manipulate only gravity and see, which of the two models is closer to results.\n\nWhich initial velocities should we choose? All the same? It should be something where the KS effect (bad in the beginning, good in the end) shows nicely, like for example 7,57\nShould we vary size? No, with size variation, both GS and KS would become unreliable and something like Tau would start working.. (but Tau is not for parabolic stuff)\nShould we introduce air drag? Yes, we should.\nShould we kill visual input at some point? If we kill it around 0,07 before impact, then GS is not reliable, so we should get KS results.\n\nWhy would you combine both, when the gravity model works well at all times. And gravity never fails us, so why would there even be a KS way of calculating TTC? To increase precision because more info is always nice to have?\n\n- when rate of expansion is needed = more noise\n- estimate of v(0,y) is difficult because not constant, and velocity changes take some time to perceive\n\nProblem: with parabolic trajectories, you can't just put the subjects in one position when you vary gravity or size. Also: Press the button when you think the ball crosses a certain high thrashhold? Or judge where it will land? (cant be the floor because were talking about Augenhöhe)","page":"46","title":"Synergies between optical and physical variables in intercepting parabolic targets.","type":"article-journal","volume":"7"},"uris":["http://www.mendeley.com/documents/?uuid=addc8fb7-78c7-4253-b634-c375fc501b53"]},{"id":"ITEM-12","itemData":{"DOI":"10.3389/fnhum.2017.00203","ISSN":"16625161","abstract":"In the future, humans are likely to be exposed to environments with altered gravity conditions, be it only visually (Virtual and Augmented Reality), or visually and bodily (space travel). As visually and bodily perceived gravity as well as an interiorized representation of earth gravity are involved in a series of tasks, such as catching, grasping, body orientation estimation and spatial inferences, humans will need to adapt to these new gravity conditions. Performance under earth gravity discrepant conditions has been shown to be relatively poor, and few studies conducted in gravity adaptation are rather discouraging. Especially in VR on earth, conflicts between bodily and visual gravity cues seem to make a full adaptation to visually perceived earth-discrepant gravities nearly impossible, and even in space, when visual and bodily cues are congruent, adaptation is extremely slow. We invoke a Bayesian framework for gravity related perceptual processes, in which earth gravity holds the status of a so called “strong prior”. As other strong priors, the gravity prior has developed through years and years of experience in an earth gravity environment. For this reason, the reliability of this representation is extremely high and overrules any sensory information to its contrary. While also other factors such as the multisensory nature of gravity perception need to be taken into account, we present the strong prior account as a unifying explanation for empirical results in gravity perception and adaptation to earth-discrepant gravities.","author":[{"dropping-particle":"","family":"Jörges","given":"Björn","non-dropping-particle":"","parse-names":false,"suffix":""},{"dropping-particle":"","family":"López-Moliner","given":"Joan","non-dropping-particle":"","parse-names":false,"suffix":""}],"container-title":"Frontiers in Human Neuroscience","id":"ITEM-12","issued":{"date-parts":[["2017"]]},"title":"Gravity as a strong prior: Implications for perception and action","type":"article","volume":"11"},"uris":["http://www.mendeley.com/documents/?uuid=c82d2eed-2d36-393d-b894-6f992fd22388"]},{"id":"ITEM-13","itemData":{"DOI":"10.1038/s41598-019-50512-6","ISSN":"20452322","abstract":"©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Reports","id":"ITEM-13","issue":"1","issued":{"date-parts":[["2019"]]},"title":"Earth-Gravity Congruent Motion Facilitates Ocular Control for Pursuit of Parabolic Trajectories","type":"article-journal","volume":"9"},"uris":["http://www.mendeley.com/documents/?uuid=3bc1d469-53ef-3dc9-9851-2ba1ef402847"]},{"id":"ITEM-14","itemData":{"DOI":"10.31234/osf.io/exp93","author":[{"dropping-particle":"","family":"Jörges","given":"Björn","non-dropping-particle":"","parse-names":false,"suffix":""},{"dropping-particle":"","family":"López-Moliner","given":"Joan","non-dropping-particle":"","parse-names":false,"suffix":""}],"container-title":"PsyArXive","id":"ITEM-14","issued":{"date-parts":[["2020"]]},"page":"1-19","title":"Characterizing the Strong Earth Gravity Prior","type":"article-journal"},"uris":["http://www.mendeley.com/documents/?uuid=4314c18d-96a2-41f0-b02b-39e9de139825"]}],"mendeley":{"formattedCitation":"(Bosco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2011)","plainTextFormattedCitation":"(Bosco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2011)","previouslyFormattedCitation":"(Bosco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2011)"},"properties":{"noteIndex":0},"schema":"https://github.com/citation-style-language/schema/raw/master/csl-citation.json"}</w:instrText>
      </w:r>
      <w:r w:rsidR="000E1AC4">
        <w:fldChar w:fldCharType="separate"/>
      </w:r>
      <w:r w:rsidR="009E3B5C" w:rsidRPr="009E3B5C">
        <w:rPr>
          <w:noProof/>
        </w:rPr>
        <w:t>(Bosco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w:t>
      </w:r>
      <w:r w:rsidR="000E1AC4">
        <w:fldChar w:fldCharType="end"/>
      </w:r>
      <w:r w:rsidR="00797B60">
        <w:t xml:space="preserve"> or the direction of light </w:t>
      </w:r>
      <w:r w:rsidR="00797B60">
        <w:fldChar w:fldCharType="begin" w:fldLock="1"/>
      </w:r>
      <w:r w:rsidR="00797B60">
        <w:instrText>ADDIN CSL_CITATION {"citationItems":[{"id":"ITEM-1","itemData":{"DOI":"10.1038/nn1312","ISBN":"1097-6256 (Print)\\n1097-6256 (Linking)","ISSN":"1097-6256","PMID":"15361877","abstract":"To interpret complex and ambiguous input, the human visual system uses prior knowledge or assumptions about the world. We show that the 'light-from-above' prior, used to extract information about shape from shading is modified in response to active experience with the scene. The resultant adaptation is not specific to the learned scene but generalizes to a different task, demonstrating that priors are constantly adapted by interactive experience with the environment.","author":[{"dropping-particle":"","family":"Adams","given":"Wendy J","non-dropping-particle":"","parse-names":false,"suffix":""},{"dropping-particle":"","family":"Graf","given":"Erich W","non-dropping-particle":"","parse-names":false,"suffix":""},{"dropping-particle":"","family":"Ernst","given":"Marc O","non-dropping-particle":"","parse-names":false,"suffix":""}],"container-title":"Nature neuroscience","id":"ITEM-1","issue":"10","issued":{"date-parts":[["2004"]]},"page":"1057-1058","title":"Experience can change the 'light-from-above' prior.","type":"article-journal","volume":"7"},"uris":["http://www.mendeley.com/documents/?uuid=d09f6cde-9e25-4331-8fe9-f3773fecc4c0"]}],"mendeley":{"formattedCitation":"(Adams, Graf, &amp; Ernst, 2004)","plainTextFormattedCitation":"(Adams, Graf, &amp; Ernst, 2004)"},"properties":{"noteIndex":0},"schema":"https://github.com/citation-style-language/schema/raw/master/csl-citation.json"}</w:instrText>
      </w:r>
      <w:r w:rsidR="00797B60">
        <w:fldChar w:fldCharType="separate"/>
      </w:r>
      <w:r w:rsidR="00797B60" w:rsidRPr="00797B60">
        <w:rPr>
          <w:noProof/>
        </w:rPr>
        <w:t>(Adams, Graf, &amp; Ernst, 2004)</w:t>
      </w:r>
      <w:r w:rsidR="00797B60">
        <w:fldChar w:fldCharType="end"/>
      </w:r>
      <w:r w:rsidR="009E3B5C">
        <w:t xml:space="preserve"> in their interactions with the environment. </w:t>
      </w:r>
      <w:r>
        <w:t>The present study aims to investigate whether air drag is among these physical properties represented by the brain.</w:t>
      </w:r>
      <w:r w:rsidR="00A6529B">
        <w:t xml:space="preserve"> We thus expect systematic errors when no air drag is simulated, and an accurate performance when air drag is simulated (Hypothesis 1).</w:t>
      </w:r>
      <w:r>
        <w:t xml:space="preserve"> </w:t>
      </w:r>
      <w:r w:rsidR="00E7534E">
        <w:t xml:space="preserve">Furthermore, if humans represent air drag, it stands to reason that they also represent air </w:t>
      </w:r>
      <w:r w:rsidR="00E7534E">
        <w:softHyphen/>
        <w:t>drag-relative properties of known objects such as their density and their respective drag coefficient. We thus expect to observe systematic errors when the air drag acting upon a simulated object does not correspond to its appearance (e. g. a ball with the appearance of a tennis ball, but air drag-relevant properties of a basketball</w:t>
      </w:r>
      <w:r w:rsidR="00A6529B">
        <w:t>; Hypothesis 2)</w:t>
      </w:r>
      <w:r w:rsidR="00E7534E">
        <w:t>.</w:t>
      </w:r>
    </w:p>
    <w:p w14:paraId="62EF6F7E" w14:textId="16952219" w:rsidR="00DA5A0C" w:rsidRDefault="00DA5A0C" w:rsidP="003F4A3B">
      <w:pPr>
        <w:jc w:val="both"/>
      </w:pPr>
    </w:p>
    <w:p w14:paraId="7249CD14" w14:textId="03EFEEE2" w:rsidR="00DA5A0C" w:rsidRDefault="00DA5A0C" w:rsidP="00DA5A0C">
      <w:pPr>
        <w:pStyle w:val="Heading2"/>
      </w:pPr>
      <w:r>
        <w:t>Methods</w:t>
      </w:r>
    </w:p>
    <w:p w14:paraId="55B05C87" w14:textId="05F8E2EF" w:rsidR="00DA5A0C" w:rsidRDefault="00DA5A0C" w:rsidP="00DA5A0C">
      <w:pPr>
        <w:pStyle w:val="Heading2"/>
      </w:pPr>
      <w:r>
        <w:t>Participants</w:t>
      </w:r>
    </w:p>
    <w:p w14:paraId="3826AD10" w14:textId="40821D54" w:rsidR="00DA5A0C" w:rsidRDefault="00DA5A0C" w:rsidP="003F4A3B">
      <w:pPr>
        <w:jc w:val="both"/>
      </w:pPr>
      <w:r>
        <w:t xml:space="preserve">We tested n = 20 participants. They were between ____ and ____ years old and had all normal or corrected-to-normal vision. All of them were Psychology students at University of Barcelona and could participate in research activities to acquire course credits. None of the participants were </w:t>
      </w:r>
      <w:commentRangeStart w:id="0"/>
      <w:proofErr w:type="spellStart"/>
      <w:r>
        <w:t>stereoblind</w:t>
      </w:r>
      <w:commentRangeEnd w:id="0"/>
      <w:proofErr w:type="spellEnd"/>
      <w:r>
        <w:rPr>
          <w:rStyle w:val="CommentReference"/>
        </w:rPr>
        <w:commentReference w:id="0"/>
      </w:r>
      <w:r>
        <w:t xml:space="preserve"> .</w:t>
      </w:r>
    </w:p>
    <w:p w14:paraId="67A82CCA" w14:textId="77777777" w:rsidR="00DA5A0C" w:rsidRDefault="00DA5A0C" w:rsidP="003F4A3B">
      <w:pPr>
        <w:jc w:val="both"/>
      </w:pPr>
    </w:p>
    <w:p w14:paraId="44411D79" w14:textId="39CB330D" w:rsidR="00DA5A0C" w:rsidRDefault="00DA5A0C" w:rsidP="003F4A3B">
      <w:pPr>
        <w:jc w:val="both"/>
      </w:pPr>
      <w:r w:rsidRPr="009F4A02">
        <w:rPr>
          <w:rFonts w:asciiTheme="majorHAnsi" w:eastAsiaTheme="majorEastAsia" w:hAnsiTheme="majorHAnsi" w:cstheme="majorBidi"/>
          <w:color w:val="2F5496" w:themeColor="accent1" w:themeShade="BF"/>
          <w:sz w:val="26"/>
          <w:szCs w:val="26"/>
        </w:rPr>
        <w:t>Apparatus</w:t>
      </w:r>
    </w:p>
    <w:p w14:paraId="43724241" w14:textId="54E69AF2" w:rsidR="00DA5A0C" w:rsidRDefault="00DA5A0C" w:rsidP="003F4A3B">
      <w:pPr>
        <w:jc w:val="both"/>
      </w:pPr>
      <w:r>
        <w:t xml:space="preserve">We </w:t>
      </w:r>
      <w:r w:rsidR="00A63E27">
        <w:t xml:space="preserve">presented </w:t>
      </w:r>
      <w:r>
        <w:t xml:space="preserve">overlaid images on a back-projection screen </w:t>
      </w:r>
      <w:r w:rsidRPr="00DA5A0C">
        <w:t xml:space="preserve">(244 cm </w:t>
      </w:r>
      <w:r>
        <w:t xml:space="preserve">tall </w:t>
      </w:r>
      <w:r w:rsidRPr="00DA5A0C">
        <w:t xml:space="preserve">and 184 cm </w:t>
      </w:r>
      <w:r>
        <w:t>wide</w:t>
      </w:r>
      <w:r w:rsidRPr="00DA5A0C">
        <w:t>)</w:t>
      </w:r>
      <w:r>
        <w:t xml:space="preserve"> with two</w:t>
      </w:r>
      <w:r w:rsidRPr="00DA5A0C">
        <w:t xml:space="preserve"> Sony laser projectors (VPL-FHZ57)</w:t>
      </w:r>
      <w:r>
        <w:t xml:space="preserve">. They </w:t>
      </w:r>
      <w:r w:rsidR="00A63E27">
        <w:t>provided</w:t>
      </w:r>
      <w:r>
        <w:t xml:space="preserve"> a </w:t>
      </w:r>
      <w:r w:rsidRPr="00DA5A0C">
        <w:t>resolution of 1920 × 1080 pixels</w:t>
      </w:r>
      <w:r>
        <w:t xml:space="preserve"> and a refresh rate of</w:t>
      </w:r>
      <w:r w:rsidRPr="00DA5A0C">
        <w:t xml:space="preserve"> 85 Hz for each eye. Circular polarizing filters were used to provide stereoscopic images. Participants stood at </w:t>
      </w:r>
      <w:commentRangeStart w:id="1"/>
      <w:r w:rsidRPr="00DA5A0C">
        <w:t>2</w:t>
      </w:r>
      <w:r w:rsidR="00FE00F2">
        <w:t> </w:t>
      </w:r>
      <w:r w:rsidRPr="00DA5A0C">
        <w:t xml:space="preserve">m </w:t>
      </w:r>
      <w:commentRangeEnd w:id="1"/>
      <w:r w:rsidR="00FE00F2">
        <w:rPr>
          <w:rStyle w:val="CommentReference"/>
        </w:rPr>
        <w:commentReference w:id="1"/>
      </w:r>
      <w:r w:rsidRPr="00DA5A0C">
        <w:t xml:space="preserve">distance centrally in front of the screen and used polarized glasses to achieve stereoscopic </w:t>
      </w:r>
      <w:r w:rsidR="00A63E27">
        <w:t>vision</w:t>
      </w:r>
      <w:r w:rsidRPr="00DA5A0C">
        <w:t>. The shown disparity was adapted to each participant’s interocular distance.</w:t>
      </w:r>
      <w:r w:rsidR="00FE00F2">
        <w:t xml:space="preserve"> Responses were given </w:t>
      </w:r>
      <w:commentRangeStart w:id="2"/>
      <w:r w:rsidR="00FE00F2">
        <w:t>with</w:t>
      </w:r>
      <w:commentRangeEnd w:id="2"/>
      <w:r w:rsidR="00FE00F2">
        <w:rPr>
          <w:rStyle w:val="CommentReference"/>
        </w:rPr>
        <w:commentReference w:id="2"/>
      </w:r>
      <w:r w:rsidR="00FE00F2">
        <w:t xml:space="preserve"> .</w:t>
      </w:r>
    </w:p>
    <w:p w14:paraId="592FEC31" w14:textId="77777777" w:rsidR="00DA5A0C" w:rsidRDefault="00DA5A0C" w:rsidP="003F4A3B">
      <w:pPr>
        <w:jc w:val="both"/>
      </w:pPr>
    </w:p>
    <w:p w14:paraId="02BF4A9C" w14:textId="4F96BB36" w:rsidR="00DA5A0C" w:rsidRPr="009F4A02" w:rsidRDefault="00DA5A0C" w:rsidP="003F4A3B">
      <w:pPr>
        <w:jc w:val="both"/>
        <w:rPr>
          <w:rFonts w:asciiTheme="majorHAnsi" w:eastAsiaTheme="majorEastAsia" w:hAnsiTheme="majorHAnsi" w:cstheme="majorBidi"/>
          <w:color w:val="2F5496" w:themeColor="accent1" w:themeShade="BF"/>
          <w:sz w:val="26"/>
          <w:szCs w:val="26"/>
        </w:rPr>
      </w:pPr>
      <w:r w:rsidRPr="009F4A02">
        <w:rPr>
          <w:rFonts w:asciiTheme="majorHAnsi" w:eastAsiaTheme="majorEastAsia" w:hAnsiTheme="majorHAnsi" w:cstheme="majorBidi"/>
          <w:color w:val="2F5496" w:themeColor="accent1" w:themeShade="BF"/>
          <w:sz w:val="26"/>
          <w:szCs w:val="26"/>
        </w:rPr>
        <w:t>Setup</w:t>
      </w:r>
    </w:p>
    <w:p w14:paraId="5B9F7A4E" w14:textId="4C2B8496" w:rsidR="003A095A" w:rsidRDefault="00A6529B" w:rsidP="003F4A3B">
      <w:pPr>
        <w:jc w:val="both"/>
      </w:pPr>
      <w:r>
        <w:lastRenderedPageBreak/>
        <w:softHyphen/>
      </w:r>
      <w:r w:rsidR="003F4A3B">
        <w:t>We present</w:t>
      </w:r>
      <w:r w:rsidR="00FE00F2">
        <w:t>ed</w:t>
      </w:r>
      <w:r w:rsidR="003F4A3B">
        <w:t xml:space="preserve"> participants with parabolic </w:t>
      </w:r>
      <w:r w:rsidR="00FE00F2">
        <w:t xml:space="preserve">motion </w:t>
      </w:r>
      <w:r w:rsidR="003F4A3B">
        <w:t>in the fronto-parallel plane in a rich 3D environment that provide</w:t>
      </w:r>
      <w:r w:rsidR="00FE00F2">
        <w:t>d</w:t>
      </w:r>
      <w:r w:rsidR="003F4A3B">
        <w:t xml:space="preserve"> cues about the distance to the target, at a simulated distance of 6m from the participant. The ball disappear</w:t>
      </w:r>
      <w:r w:rsidR="00FE00F2">
        <w:t>ed</w:t>
      </w:r>
      <w:r w:rsidR="003F4A3B">
        <w:t xml:space="preserve"> after reaching peak</w:t>
      </w:r>
      <w:r w:rsidR="00B002D0">
        <w:t xml:space="preserve"> (between 55 % and 60 % of the full flight duration)</w:t>
      </w:r>
      <w:r w:rsidR="003F4A3B">
        <w:t xml:space="preserve"> and participants indicate</w:t>
      </w:r>
      <w:r w:rsidR="00FE00F2">
        <w:t>d</w:t>
      </w:r>
      <w:r w:rsidR="003F4A3B">
        <w:t xml:space="preserve"> by button press when the ball drop</w:t>
      </w:r>
      <w:r w:rsidR="00FE00F2">
        <w:t>ped</w:t>
      </w:r>
      <w:r w:rsidR="003F4A3B">
        <w:t xml:space="preserve"> back to the height it was launched from (indicated by a simulated table). Then, the ball reappear</w:t>
      </w:r>
      <w:r w:rsidR="00FE00F2">
        <w:t>ed</w:t>
      </w:r>
      <w:r w:rsidR="003F4A3B">
        <w:t xml:space="preserve"> in a random position drawn from a uniform distribution simulated point-of-impact </w:t>
      </w:r>
      <w:r w:rsidR="002B09EC">
        <w:t xml:space="preserve">on the table </w:t>
      </w:r>
      <w:r w:rsidR="003F4A3B">
        <w:t>and participants use</w:t>
      </w:r>
      <w:r w:rsidR="002B09EC">
        <w:t>d</w:t>
      </w:r>
      <w:r w:rsidR="003F4A3B">
        <w:t xml:space="preserve"> a joystick to move the ball, indicating the position where they thought the ball hit the table.</w:t>
      </w:r>
      <w:r w:rsidR="00FE00F2">
        <w:t xml:space="preserve"> The target </w:t>
      </w:r>
      <w:r w:rsidR="002B09EC">
        <w:t>had</w:t>
      </w:r>
      <w:r w:rsidR="00FE00F2">
        <w:t xml:space="preserve"> the appearance of a tennis ball (texture, size) and the physical properties (mass, density, drag coefficient) of a tennis ball (Tennis ball, Congruent), the appearance of a basketball and the physical properties of a basketball (Basketball, Congruent), the appearance of a tennis ball and the physical properties of a basketball (Tennis ball, Incongruent) or the appearance of a </w:t>
      </w:r>
      <w:r w:rsidR="00AE384F">
        <w:t>basketball</w:t>
      </w:r>
      <w:r w:rsidR="00FE00F2">
        <w:t xml:space="preserve"> and the physical properties of a tennis ball (Basketball, Incongruent).</w:t>
      </w:r>
      <w:r w:rsidR="0006438B">
        <w:t xml:space="preserve"> The ball could start with an initial horizontal velocity of 3.0 or 3.5 m/s. The initial vertical velocity was given such that the overall flight time (visible + invisible) was 1.0, 1.2 or 1.4 s</w:t>
      </w:r>
      <w:r w:rsidR="002F519B">
        <w:t xml:space="preserve"> and ranged between 4.9035 and 6.8649 m/s</w:t>
      </w:r>
      <w:r w:rsidR="0006438B">
        <w:t xml:space="preserve">. </w:t>
      </w:r>
    </w:p>
    <w:p w14:paraId="32194A8A" w14:textId="6D5B1E1F" w:rsidR="003F4A3B" w:rsidRDefault="0006438B" w:rsidP="003F4A3B">
      <w:pPr>
        <w:jc w:val="both"/>
      </w:pPr>
      <w:r>
        <w:t>In half of trials, the trajectory unfolded in the absence of air drag, that is the target’s x and y positions were given by</w:t>
      </w:r>
      <w:r w:rsidR="00CA45CA">
        <w:t xml:space="preserve"> the</w:t>
      </w:r>
      <w:r>
        <w:t xml:space="preserve"> regular equations for parabolic motion: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06438B" w:rsidRPr="00277A48" w14:paraId="16BC113D" w14:textId="77777777" w:rsidTr="00DF2DEF">
        <w:trPr>
          <w:trHeight w:val="376"/>
        </w:trPr>
        <w:tc>
          <w:tcPr>
            <w:tcW w:w="8314" w:type="dxa"/>
            <w:shd w:val="clear" w:color="auto" w:fill="FFFFFF" w:themeFill="background1"/>
            <w:vAlign w:val="center"/>
          </w:tcPr>
          <w:p w14:paraId="7AE5E281" w14:textId="3B9C7AE2" w:rsidR="0006438B" w:rsidRPr="00277A48" w:rsidRDefault="007D065C" w:rsidP="00DF2DEF">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602F6ED7" w14:textId="77777777" w:rsidR="0006438B" w:rsidRPr="00277A48" w:rsidRDefault="0006438B" w:rsidP="00DF2DEF">
            <w:pPr>
              <w:pStyle w:val="MaterialsandMethodsText"/>
            </w:pPr>
            <w:r w:rsidRPr="00277A48">
              <w:t>[</w:t>
            </w:r>
            <w:r>
              <w:t>1</w:t>
            </w:r>
            <w:r w:rsidRPr="00277A48">
              <w:t>]</w:t>
            </w:r>
          </w:p>
        </w:tc>
      </w:tr>
      <w:tr w:rsidR="0006438B" w:rsidRPr="00277A48" w14:paraId="2B7B4C79" w14:textId="77777777" w:rsidTr="00DF2DEF">
        <w:trPr>
          <w:trHeight w:val="675"/>
        </w:trPr>
        <w:tc>
          <w:tcPr>
            <w:tcW w:w="8314" w:type="dxa"/>
            <w:shd w:val="clear" w:color="auto" w:fill="FFFFFF" w:themeFill="background1"/>
            <w:vAlign w:val="center"/>
          </w:tcPr>
          <w:p w14:paraId="47EE108D" w14:textId="0436FE33" w:rsidR="0006438B" w:rsidRPr="00E112AC" w:rsidRDefault="007D065C" w:rsidP="00DF2DEF">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12FDBE54" w14:textId="77777777" w:rsidR="0006438B" w:rsidRPr="00277A48" w:rsidRDefault="0006438B" w:rsidP="00DF2DEF">
            <w:pPr>
              <w:pStyle w:val="MaterialsandMethodsText"/>
            </w:pPr>
            <w:r w:rsidRPr="00277A48">
              <w:t>[</w:t>
            </w:r>
            <w:r>
              <w:t>2</w:t>
            </w:r>
            <w:r w:rsidRPr="00277A48">
              <w:t>]</w:t>
            </w:r>
          </w:p>
        </w:tc>
      </w:tr>
    </w:tbl>
    <w:p w14:paraId="65C864E5" w14:textId="77777777" w:rsidR="00883F65" w:rsidRDefault="007D065C" w:rsidP="003F4A3B">
      <w:pPr>
        <w:jc w:val="both"/>
        <w:rPr>
          <w:rFonts w:eastAsiaTheme="minorEastAsia"/>
        </w:rPr>
      </w:pPr>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973BEE">
        <w:rPr>
          <w:rFonts w:eastAsiaTheme="minorEastAsia"/>
          <w:i/>
          <w:iCs/>
        </w:rPr>
        <w:t>x</w:t>
      </w:r>
      <w:r w:rsidR="00AE384F">
        <w:rPr>
          <w:rFonts w:eastAsiaTheme="minorEastAsia"/>
        </w:rPr>
        <w:t xml:space="preserve"> position in time</w:t>
      </w:r>
      <w:r w:rsidR="0031622F">
        <w:rPr>
          <w:rFonts w:eastAsiaTheme="minorEastAsia"/>
        </w:rPr>
        <w:t>;</w:t>
      </w:r>
      <w:r w:rsidR="00AE384F" w:rsidRPr="00AE384F">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oMath>
      <w:r w:rsidR="00B76F61" w:rsidRPr="00B76F61">
        <w:rPr>
          <w:rFonts w:eastAsiaTheme="minorEastAsia"/>
        </w:rPr>
        <w:t xml:space="preserve"> </w:t>
      </w:r>
      <w:r w:rsidR="00B76F61">
        <w:rPr>
          <w:rFonts w:eastAsiaTheme="minorEastAsia"/>
        </w:rPr>
        <w:t xml:space="preserve">is the horizontal acceleration, which </w:t>
      </w:r>
      <w:r w:rsidR="00AE384F">
        <w:rPr>
          <w:rFonts w:eastAsiaTheme="minorEastAsia"/>
        </w:rPr>
        <w:t>for motion with air drag is constant at </w:t>
      </w:r>
      <w:r w:rsidR="00B76F61">
        <w:rPr>
          <w:rFonts w:eastAsiaTheme="minorEastAsia"/>
        </w:rPr>
        <w:t>0</w:t>
      </w:r>
      <w:r w:rsidR="00AE384F">
        <w:rPr>
          <w:rFonts w:eastAsiaTheme="minorEastAsia"/>
        </w:rPr>
        <w:t xml:space="preserve"> m/s²; </w:t>
      </w:r>
      <w:r w:rsidR="00AE384F" w:rsidRPr="00AF1EE1">
        <w:rPr>
          <w:rFonts w:eastAsiaTheme="minorEastAsia"/>
          <w:i/>
          <w:iCs/>
        </w:rPr>
        <w:t>t</w:t>
      </w:r>
      <w:r w:rsidR="00AE384F">
        <w:rPr>
          <w:rFonts w:eastAsiaTheme="minorEastAsia"/>
        </w:rPr>
        <w:t xml:space="preserve"> is the time that has passed since inception of the trial;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oMath>
      <w:r w:rsidR="00AE384F" w:rsidRPr="0006438B">
        <w:rPr>
          <w:rFonts w:eastAsiaTheme="minorEastAsia"/>
        </w:rPr>
        <w:t xml:space="preserve"> refers to</w:t>
      </w:r>
      <w:r w:rsidR="00AE384F">
        <w:rPr>
          <w:rFonts w:eastAsiaTheme="minorEastAsia"/>
        </w:rPr>
        <w:t xml:space="preserve"> the horizontal velocity, which is constant without air drag;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AF1EE1">
        <w:rPr>
          <w:rFonts w:eastAsiaTheme="minorEastAsia"/>
          <w:i/>
          <w:iCs/>
        </w:rPr>
        <w:t>y</w:t>
      </w:r>
      <w:r w:rsidR="00AE384F">
        <w:rPr>
          <w:rFonts w:eastAsiaTheme="minorEastAsia"/>
        </w:rPr>
        <w:t xml:space="preserve"> position in time</w:t>
      </w:r>
      <w:r w:rsidR="00AF1EE1">
        <w:rPr>
          <w:rFonts w:eastAsiaTheme="minorEastAsia"/>
        </w:rPr>
        <w:t>;</w:t>
      </w:r>
      <w:r w:rsidR="00B76F61">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y</m:t>
            </m:r>
          </m:sub>
        </m:sSub>
      </m:oMath>
      <w:r w:rsidR="00B76F61" w:rsidRPr="00B76F61">
        <w:rPr>
          <w:rFonts w:eastAsiaTheme="minorEastAsia"/>
        </w:rPr>
        <w:t xml:space="preserve"> </w:t>
      </w:r>
      <w:r w:rsidR="00B76F61">
        <w:rPr>
          <w:rFonts w:eastAsiaTheme="minorEastAsia"/>
        </w:rPr>
        <w:t xml:space="preserve">is the vertical acceleration, </w:t>
      </w:r>
      <w:r w:rsidR="00AE384F">
        <w:rPr>
          <w:rFonts w:eastAsiaTheme="minorEastAsia"/>
        </w:rPr>
        <w:t xml:space="preserve">which for motion without air drag is constant at </w:t>
      </w:r>
      <w:r w:rsidR="00B76F61">
        <w:rPr>
          <w:rFonts w:eastAsiaTheme="minorEastAsia"/>
        </w:rPr>
        <w:t>earth gravity</w:t>
      </w:r>
      <w:r w:rsidR="00AE384F">
        <w:rPr>
          <w:rFonts w:eastAsiaTheme="minorEastAsia"/>
        </w:rPr>
        <w:t xml:space="preserve"> </w:t>
      </w:r>
      <w:r w:rsidR="00B76F61">
        <w:rPr>
          <w:rFonts w:eastAsiaTheme="minorEastAsia"/>
        </w:rPr>
        <w:t>(-9.81 m/s²);</w:t>
      </w:r>
      <w:r w:rsidR="0006438B">
        <w:rPr>
          <w:rFonts w:eastAsiaTheme="minorEastAsia"/>
        </w:rPr>
        <w:t xml:space="preserve"> </w:t>
      </w:r>
      <w:r w:rsidR="000856B8">
        <w:rPr>
          <w:rFonts w:eastAsiaTheme="minorEastAsia"/>
        </w:rPr>
        <w:t xml:space="preserve">and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oMath>
      <w:r w:rsidR="0006438B" w:rsidRPr="0006438B">
        <w:rPr>
          <w:rFonts w:eastAsiaTheme="minorEastAsia"/>
        </w:rPr>
        <w:t xml:space="preserve"> </w:t>
      </w:r>
      <w:r w:rsidR="0006438B">
        <w:rPr>
          <w:rFonts w:eastAsiaTheme="minorEastAsia"/>
        </w:rPr>
        <w:t>refers to the initial vertical velocity</w:t>
      </w:r>
      <w:r w:rsidR="00CA45CA">
        <w:rPr>
          <w:rFonts w:eastAsiaTheme="minorEastAsia"/>
        </w:rPr>
        <w:t xml:space="preserve">. </w:t>
      </w:r>
    </w:p>
    <w:p w14:paraId="70E7A0B1" w14:textId="2BAB667C" w:rsidR="006E0C61" w:rsidRDefault="00CA45CA" w:rsidP="003F4A3B">
      <w:pPr>
        <w:jc w:val="both"/>
        <w:rPr>
          <w:rFonts w:eastAsiaTheme="minorEastAsia"/>
        </w:rPr>
      </w:pPr>
      <w:r>
        <w:rPr>
          <w:rFonts w:eastAsiaTheme="minorEastAsia"/>
        </w:rPr>
        <w:t xml:space="preserve">The other half of trials were simulated under the influence of air drag, where </w:t>
      </w:r>
      <w:r w:rsidR="006E0C61">
        <w:rPr>
          <w:rFonts w:eastAsiaTheme="minorEastAsia"/>
        </w:rPr>
        <w:t xml:space="preserve">we compute acceleration and velocities dynamically on each </w:t>
      </w:r>
      <w:r w:rsidR="00C92624">
        <w:rPr>
          <w:rFonts w:eastAsiaTheme="minorEastAsia"/>
        </w:rPr>
        <w:t>frame</w:t>
      </w:r>
      <w:r w:rsidR="006E0C61">
        <w:rPr>
          <w:rFonts w:eastAsiaTheme="minorEastAsia"/>
        </w:rPr>
        <w:t xml:space="preserve"> according to the following equations: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F60B4" w:rsidRPr="00277A48" w14:paraId="5253C9A0" w14:textId="77777777" w:rsidTr="007D065C">
        <w:trPr>
          <w:trHeight w:val="376"/>
        </w:trPr>
        <w:tc>
          <w:tcPr>
            <w:tcW w:w="8314" w:type="dxa"/>
            <w:shd w:val="clear" w:color="auto" w:fill="FFFFFF" w:themeFill="background1"/>
            <w:vAlign w:val="center"/>
          </w:tcPr>
          <w:p w14:paraId="59F99A07" w14:textId="77777777" w:rsidR="00EF60B4" w:rsidRPr="00277A48" w:rsidRDefault="007D065C" w:rsidP="00EF60B4">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5796E172" w14:textId="77777777" w:rsidR="00EF60B4" w:rsidRPr="00277A48" w:rsidRDefault="00EF60B4" w:rsidP="00EF60B4">
            <w:pPr>
              <w:pStyle w:val="MaterialsandMethodsText"/>
            </w:pPr>
            <w:r w:rsidRPr="00277A48">
              <w:t>[</w:t>
            </w:r>
            <w:r>
              <w:t>1</w:t>
            </w:r>
            <w:r w:rsidRPr="00277A48">
              <w:t>]</w:t>
            </w:r>
          </w:p>
        </w:tc>
      </w:tr>
      <w:tr w:rsidR="00EF60B4" w:rsidRPr="00277A48" w14:paraId="62D0306D" w14:textId="77777777" w:rsidTr="007D065C">
        <w:trPr>
          <w:trHeight w:val="675"/>
        </w:trPr>
        <w:tc>
          <w:tcPr>
            <w:tcW w:w="8314" w:type="dxa"/>
            <w:shd w:val="clear" w:color="auto" w:fill="FFFFFF" w:themeFill="background1"/>
            <w:vAlign w:val="center"/>
          </w:tcPr>
          <w:p w14:paraId="736AD896" w14:textId="77777777" w:rsidR="00EF60B4" w:rsidRPr="00E112AC" w:rsidRDefault="007D065C" w:rsidP="00EF60B4">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6503EE0C" w14:textId="77777777" w:rsidR="00EF60B4" w:rsidRPr="00277A48" w:rsidRDefault="00EF60B4" w:rsidP="00EF60B4">
            <w:pPr>
              <w:pStyle w:val="MaterialsandMethodsText"/>
            </w:pPr>
            <w:r w:rsidRPr="00277A48">
              <w:t>[</w:t>
            </w:r>
            <w:r>
              <w:t>2</w:t>
            </w:r>
            <w:r w:rsidRPr="00277A48">
              <w:t>]</w:t>
            </w:r>
          </w:p>
        </w:tc>
      </w:tr>
      <w:tr w:rsidR="00EF60B4" w:rsidRPr="00277A48" w14:paraId="0372B538" w14:textId="77777777" w:rsidTr="007D065C">
        <w:trPr>
          <w:trHeight w:val="675"/>
        </w:trPr>
        <w:tc>
          <w:tcPr>
            <w:tcW w:w="8314" w:type="dxa"/>
            <w:shd w:val="clear" w:color="auto" w:fill="FFFFFF" w:themeFill="background1"/>
            <w:vAlign w:val="center"/>
          </w:tcPr>
          <w:p w14:paraId="5BE2F134" w14:textId="041E9463"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*dt+0.5*</m:t>
                </m:r>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783" w:type="dxa"/>
            <w:shd w:val="clear" w:color="auto" w:fill="FFFFFF" w:themeFill="background1"/>
            <w:vAlign w:val="center"/>
          </w:tcPr>
          <w:p w14:paraId="2C4C3AA6" w14:textId="12CBFEAA" w:rsidR="00EF60B4" w:rsidRPr="00277A48" w:rsidRDefault="00EF60B4" w:rsidP="00EF60B4">
            <w:pPr>
              <w:pStyle w:val="MaterialsandMethodsText"/>
            </w:pPr>
            <w:r w:rsidRPr="00277A48">
              <w:t>[</w:t>
            </w:r>
            <w:r>
              <w:t>3</w:t>
            </w:r>
            <w:r w:rsidRPr="00277A48">
              <w:t>]</w:t>
            </w:r>
          </w:p>
        </w:tc>
      </w:tr>
      <w:tr w:rsidR="00EF60B4" w:rsidRPr="00277A48" w14:paraId="2A37C3D3" w14:textId="77777777" w:rsidTr="007D065C">
        <w:trPr>
          <w:trHeight w:val="675"/>
        </w:trPr>
        <w:tc>
          <w:tcPr>
            <w:tcW w:w="8314" w:type="dxa"/>
            <w:shd w:val="clear" w:color="auto" w:fill="FFFFFF" w:themeFill="background1"/>
            <w:vAlign w:val="center"/>
          </w:tcPr>
          <w:p w14:paraId="4D2CC02A" w14:textId="787825E2"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 dt</m:t>
                </m:r>
              </m:oMath>
            </m:oMathPara>
          </w:p>
        </w:tc>
        <w:tc>
          <w:tcPr>
            <w:tcW w:w="783" w:type="dxa"/>
            <w:shd w:val="clear" w:color="auto" w:fill="FFFFFF" w:themeFill="background1"/>
            <w:vAlign w:val="center"/>
          </w:tcPr>
          <w:p w14:paraId="48D4E3E6" w14:textId="0551E86F" w:rsidR="00EF60B4" w:rsidRPr="00277A48" w:rsidRDefault="00EF60B4" w:rsidP="00EF60B4">
            <w:pPr>
              <w:pStyle w:val="MaterialsandMethodsText"/>
            </w:pPr>
            <w:r w:rsidRPr="00277A48">
              <w:t>[</w:t>
            </w:r>
            <w:r>
              <w:t>4</w:t>
            </w:r>
            <w:r w:rsidRPr="00277A48">
              <w:t>]</w:t>
            </w:r>
          </w:p>
        </w:tc>
      </w:tr>
      <w:tr w:rsidR="00EF60B4" w:rsidRPr="00277A48" w14:paraId="5A57D114" w14:textId="77777777" w:rsidTr="007D065C">
        <w:trPr>
          <w:trHeight w:val="675"/>
        </w:trPr>
        <w:tc>
          <w:tcPr>
            <w:tcW w:w="8314" w:type="dxa"/>
            <w:shd w:val="clear" w:color="auto" w:fill="FFFFFF" w:themeFill="background1"/>
            <w:vAlign w:val="center"/>
          </w:tcPr>
          <w:p w14:paraId="7ACFDB63" w14:textId="4A51916E"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 dt</m:t>
                </m:r>
              </m:oMath>
            </m:oMathPara>
          </w:p>
        </w:tc>
        <w:tc>
          <w:tcPr>
            <w:tcW w:w="783" w:type="dxa"/>
            <w:shd w:val="clear" w:color="auto" w:fill="FFFFFF" w:themeFill="background1"/>
            <w:vAlign w:val="center"/>
          </w:tcPr>
          <w:p w14:paraId="13205489" w14:textId="0B92E3F6" w:rsidR="00EF60B4" w:rsidRPr="00277A48" w:rsidRDefault="00EF60B4" w:rsidP="00EF60B4">
            <w:pPr>
              <w:pStyle w:val="MaterialsandMethodsText"/>
            </w:pPr>
            <w:r w:rsidRPr="00277A48">
              <w:t>[</w:t>
            </w:r>
            <w:r>
              <w:t>5</w:t>
            </w:r>
            <w:r w:rsidRPr="00277A48">
              <w:t>]</w:t>
            </w:r>
          </w:p>
        </w:tc>
      </w:tr>
      <w:tr w:rsidR="00EF60B4" w:rsidRPr="00277A48" w14:paraId="493A3EB0" w14:textId="77777777" w:rsidTr="007D065C">
        <w:trPr>
          <w:trHeight w:val="675"/>
        </w:trPr>
        <w:tc>
          <w:tcPr>
            <w:tcW w:w="8314" w:type="dxa"/>
            <w:shd w:val="clear" w:color="auto" w:fill="FFFFFF" w:themeFill="background1"/>
            <w:vAlign w:val="center"/>
          </w:tcPr>
          <w:p w14:paraId="48FFA001" w14:textId="0CF9E7FD"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 -(D/m)*</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(t-1)*</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(t-1)</m:t>
                </m:r>
              </m:oMath>
            </m:oMathPara>
          </w:p>
        </w:tc>
        <w:tc>
          <w:tcPr>
            <w:tcW w:w="783" w:type="dxa"/>
            <w:shd w:val="clear" w:color="auto" w:fill="FFFFFF" w:themeFill="background1"/>
            <w:vAlign w:val="center"/>
          </w:tcPr>
          <w:p w14:paraId="11AA3184" w14:textId="3C34BE3F" w:rsidR="00EF60B4" w:rsidRPr="00277A48" w:rsidRDefault="00EF60B4" w:rsidP="00EF60B4">
            <w:pPr>
              <w:pStyle w:val="MaterialsandMethodsText"/>
            </w:pPr>
            <w:r w:rsidRPr="00277A48">
              <w:t>[</w:t>
            </w:r>
            <w:r>
              <w:t>6</w:t>
            </w:r>
            <w:r w:rsidRPr="00277A48">
              <w:t>]</w:t>
            </w:r>
          </w:p>
        </w:tc>
      </w:tr>
      <w:tr w:rsidR="00EF60B4" w:rsidRPr="00277A48" w14:paraId="26401509" w14:textId="77777777" w:rsidTr="007D065C">
        <w:trPr>
          <w:trHeight w:val="675"/>
        </w:trPr>
        <w:tc>
          <w:tcPr>
            <w:tcW w:w="8314" w:type="dxa"/>
            <w:shd w:val="clear" w:color="auto" w:fill="FFFFFF" w:themeFill="background1"/>
            <w:vAlign w:val="center"/>
          </w:tcPr>
          <w:p w14:paraId="76CB3757" w14:textId="64E57055" w:rsidR="00EF60B4" w:rsidRDefault="007D065C" w:rsidP="00EF60B4">
            <w:pPr>
              <w:pStyle w:val="MaterialsandMethodsText"/>
              <w:rPr>
                <w:rFonts w:ascii="Calibri" w:eastAsia="Calibri" w:hAnsi="Calibri"/>
                <w:szCs w:val="16"/>
              </w:rPr>
            </w:pPr>
            <m:oMathPara>
              <m:oMath>
                <m:sSub>
                  <m:sSubPr>
                    <m:ctrlPr>
                      <w:rPr>
                        <w:rFonts w:ascii="Cambria Math" w:hAnsi="Cambria Math" w:cstheme="minorHAnsi"/>
                        <w:i/>
                        <w:szCs w:val="16"/>
                      </w:rPr>
                    </m:ctrlPr>
                  </m:sSubPr>
                  <m:e>
                    <m:r>
                      <w:rPr>
                        <w:rFonts w:ascii="Cambria Math" w:hAnsi="Cambria Math" w:cstheme="minorHAnsi"/>
                        <w:szCs w:val="16"/>
                      </w:rPr>
                      <m:t>a</m:t>
                    </m:r>
                  </m:e>
                  <m:sub>
                    <m:r>
                      <w:rPr>
                        <w:rFonts w:ascii="Cambria Math" w:hAnsi="Cambria Math" w:cstheme="minorHAnsi"/>
                        <w:szCs w:val="16"/>
                      </w:rPr>
                      <m:t>y</m:t>
                    </m:r>
                  </m:sub>
                </m:sSub>
                <m:d>
                  <m:dPr>
                    <m:ctrlPr>
                      <w:rPr>
                        <w:rFonts w:ascii="Cambria Math" w:eastAsia="MS Mincho" w:hAnsi="Cambria Math"/>
                        <w:i/>
                        <w:szCs w:val="16"/>
                        <w:lang w:val="de-DE"/>
                      </w:rPr>
                    </m:ctrlPr>
                  </m:dPr>
                  <m:e>
                    <m:r>
                      <w:rPr>
                        <w:rFonts w:ascii="Cambria Math" w:eastAsia="MS Mincho" w:hAnsi="Cambria Math"/>
                        <w:szCs w:val="16"/>
                        <w:lang w:val="de-DE"/>
                      </w:rPr>
                      <m:t>t</m:t>
                    </m:r>
                  </m:e>
                </m:d>
                <m:r>
                  <w:rPr>
                    <w:rFonts w:ascii="Cambria Math" w:eastAsia="MS Mincho" w:hAnsi="Cambria Math"/>
                    <w:szCs w:val="16"/>
                    <w:lang w:val="de-DE"/>
                  </w:rPr>
                  <m:t xml:space="preserve">=-g - </m:t>
                </m:r>
                <m:d>
                  <m:dPr>
                    <m:ctrlPr>
                      <w:rPr>
                        <w:rFonts w:ascii="Cambria Math" w:eastAsia="MS Mincho" w:hAnsi="Cambria Math"/>
                        <w:i/>
                        <w:szCs w:val="16"/>
                        <w:lang w:val="de-DE"/>
                      </w:rPr>
                    </m:ctrlPr>
                  </m:dPr>
                  <m:e>
                    <m:f>
                      <m:fPr>
                        <m:ctrlPr>
                          <w:rPr>
                            <w:rFonts w:ascii="Cambria Math" w:eastAsia="MS Mincho" w:hAnsi="Cambria Math"/>
                            <w:i/>
                            <w:szCs w:val="16"/>
                            <w:lang w:val="de-DE"/>
                          </w:rPr>
                        </m:ctrlPr>
                      </m:fPr>
                      <m:num>
                        <m:r>
                          <w:rPr>
                            <w:rFonts w:ascii="Cambria Math" w:eastAsia="MS Mincho" w:hAnsi="Cambria Math"/>
                            <w:szCs w:val="16"/>
                            <w:lang w:val="de-DE"/>
                          </w:rPr>
                          <m:t>D</m:t>
                        </m:r>
                      </m:num>
                      <m:den>
                        <m:r>
                          <w:rPr>
                            <w:rFonts w:ascii="Cambria Math" w:eastAsia="MS Mincho" w:hAnsi="Cambria Math"/>
                            <w:szCs w:val="16"/>
                            <w:lang w:val="de-DE"/>
                          </w:rPr>
                          <m:t>m</m:t>
                        </m:r>
                      </m:den>
                    </m:f>
                  </m:e>
                </m:d>
                <m:r>
                  <w:rPr>
                    <w:rFonts w:ascii="Cambria Math" w:eastAsia="MS Mincho" w:hAnsi="Cambria Math"/>
                    <w:szCs w:val="16"/>
                    <w:lang w:val="de-DE"/>
                  </w:rPr>
                  <m:t>*</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t</m:t>
                    </m:r>
                  </m:sub>
                </m:sSub>
                <m:r>
                  <w:rPr>
                    <w:rFonts w:ascii="Cambria Math" w:eastAsia="MS Mincho" w:hAnsi="Cambria Math"/>
                    <w:szCs w:val="16"/>
                    <w:lang w:val="de-DE"/>
                  </w:rPr>
                  <m:t>(t-1)*</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y</m:t>
                    </m:r>
                  </m:sub>
                </m:sSub>
                <m:r>
                  <w:rPr>
                    <w:rFonts w:ascii="Cambria Math" w:eastAsia="MS Mincho" w:hAnsi="Cambria Math"/>
                    <w:szCs w:val="16"/>
                    <w:lang w:val="de-DE"/>
                  </w:rPr>
                  <m:t>(t-1)</m:t>
                </m:r>
              </m:oMath>
            </m:oMathPara>
          </w:p>
        </w:tc>
        <w:tc>
          <w:tcPr>
            <w:tcW w:w="783" w:type="dxa"/>
            <w:shd w:val="clear" w:color="auto" w:fill="FFFFFF" w:themeFill="background1"/>
            <w:vAlign w:val="center"/>
          </w:tcPr>
          <w:p w14:paraId="6D16FEF6" w14:textId="366E9DF4" w:rsidR="00EF60B4" w:rsidRPr="00277A48" w:rsidRDefault="00EF60B4" w:rsidP="00EF60B4">
            <w:pPr>
              <w:pStyle w:val="MaterialsandMethodsText"/>
            </w:pPr>
            <w:r w:rsidRPr="00277A48">
              <w:t>[</w:t>
            </w:r>
            <w:r>
              <w:t>7</w:t>
            </w:r>
            <w:r w:rsidRPr="00277A48">
              <w:t>]</w:t>
            </w:r>
          </w:p>
        </w:tc>
      </w:tr>
      <w:tr w:rsidR="00EF60B4" w:rsidRPr="00277A48" w14:paraId="36DF712A" w14:textId="77777777" w:rsidTr="007D065C">
        <w:trPr>
          <w:trHeight w:val="675"/>
        </w:trPr>
        <w:tc>
          <w:tcPr>
            <w:tcW w:w="8314" w:type="dxa"/>
            <w:shd w:val="clear" w:color="auto" w:fill="FFFFFF" w:themeFill="background1"/>
            <w:vAlign w:val="center"/>
          </w:tcPr>
          <w:p w14:paraId="4C56D9DF" w14:textId="77777777" w:rsidR="00EF60B4" w:rsidRDefault="00EF60B4" w:rsidP="00EF60B4">
            <w:pPr>
              <w:jc w:val="both"/>
              <w:rPr>
                <w:rFonts w:ascii="Times New Roman" w:eastAsia="MS Mincho" w:hAnsi="Times New Roman"/>
              </w:rPr>
            </w:pPr>
            <m:oMathPara>
              <m:oMath>
                <m:r>
                  <w:rPr>
                    <w:rFonts w:ascii="Cambria Math" w:hAnsi="Cambria Math" w:cstheme="minorHAnsi"/>
                    <w:szCs w:val="16"/>
                  </w:rPr>
                  <w:lastRenderedPageBreak/>
                  <m:t xml:space="preserve">D= 0.5 * ρ* cd * pi * </m:t>
                </m:r>
                <m:sSup>
                  <m:sSupPr>
                    <m:ctrlPr>
                      <w:rPr>
                        <w:rFonts w:ascii="Cambria Math" w:hAnsi="Cambria Math" w:cstheme="minorHAnsi"/>
                        <w:i/>
                        <w:szCs w:val="16"/>
                      </w:rPr>
                    </m:ctrlPr>
                  </m:sSupPr>
                  <m:e>
                    <m:r>
                      <w:rPr>
                        <w:rFonts w:ascii="Cambria Math" w:hAnsi="Cambria Math" w:cstheme="minorHAnsi"/>
                        <w:szCs w:val="16"/>
                      </w:rPr>
                      <m:t>r</m:t>
                    </m:r>
                  </m:e>
                  <m:sup>
                    <m:r>
                      <w:rPr>
                        <w:rFonts w:ascii="Cambria Math" w:hAnsi="Cambria Math" w:cstheme="minorHAnsi"/>
                        <w:szCs w:val="16"/>
                      </w:rPr>
                      <m:t>2</m:t>
                    </m:r>
                  </m:sup>
                </m:sSup>
              </m:oMath>
            </m:oMathPara>
          </w:p>
          <w:p w14:paraId="610FEFF8" w14:textId="77777777" w:rsidR="00EF60B4" w:rsidRDefault="00EF60B4" w:rsidP="00EF60B4">
            <w:pPr>
              <w:pStyle w:val="MaterialsandMethodsText"/>
              <w:rPr>
                <w:rFonts w:ascii="Calibri" w:eastAsia="Calibri" w:hAnsi="Calibri"/>
                <w:szCs w:val="16"/>
              </w:rPr>
            </w:pPr>
          </w:p>
        </w:tc>
        <w:tc>
          <w:tcPr>
            <w:tcW w:w="783" w:type="dxa"/>
            <w:shd w:val="clear" w:color="auto" w:fill="FFFFFF" w:themeFill="background1"/>
            <w:vAlign w:val="center"/>
          </w:tcPr>
          <w:p w14:paraId="3B75F25B" w14:textId="5A9F9238" w:rsidR="00EF60B4" w:rsidRPr="00277A48" w:rsidRDefault="00EF60B4" w:rsidP="00EF60B4">
            <w:pPr>
              <w:pStyle w:val="MaterialsandMethodsText"/>
            </w:pPr>
            <w:r w:rsidRPr="00277A48">
              <w:t>[</w:t>
            </w:r>
            <w:r>
              <w:t>8</w:t>
            </w:r>
            <w:r w:rsidRPr="00277A48">
              <w:t>]</w:t>
            </w:r>
          </w:p>
        </w:tc>
      </w:tr>
    </w:tbl>
    <w:p w14:paraId="301D6058" w14:textId="33D8DF3C" w:rsidR="00C64A62" w:rsidRPr="00C92624" w:rsidRDefault="007D065C" w:rsidP="00325883">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w:t>
      </w:r>
      <w:r w:rsidR="00C10AA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are </w:t>
      </w:r>
      <w:r w:rsidR="00973BEE" w:rsidRPr="00973BEE">
        <w:rPr>
          <w:rFonts w:eastAsiaTheme="minorEastAsia"/>
          <w:i/>
          <w:iCs/>
        </w:rPr>
        <w:t>x</w:t>
      </w:r>
      <w:r w:rsidR="00C92624" w:rsidRPr="00C92624">
        <w:rPr>
          <w:rFonts w:eastAsiaTheme="minorEastAsia"/>
        </w:rPr>
        <w:t xml:space="preserve"> position, </w:t>
      </w:r>
      <w:r w:rsidR="00C92624" w:rsidRPr="00973BEE">
        <w:rPr>
          <w:rFonts w:eastAsiaTheme="minorEastAsia"/>
          <w:i/>
          <w:iCs/>
        </w:rPr>
        <w:t>y</w:t>
      </w:r>
      <w:r w:rsidR="00C92624" w:rsidRPr="00C92624">
        <w:rPr>
          <w:rFonts w:eastAsiaTheme="minorEastAsia"/>
        </w:rPr>
        <w:t xml:space="preserve"> position, horizontal velocity, vertical velocity,</w:t>
      </w:r>
      <w:r w:rsidR="00C10AA1">
        <w:rPr>
          <w:rFonts w:eastAsiaTheme="minorEastAsia"/>
        </w:rPr>
        <w:t xml:space="preserve"> tangential velocity,</w:t>
      </w:r>
      <w:r w:rsidR="00C92624" w:rsidRPr="00C92624">
        <w:rPr>
          <w:rFonts w:eastAsiaTheme="minorEastAsia"/>
        </w:rPr>
        <w:t xml:space="preserve"> horizontal accelerati</w:t>
      </w:r>
      <w:r w:rsidR="00C92624">
        <w:rPr>
          <w:rFonts w:eastAsiaTheme="minorEastAsia"/>
        </w:rPr>
        <w:t xml:space="preserve">on and vertical acceleration </w:t>
      </w:r>
      <w:r w:rsidR="00C10AA1">
        <w:rPr>
          <w:rFonts w:eastAsiaTheme="minorEastAsia"/>
        </w:rPr>
        <w:t xml:space="preserve">in time, respectively; </w:t>
      </w:r>
      <w:r w:rsidR="00C10AA1" w:rsidRPr="00973BEE">
        <w:rPr>
          <w:rFonts w:eastAsiaTheme="minorEastAsia"/>
          <w:i/>
          <w:iCs/>
        </w:rPr>
        <w:t>D</w:t>
      </w:r>
      <w:r w:rsidR="00C10AA1">
        <w:rPr>
          <w:rFonts w:eastAsiaTheme="minorEastAsia"/>
        </w:rPr>
        <w:t xml:space="preserve"> is the drag coefficient of the respectively object;</w:t>
      </w:r>
      <w:r w:rsidR="00EF60B4">
        <w:rPr>
          <w:rFonts w:eastAsiaTheme="minorEastAsia"/>
        </w:rPr>
        <w:t xml:space="preserve"> it is calculated based on</w:t>
      </w:r>
      <w:r w:rsidR="009D6BC6">
        <w:rPr>
          <w:rFonts w:eastAsiaTheme="minorEastAsia"/>
        </w:rPr>
        <w:t xml:space="preserve"> the drag coefficient </w:t>
      </w:r>
      <m:oMath>
        <m:r>
          <w:rPr>
            <w:rFonts w:ascii="Cambria Math" w:hAnsi="Cambria Math" w:cstheme="minorHAnsi"/>
            <w:szCs w:val="16"/>
          </w:rPr>
          <m:t>ρ</m:t>
        </m:r>
      </m:oMath>
      <w:r w:rsidR="009D6BC6">
        <w:rPr>
          <w:rFonts w:eastAsiaTheme="minorEastAsia"/>
        </w:rPr>
        <w:t xml:space="preserve">, </w:t>
      </w:r>
      <m:oMath>
        <m:r>
          <w:rPr>
            <w:rFonts w:ascii="Cambria Math" w:hAnsi="Cambria Math" w:cstheme="minorHAnsi"/>
            <w:szCs w:val="16"/>
          </w:rPr>
          <m:t>cd</m:t>
        </m:r>
      </m:oMath>
      <w:r w:rsidR="009D6BC6">
        <w:rPr>
          <w:rFonts w:eastAsiaTheme="minorEastAsia"/>
        </w:rPr>
        <w:t xml:space="preserve"> and the radius of the object (0.033 m for the tennis ball and 0.12 m for the basketball</w:t>
      </w:r>
      <w:r w:rsidR="00990B00">
        <w:rPr>
          <w:rFonts w:eastAsiaTheme="minorEastAsia"/>
        </w:rPr>
        <w:t xml:space="preserve">; see </w:t>
      </w:r>
      <w:r w:rsidR="00EF60B4">
        <w:rPr>
          <w:rFonts w:eastAsiaTheme="minorEastAsia"/>
        </w:rPr>
        <w:t>Equation 8)</w:t>
      </w:r>
      <w:r w:rsidR="009D6BC6">
        <w:rPr>
          <w:rFonts w:eastAsiaTheme="minorEastAsia"/>
        </w:rPr>
        <w:t>.</w:t>
      </w:r>
      <w:r w:rsidR="00C10AA1">
        <w:rPr>
          <w:rFonts w:eastAsiaTheme="minorEastAsia"/>
        </w:rPr>
        <w:t xml:space="preserve"> </w:t>
      </w:r>
      <w:r w:rsidR="00C10AA1" w:rsidRPr="00797B60">
        <w:rPr>
          <w:rFonts w:eastAsiaTheme="minorEastAsia"/>
          <w:i/>
          <w:iCs/>
        </w:rPr>
        <w:t>m</w:t>
      </w:r>
      <w:r w:rsidR="00C10AA1">
        <w:rPr>
          <w:rFonts w:eastAsiaTheme="minorEastAsia"/>
        </w:rPr>
        <w:t xml:space="preserve"> is the mass of the object (0.06 kg for the tennis ball and 0.6 kg for the basketball).</w:t>
      </w:r>
    </w:p>
    <w:p w14:paraId="5D1C1A1E" w14:textId="77777777" w:rsidR="00047573" w:rsidRDefault="00047573" w:rsidP="00047573">
      <w:pPr>
        <w:pStyle w:val="Heading2"/>
      </w:pPr>
      <w:commentRangeStart w:id="3"/>
      <w:r>
        <w:rPr>
          <w:noProof/>
        </w:rPr>
        <w:drawing>
          <wp:inline distT="0" distB="0" distL="0" distR="0" wp14:anchorId="5198E82E" wp14:editId="466E4A84">
            <wp:extent cx="5934075" cy="3952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952875"/>
                    </a:xfrm>
                    <a:prstGeom prst="rect">
                      <a:avLst/>
                    </a:prstGeom>
                    <a:noFill/>
                    <a:ln>
                      <a:noFill/>
                    </a:ln>
                  </pic:spPr>
                </pic:pic>
              </a:graphicData>
            </a:graphic>
          </wp:inline>
        </w:drawing>
      </w:r>
      <w:commentRangeEnd w:id="3"/>
      <w:r w:rsidR="001B67E1">
        <w:rPr>
          <w:rStyle w:val="CommentReference"/>
          <w:rFonts w:asciiTheme="minorHAnsi" w:eastAsiaTheme="minorHAnsi" w:hAnsiTheme="minorHAnsi" w:cstheme="minorBidi"/>
          <w:color w:val="auto"/>
        </w:rPr>
        <w:commentReference w:id="3"/>
      </w:r>
    </w:p>
    <w:p w14:paraId="0D7BA975" w14:textId="7BF34E60" w:rsidR="009F4A02" w:rsidRDefault="00047573" w:rsidP="00047573">
      <w:pPr>
        <w:pStyle w:val="Caption"/>
      </w:pPr>
      <w:r>
        <w:t xml:space="preserve">Figure </w:t>
      </w:r>
      <w:fldSimple w:instr=" SEQ Figure \* ARABIC ">
        <w:r w:rsidR="007E51E7">
          <w:rPr>
            <w:noProof/>
          </w:rPr>
          <w:t>1</w:t>
        </w:r>
      </w:fldSimple>
      <w:r>
        <w:t xml:space="preserve">: A. Trajectories per initial horizontal velocity, time-to-contact and ball type in the context of a 2D image of the visual scene. The red parts close to the peak illustrate the range in which the ball disappeared. B. Simulated effective times-to-contact per time-to-contact. Different icon types denote whether the texture of the object corresponded to its size and other air drag-related properties (“Congruent”, rectangle) or not (“Incongruent”, triangle). Colors illustrate whether air drag was present (yellow) or not (black). C. Same as B, but for the </w:t>
      </w:r>
      <w:r w:rsidR="00A07C33">
        <w:t>point of impact</w:t>
      </w:r>
      <w:r>
        <w:t>.</w:t>
      </w:r>
    </w:p>
    <w:p w14:paraId="60899DE4" w14:textId="77777777" w:rsidR="00047573" w:rsidRPr="00047573" w:rsidRDefault="00047573" w:rsidP="00047573"/>
    <w:p w14:paraId="3DE67040" w14:textId="104882BA" w:rsidR="009F4A02" w:rsidRDefault="009F4A02" w:rsidP="009F4A02">
      <w:pPr>
        <w:pStyle w:val="Heading2"/>
      </w:pPr>
      <w:r>
        <w:t>Data Analysis Plan</w:t>
      </w:r>
      <w:r w:rsidR="004A25AA">
        <w:t xml:space="preserve"> and Predictions</w:t>
      </w:r>
    </w:p>
    <w:p w14:paraId="67440358" w14:textId="61452D92" w:rsidR="009F4A02" w:rsidRDefault="009F4A02" w:rsidP="00EC2370">
      <w:pPr>
        <w:jc w:val="both"/>
      </w:pPr>
      <w:r>
        <w:t xml:space="preserve">We first standardized responses times and spatial errors by adding them to the extrapolated duration or space and then dividing them by the extrapolated duration or space. This way, we achieve a standardized value that is comparable across the different times-to-contact, where 1 indicates perfect performance, values below one denote too early temporal responses or an undershoot and values above one denote too late temporal responses or an overshoot.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F4A02" w:rsidRPr="00277A48" w14:paraId="1BF70910" w14:textId="77777777" w:rsidTr="00C92624">
        <w:trPr>
          <w:trHeight w:val="376"/>
        </w:trPr>
        <w:tc>
          <w:tcPr>
            <w:tcW w:w="8314" w:type="dxa"/>
            <w:shd w:val="clear" w:color="auto" w:fill="FFFFFF" w:themeFill="background1"/>
            <w:vAlign w:val="center"/>
          </w:tcPr>
          <w:p w14:paraId="07DA1F5B" w14:textId="62AE8CC2" w:rsid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Timing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Timing</m:t>
                        </m:r>
                      </m:sub>
                    </m:sSub>
                    <m:r>
                      <w:rPr>
                        <w:rFonts w:ascii="Cambria Math" w:hAnsi="Cambria Math"/>
                      </w:rPr>
                      <m:t xml:space="preserve">- </m:t>
                    </m:r>
                    <m:sSub>
                      <m:sSubPr>
                        <m:ctrlPr>
                          <w:rPr>
                            <w:rFonts w:ascii="Cambria Math" w:hAnsi="Cambria Math"/>
                            <w:i/>
                          </w:rPr>
                        </m:ctrlPr>
                      </m:sSubPr>
                      <m:e>
                        <m:r>
                          <w:rPr>
                            <w:rFonts w:ascii="Cambria Math" w:hAnsi="Cambria Math"/>
                          </w:rPr>
                          <m:t>Duration</m:t>
                        </m:r>
                      </m:e>
                      <m:sub>
                        <m:r>
                          <w:rPr>
                            <w:rFonts w:ascii="Cambria Math" w:hAnsi="Cambria Math"/>
                          </w:rPr>
                          <m:t>Occluded</m:t>
                        </m:r>
                      </m:sub>
                    </m:sSub>
                  </m:num>
                  <m:den>
                    <m:sSub>
                      <m:sSubPr>
                        <m:ctrlPr>
                          <w:rPr>
                            <w:rFonts w:ascii="Cambria Math" w:hAnsi="Cambria Math"/>
                            <w:i/>
                          </w:rPr>
                        </m:ctrlPr>
                      </m:sSubPr>
                      <m:e>
                        <m:r>
                          <w:rPr>
                            <w:rFonts w:ascii="Cambria Math" w:hAnsi="Cambria Math"/>
                          </w:rPr>
                          <m:t>Duration</m:t>
                        </m:r>
                      </m:e>
                      <m:sub>
                        <m:r>
                          <w:rPr>
                            <w:rFonts w:ascii="Cambria Math" w:hAnsi="Cambria Math"/>
                          </w:rPr>
                          <m:t>Occluded</m:t>
                        </m:r>
                      </m:sub>
                    </m:sSub>
                  </m:den>
                </m:f>
              </m:oMath>
            </m:oMathPara>
          </w:p>
          <w:p w14:paraId="24D45AAF" w14:textId="3C1B8C17" w:rsidR="009F4A02" w:rsidRPr="009D32B4" w:rsidRDefault="009F4A02" w:rsidP="00C92624">
            <w:pPr>
              <w:pStyle w:val="MaterialsandMethodsText"/>
              <w:jc w:val="center"/>
              <w:rPr>
                <w:lang w:val="es-ES"/>
              </w:rPr>
            </w:pPr>
          </w:p>
        </w:tc>
        <w:tc>
          <w:tcPr>
            <w:tcW w:w="783" w:type="dxa"/>
            <w:shd w:val="clear" w:color="auto" w:fill="FFFFFF" w:themeFill="background1"/>
            <w:vAlign w:val="center"/>
          </w:tcPr>
          <w:p w14:paraId="01A7C32B" w14:textId="77777777" w:rsidR="009F4A02" w:rsidRPr="00277A48" w:rsidRDefault="009F4A02" w:rsidP="00C92624">
            <w:pPr>
              <w:pStyle w:val="MaterialsandMethodsText"/>
            </w:pPr>
            <w:r w:rsidRPr="00277A48">
              <w:lastRenderedPageBreak/>
              <w:t>[</w:t>
            </w:r>
            <w:r>
              <w:t>5</w:t>
            </w:r>
            <w:r w:rsidRPr="00277A48">
              <w:t>]</w:t>
            </w:r>
          </w:p>
        </w:tc>
      </w:tr>
      <w:tr w:rsidR="009F4A02" w:rsidRPr="00277A48" w14:paraId="3CBB2F99" w14:textId="77777777" w:rsidTr="00C92624">
        <w:trPr>
          <w:trHeight w:val="376"/>
        </w:trPr>
        <w:tc>
          <w:tcPr>
            <w:tcW w:w="8314" w:type="dxa"/>
            <w:shd w:val="clear" w:color="auto" w:fill="FFFFFF" w:themeFill="background1"/>
            <w:vAlign w:val="center"/>
          </w:tcPr>
          <w:p w14:paraId="2F3302E7" w14:textId="137A7565" w:rsidR="009F4A02" w:rsidRP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Space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Space</m:t>
                        </m:r>
                      </m:sub>
                    </m:sSub>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Occluded</m:t>
                        </m:r>
                      </m:sub>
                    </m:sSub>
                  </m:num>
                  <m:den>
                    <m:sSub>
                      <m:sSubPr>
                        <m:ctrlPr>
                          <w:rPr>
                            <w:rFonts w:ascii="Cambria Math" w:hAnsi="Cambria Math"/>
                            <w:i/>
                          </w:rPr>
                        </m:ctrlPr>
                      </m:sSubPr>
                      <m:e>
                        <m:r>
                          <w:rPr>
                            <w:rFonts w:ascii="Cambria Math" w:hAnsi="Cambria Math"/>
                          </w:rPr>
                          <m:t>Distance</m:t>
                        </m:r>
                      </m:e>
                      <m:sub>
                        <m:r>
                          <w:rPr>
                            <w:rFonts w:ascii="Cambria Math" w:hAnsi="Cambria Math"/>
                          </w:rPr>
                          <m:t>Occluded</m:t>
                        </m:r>
                      </m:sub>
                    </m:sSub>
                  </m:den>
                </m:f>
              </m:oMath>
            </m:oMathPara>
          </w:p>
        </w:tc>
        <w:tc>
          <w:tcPr>
            <w:tcW w:w="783" w:type="dxa"/>
            <w:shd w:val="clear" w:color="auto" w:fill="FFFFFF" w:themeFill="background1"/>
            <w:vAlign w:val="center"/>
          </w:tcPr>
          <w:p w14:paraId="530332A8" w14:textId="77777777" w:rsidR="009F4A02" w:rsidRPr="00277A48" w:rsidRDefault="009F4A02" w:rsidP="00C92624">
            <w:pPr>
              <w:pStyle w:val="MaterialsandMethodsText"/>
            </w:pPr>
            <w:r w:rsidRPr="00277A48">
              <w:t>[</w:t>
            </w:r>
            <w:r>
              <w:t>5</w:t>
            </w:r>
            <w:r w:rsidRPr="00277A48">
              <w:t>]</w:t>
            </w:r>
          </w:p>
        </w:tc>
      </w:tr>
    </w:tbl>
    <w:p w14:paraId="21A299F0" w14:textId="129A83B2" w:rsidR="004A25AA" w:rsidRDefault="009F4A02" w:rsidP="00EC2370">
      <w:pPr>
        <w:jc w:val="both"/>
      </w:pPr>
      <w:r>
        <w:t xml:space="preserve">We then removed those trials as outliers where the </w:t>
      </w:r>
      <w:r w:rsidR="00797B60">
        <w:t>Error Ratio</w:t>
      </w:r>
      <w:r>
        <w:t xml:space="preserve"> </w:t>
      </w:r>
      <w:r w:rsidR="00797B60">
        <w:t xml:space="preserve">was smaller than 0.25 or greater than 4. Here, we excluded 1180 of an initial 19200 trials, or 6.18 %. In a second step, </w:t>
      </w:r>
      <w:r w:rsidR="000E5B03">
        <w:t>w</w:t>
      </w:r>
      <w:r w:rsidR="00B47E32">
        <w:t>e removed those trials where either of the error ratios lay more than 1.5 times the interquartile distance above the upper quartile or below the lower quartile.</w:t>
      </w:r>
      <w:r w:rsidR="00797B60">
        <w:t xml:space="preserve"> This algorithm lead to a loss of </w:t>
      </w:r>
      <w:r w:rsidR="00E07821">
        <w:t xml:space="preserve">another </w:t>
      </w:r>
      <w:r w:rsidR="00E641E4">
        <w:t>977</w:t>
      </w:r>
      <w:r w:rsidR="00E07821">
        <w:t xml:space="preserve"> trials, or </w:t>
      </w:r>
      <w:r w:rsidR="00103BDD">
        <w:t>5.4</w:t>
      </w:r>
      <w:r w:rsidR="00E07821">
        <w:t> % of the remaining trials.</w:t>
      </w:r>
      <w:r w:rsidR="006F1E4D">
        <w:t xml:space="preserve"> </w:t>
      </w:r>
      <w:r>
        <w:t xml:space="preserve">We then proceeded to test our hypotheses with a combination of Linear Mixed Modelling </w:t>
      </w:r>
      <w:r>
        <w:fldChar w:fldCharType="begin" w:fldLock="1"/>
      </w:r>
      <w:r w:rsidR="00CD05C5">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2015)"},"properties":{"noteIndex":0},"schema":"https://github.com/citation-style-language/schema/raw/master/csl-citation.json"}</w:instrText>
      </w:r>
      <w:r>
        <w:fldChar w:fldCharType="separate"/>
      </w:r>
      <w:r w:rsidRPr="009F4A02">
        <w:rPr>
          <w:noProof/>
        </w:rPr>
        <w:t>(Bates, Mächler, Bolker, &amp; Walker, 2015)</w:t>
      </w:r>
      <w:r>
        <w:fldChar w:fldCharType="end"/>
      </w:r>
      <w:r>
        <w:t xml:space="preserve"> and Bayesian Linear Mixed Modelling </w:t>
      </w:r>
      <w:r>
        <w:fldChar w:fldCharType="begin" w:fldLock="1"/>
      </w:r>
      <w:r>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2.14.1","type":"article-journal"},"uris":["http://www.mendeley.com/documents/?uuid=fb3239f5-d574-4b57-81fc-35b33fa798d9"]},{"id":"ITEM-2","itemData":{"DOI":"10.32614/rj-2018-017","ISSN":"20734859","abstract":"The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Journal","id":"ITEM-2","issue":"1","issued":{"date-parts":[["2018"]]},"page":"395-411","title":"Advanced Bayesian multilevel modeling with the R package brms","type":"article-journal","volume":"10"},"uris":["http://www.mendeley.com/documents/?uuid=cada382b-57a6-46f5-b4f3-cb35d401778f"]}],"mendeley":{"formattedCitation":"(Bürkner, 2018; Stan Development Team, 2016)","plainTextFormattedCitation":"(Bürkner, 2018; Stan Development Team, 2016)","previouslyFormattedCitation":"(Bürkner, 2018; Stan Development Team, 2016)"},"properties":{"noteIndex":0},"schema":"https://github.com/citation-style-language/schema/raw/master/csl-citation.json"}</w:instrText>
      </w:r>
      <w:r>
        <w:fldChar w:fldCharType="separate"/>
      </w:r>
      <w:r w:rsidRPr="009F4A02">
        <w:rPr>
          <w:noProof/>
        </w:rPr>
        <w:t>(Bürkner, 2018; Stan Development Team, 2016)</w:t>
      </w:r>
      <w:r>
        <w:fldChar w:fldCharType="end"/>
      </w:r>
      <w:r>
        <w:t>.</w:t>
      </w:r>
      <w:r w:rsidR="00B86946">
        <w:t xml:space="preserve"> Linear Mixed Modelling allows to </w:t>
      </w:r>
      <w:r w:rsidR="00D57C5D">
        <w:t xml:space="preserve">estimate intercepts and regression coefficients across the whole population (“fixed effects”) or separately for sub-groups of the population (“random effects”). This allows us to separate between variability in responses </w:t>
      </w:r>
      <w:proofErr w:type="gramStart"/>
      <w:r w:rsidR="00D57C5D">
        <w:t>due to the effect</w:t>
      </w:r>
      <w:proofErr w:type="gramEnd"/>
      <w:r w:rsidR="00D57C5D">
        <w:t xml:space="preserve"> in question, and variability due to other sources, e. g. idiosyncrasies of each participant. Bayesian Linear Mixed Modelling extends this framework by estimating whole distributions for each fixed and random effect, thus allowing us to test </w:t>
      </w:r>
      <w:r w:rsidR="00D1708A">
        <w:t>for variability differences. It furthermore enables the application of priors, which we will not make us of in the present paper.</w:t>
      </w:r>
    </w:p>
    <w:p w14:paraId="323DD6DB" w14:textId="73B7DC28" w:rsidR="009D5335" w:rsidRDefault="009D5335" w:rsidP="00EC2370">
      <w:pPr>
        <w:jc w:val="both"/>
      </w:pPr>
      <w:r>
        <w:t xml:space="preserve">We test each hypothesis both temporally and spatially. For </w:t>
      </w:r>
      <w:r w:rsidRPr="00C64662">
        <w:rPr>
          <w:b/>
          <w:bCs/>
        </w:rPr>
        <w:t>Hypothesis 1</w:t>
      </w:r>
      <w:r>
        <w:t xml:space="preserve">, we expect humans to use their internalized knowledge of air drag in their habitual environment to predict object motion. Therefore, performance should be accurate for those trials where air drag is </w:t>
      </w:r>
      <w:proofErr w:type="gramStart"/>
      <w:r>
        <w:t>simulated</w:t>
      </w:r>
      <w:proofErr w:type="gramEnd"/>
      <w:r w:rsidR="00C64662">
        <w:t xml:space="preserve"> and systematic errors should be observed when the trajectory unfolds without the influence of air drag. </w:t>
      </w:r>
      <w:r>
        <w:t xml:space="preserve">In the temporal task, participants are expected to respond too late when no air drag is simulated in the visible part </w:t>
      </w:r>
      <w:r w:rsidR="00E16F8E">
        <w:t>of</w:t>
      </w:r>
      <w:r>
        <w:t xml:space="preserve"> the trajectory because air drag would slow the target down on its way from peak back to the initial level.</w:t>
      </w:r>
      <w:r w:rsidR="00C64662">
        <w:t xml:space="preserve"> (</w:t>
      </w:r>
      <w:r w:rsidR="00C64662" w:rsidRPr="00E16F8E">
        <w:rPr>
          <w:i/>
          <w:iCs/>
        </w:rPr>
        <w:t>Prediction 1a</w:t>
      </w:r>
      <w:r w:rsidR="00C64662">
        <w:t>). In the spatial task, participants should expect the ball to be slowed down by air drag, so we predict an undershoot in participant responses (</w:t>
      </w:r>
      <w:proofErr w:type="spellStart"/>
      <w:r w:rsidR="00C64662">
        <w:t>i</w:t>
      </w:r>
      <w:proofErr w:type="spellEnd"/>
      <w:r w:rsidR="00C64662">
        <w:t xml:space="preserve">. e. they place the object too far to the left; </w:t>
      </w:r>
      <w:r w:rsidR="00C64662" w:rsidRPr="00E16F8E">
        <w:rPr>
          <w:i/>
          <w:iCs/>
        </w:rPr>
        <w:t>Prediction 1b</w:t>
      </w:r>
      <w:r w:rsidR="00C64662">
        <w:t>).</w:t>
      </w:r>
    </w:p>
    <w:p w14:paraId="490EDBA9" w14:textId="25F7FE09" w:rsidR="00E16F8E" w:rsidRDefault="00C64662" w:rsidP="0006438B">
      <w:pPr>
        <w:jc w:val="both"/>
      </w:pPr>
      <w:r>
        <w:t xml:space="preserve">For </w:t>
      </w:r>
      <w:r w:rsidRPr="00E16F8E">
        <w:rPr>
          <w:b/>
          <w:bCs/>
        </w:rPr>
        <w:t>Hypothesis 2</w:t>
      </w:r>
      <w:r>
        <w:t xml:space="preserve">, we expect the texture of the object to affect how participants extrapolate motion. For the target with tennis ball texture, but </w:t>
      </w:r>
      <w:proofErr w:type="spellStart"/>
      <w:proofErr w:type="gramStart"/>
      <w:r>
        <w:t>basket ball</w:t>
      </w:r>
      <w:proofErr w:type="spellEnd"/>
      <w:proofErr w:type="gramEnd"/>
      <w:r>
        <w:t xml:space="preserve"> size and mass</w:t>
      </w:r>
      <w:r w:rsidR="00E16F8E">
        <w:t xml:space="preserve"> (</w:t>
      </w:r>
      <w:r w:rsidR="008B6F26">
        <w:t>T</w:t>
      </w:r>
      <w:r w:rsidR="00E16F8E">
        <w:t xml:space="preserve">ennis, </w:t>
      </w:r>
      <w:r w:rsidR="008B6F26">
        <w:t>I</w:t>
      </w:r>
      <w:r w:rsidR="00E16F8E">
        <w:t>ncongruent)</w:t>
      </w:r>
      <w:r>
        <w:t xml:space="preserve">, participants should </w:t>
      </w:r>
      <w:r w:rsidR="00E16F8E">
        <w:t>respond slightly later than for the target with basketball texture and basketball size. For the target with basketball texture, but tennis ball size and mass, participant should respond slightly earlier than for the target with tennis ball texture and tennis ball size (</w:t>
      </w:r>
      <w:r w:rsidR="00E16F8E" w:rsidRPr="00E16F8E">
        <w:rPr>
          <w:i/>
          <w:iCs/>
        </w:rPr>
        <w:t>Prediction 2a</w:t>
      </w:r>
      <w:r w:rsidR="00E16F8E">
        <w:t>).</w:t>
      </w:r>
      <w:r w:rsidR="008B6F26">
        <w:t xml:space="preserve"> In the spatial domain, we expect participants to undershoot (</w:t>
      </w:r>
      <w:proofErr w:type="spellStart"/>
      <w:r w:rsidR="008B6F26">
        <w:t>i</w:t>
      </w:r>
      <w:proofErr w:type="spellEnd"/>
      <w:r w:rsidR="008B6F26">
        <w:t>. e. they perceive the point of impact too far to the left) for the Basketball, Incongruent target with regards to the Tennis Ball, Congruent, and an overshoot (</w:t>
      </w:r>
      <w:proofErr w:type="spellStart"/>
      <w:r w:rsidR="008B6F26">
        <w:t>i</w:t>
      </w:r>
      <w:proofErr w:type="spellEnd"/>
      <w:r w:rsidR="008B6F26">
        <w:t>. e. they perceive the point of impact too far to the right) for the Tennis Ball, Incongruent target with regards to the Basketball, Congruent target (</w:t>
      </w:r>
      <w:r w:rsidR="008B6F26">
        <w:rPr>
          <w:i/>
          <w:iCs/>
        </w:rPr>
        <w:t>P</w:t>
      </w:r>
      <w:r w:rsidR="008B6F26" w:rsidRPr="008B6F26">
        <w:rPr>
          <w:i/>
          <w:iCs/>
        </w:rPr>
        <w:t>rediction 2b</w:t>
      </w:r>
      <w:r w:rsidR="008B6F26">
        <w:t>).</w:t>
      </w:r>
    </w:p>
    <w:p w14:paraId="35D96208" w14:textId="77777777" w:rsidR="00147804" w:rsidRPr="00147804" w:rsidRDefault="00147804" w:rsidP="0006438B">
      <w:pPr>
        <w:jc w:val="both"/>
      </w:pPr>
    </w:p>
    <w:p w14:paraId="3C91F271" w14:textId="6F85F2AC" w:rsidR="000F2606" w:rsidRDefault="00C8333D" w:rsidP="000F2606">
      <w:pPr>
        <w:pStyle w:val="Heading2"/>
      </w:pPr>
      <w:r>
        <w:rPr>
          <w:rFonts w:eastAsiaTheme="minorEastAsia"/>
        </w:rPr>
        <w:t xml:space="preserve">Results - </w:t>
      </w:r>
      <w:r w:rsidR="000F2606">
        <w:t>Confirmatory Analyses</w:t>
      </w:r>
    </w:p>
    <w:p w14:paraId="38043087" w14:textId="25C2CE13" w:rsidR="00E16F8E" w:rsidRPr="00E16F8E" w:rsidRDefault="00E16F8E" w:rsidP="00E16F8E">
      <w:r>
        <w:t xml:space="preserve">We will first conduct confirmatory analyses to test our main </w:t>
      </w:r>
      <w:r w:rsidR="00147804" w:rsidRPr="000C59D9">
        <w:rPr>
          <w:b/>
          <w:bCs/>
        </w:rPr>
        <w:t>H</w:t>
      </w:r>
      <w:r w:rsidRPr="000C59D9">
        <w:rPr>
          <w:b/>
          <w:bCs/>
        </w:rPr>
        <w:t xml:space="preserve">ypotheses </w:t>
      </w:r>
      <w:r w:rsidR="00147804" w:rsidRPr="000C59D9">
        <w:rPr>
          <w:b/>
          <w:bCs/>
        </w:rPr>
        <w:t>1 and 2</w:t>
      </w:r>
      <w:r w:rsidR="00147804">
        <w:t xml:space="preserve"> via our </w:t>
      </w:r>
      <w:r w:rsidR="00147804" w:rsidRPr="000C59D9">
        <w:rPr>
          <w:i/>
          <w:iCs/>
        </w:rPr>
        <w:t>Predictions 1a, 1b, 2a and 2b</w:t>
      </w:r>
      <w:r>
        <w:t>.</w:t>
      </w:r>
    </w:p>
    <w:p w14:paraId="77D0A381" w14:textId="666ACB9C" w:rsidR="00DF2DEF" w:rsidRDefault="00DF2DEF" w:rsidP="00DF2DEF">
      <w:pPr>
        <w:pStyle w:val="Heading3"/>
      </w:pPr>
      <w:r>
        <w:t>Hypothesis 1: Representation of Air Drag</w:t>
      </w:r>
    </w:p>
    <w:p w14:paraId="5894D6DA" w14:textId="3189144D" w:rsidR="000F2606" w:rsidRDefault="00FA323C" w:rsidP="00EC2370">
      <w:pPr>
        <w:jc w:val="both"/>
      </w:pPr>
      <w:r>
        <w:t>First, we test the timing responses</w:t>
      </w:r>
      <w:r w:rsidR="000C59D9">
        <w:t xml:space="preserve"> (</w:t>
      </w:r>
      <w:r w:rsidR="000C59D9" w:rsidRPr="000C59D9">
        <w:rPr>
          <w:i/>
          <w:iCs/>
        </w:rPr>
        <w:t>Prediction 1a</w:t>
      </w:r>
      <w:r w:rsidR="000C59D9">
        <w:t>)</w:t>
      </w:r>
      <w:r>
        <w:t xml:space="preserve">. </w:t>
      </w:r>
      <w:r>
        <w:fldChar w:fldCharType="begin"/>
      </w:r>
      <w:r>
        <w:instrText xml:space="preserve"> REF _Ref36174245 \h </w:instrText>
      </w:r>
      <w:r>
        <w:fldChar w:fldCharType="separate"/>
      </w:r>
      <w:r>
        <w:t xml:space="preserve">Figure </w:t>
      </w:r>
      <w:r>
        <w:rPr>
          <w:noProof/>
        </w:rPr>
        <w:t>2</w:t>
      </w:r>
      <w:r>
        <w:fldChar w:fldCharType="end"/>
      </w:r>
      <w:r>
        <w:t xml:space="preserve">A displays the distribution of responses for the timing task. </w:t>
      </w:r>
      <w:r w:rsidR="000F2606">
        <w:t xml:space="preserve">To test </w:t>
      </w:r>
      <w:r>
        <w:t>our</w:t>
      </w:r>
      <w:r w:rsidR="000F2606">
        <w:t xml:space="preserve"> hypothesis, </w:t>
      </w:r>
      <w:r w:rsidR="00C8333D">
        <w:t xml:space="preserve">we use Linear Mixed Modelling, implemented in the package lme4 </w:t>
      </w:r>
      <w:r w:rsidR="00C8333D">
        <w:lastRenderedPageBreak/>
        <w:fldChar w:fldCharType="begin" w:fldLock="1"/>
      </w:r>
      <w:r w:rsidR="009F4A02">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C8333D">
        <w:fldChar w:fldCharType="separate"/>
      </w:r>
      <w:r w:rsidR="009F4A02" w:rsidRPr="009F4A02">
        <w:rPr>
          <w:noProof/>
        </w:rPr>
        <w:t>(Bates et al., 2015; Bürkner, 2018)</w:t>
      </w:r>
      <w:r w:rsidR="00C8333D">
        <w:fldChar w:fldCharType="end"/>
      </w:r>
      <w:r w:rsidR="00C8333D">
        <w:t xml:space="preserve"> for R.</w:t>
      </w:r>
      <w:r w:rsidR="00E86BD9">
        <w:t xml:space="preserve"> </w:t>
      </w:r>
      <w:r>
        <w:t>W</w:t>
      </w:r>
      <w:r w:rsidR="00E24B79">
        <w:t xml:space="preserve">e fit a </w:t>
      </w:r>
      <w:r w:rsidR="000F2606">
        <w:t xml:space="preserve">Mixed Model with </w:t>
      </w:r>
      <w:r w:rsidR="003F248C">
        <w:t>air drag as fixed effect (a binary categorical variable with the values “Present” and “Absent”) and random intercepts per participant to explain timing error rati</w:t>
      </w:r>
      <w:r w:rsidR="009F4A02">
        <w:t>o</w:t>
      </w:r>
      <w:r w:rsidR="003F248C">
        <w:rPr>
          <w:rFonts w:eastAsiaTheme="minorEastAsia"/>
        </w:rPr>
        <w:t xml:space="preserve">. In </w:t>
      </w:r>
      <w:r w:rsidR="00C8333D">
        <w:rPr>
          <w:rFonts w:eastAsiaTheme="minorEastAsia"/>
        </w:rPr>
        <w:t>lme4</w:t>
      </w:r>
      <w:r w:rsidR="00211086">
        <w:rPr>
          <w:rFonts w:eastAsiaTheme="minorEastAsia"/>
        </w:rPr>
        <w:t xml:space="preserve"> </w:t>
      </w:r>
      <w:r w:rsidR="003F248C">
        <w:rPr>
          <w:rFonts w:eastAsiaTheme="minorEastAsia"/>
        </w:rPr>
        <w:t>syntax, the Mixed Model is specified as: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D32B4" w:rsidRPr="00277A48" w14:paraId="315180C1" w14:textId="77777777" w:rsidTr="00DF2DEF">
        <w:trPr>
          <w:trHeight w:val="376"/>
        </w:trPr>
        <w:tc>
          <w:tcPr>
            <w:tcW w:w="8314" w:type="dxa"/>
            <w:shd w:val="clear" w:color="auto" w:fill="FFFFFF" w:themeFill="background1"/>
            <w:vAlign w:val="center"/>
          </w:tcPr>
          <w:p w14:paraId="56F5DADB" w14:textId="06B8F25D" w:rsidR="009D32B4" w:rsidRPr="009D32B4" w:rsidRDefault="007D065C" w:rsidP="009D32B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0D9DF1F" w14:textId="3744DE60" w:rsidR="009D32B4" w:rsidRPr="00277A48" w:rsidRDefault="009D32B4" w:rsidP="00DF2DEF">
            <w:pPr>
              <w:pStyle w:val="MaterialsandMethodsText"/>
            </w:pPr>
            <w:r w:rsidRPr="00277A48">
              <w:t>[</w:t>
            </w:r>
            <w:r w:rsidR="006C0E39">
              <w:t>7</w:t>
            </w:r>
            <w:r w:rsidRPr="00277A48">
              <w:t>]</w:t>
            </w:r>
          </w:p>
        </w:tc>
      </w:tr>
    </w:tbl>
    <w:p w14:paraId="2C0BF5B8" w14:textId="394EAFCA" w:rsidR="00C8333D" w:rsidRDefault="00C8333D" w:rsidP="000F2606">
      <w:r>
        <w:t>We compar</w:t>
      </w:r>
      <w:r w:rsidR="007651EB">
        <w:t>e</w:t>
      </w:r>
      <w:r w:rsidR="00144185">
        <w:t>d</w:t>
      </w:r>
      <w:r>
        <w:t xml:space="preserve"> this Test Model to a Null Model that doesn’t contain the variable of interest: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C8333D" w:rsidRPr="00277A48" w14:paraId="33A3D3BA" w14:textId="77777777" w:rsidTr="00C92624">
        <w:trPr>
          <w:trHeight w:val="376"/>
        </w:trPr>
        <w:tc>
          <w:tcPr>
            <w:tcW w:w="8314" w:type="dxa"/>
            <w:shd w:val="clear" w:color="auto" w:fill="FFFFFF" w:themeFill="background1"/>
            <w:vAlign w:val="center"/>
          </w:tcPr>
          <w:p w14:paraId="7043E3E8" w14:textId="7BA9E9F8" w:rsidR="00C8333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78B3CAE" w14:textId="5EFE6BDD" w:rsidR="00C8333D" w:rsidRPr="00277A48" w:rsidRDefault="00C8333D" w:rsidP="00C92624">
            <w:pPr>
              <w:pStyle w:val="MaterialsandMethodsText"/>
            </w:pPr>
            <w:r w:rsidRPr="00277A48">
              <w:t>[</w:t>
            </w:r>
            <w:r w:rsidR="006C0E39">
              <w:t>8</w:t>
            </w:r>
            <w:r w:rsidRPr="00277A48">
              <w:t>]</w:t>
            </w:r>
          </w:p>
        </w:tc>
      </w:tr>
    </w:tbl>
    <w:p w14:paraId="10BB0946" w14:textId="75CFB348" w:rsidR="007651EB" w:rsidRDefault="00144185" w:rsidP="00EC2370">
      <w:pPr>
        <w:jc w:val="both"/>
      </w:pPr>
      <w:r>
        <w:t>A Likelihood Ratio Test showed that the Test Model is significantly better than the Null Model (p</w:t>
      </w:r>
      <w:r w:rsidR="00B83FDA">
        <w:t> </w:t>
      </w:r>
      <w:r>
        <w:t>=</w:t>
      </w:r>
      <w:r w:rsidR="00B83FDA">
        <w:t> </w:t>
      </w:r>
      <w:r>
        <w:t xml:space="preserve">0.002). The regression coefficient for the fixed effect Air Drag: Absent is 0.017 s (SE = 0.005 s), indicating that responses occurred too late in this condition. </w:t>
      </w:r>
      <w:r w:rsidR="007651EB">
        <w:t>Humans thus use the same internalized knowledge to extrapolate motion independently of whether air drag was presented during the visible part of the trajectory or not. This result alone is, however, agnostic to whether humans</w:t>
      </w:r>
      <w:r w:rsidR="00454CF0">
        <w:t xml:space="preserve"> consistently</w:t>
      </w:r>
      <w:r w:rsidR="007651EB">
        <w:t xml:space="preserve"> use air drag or </w:t>
      </w:r>
      <w:r w:rsidR="00454CF0">
        <w:t>consistently don’t use air drag for motion extrapolation</w:t>
      </w:r>
      <w:r w:rsidR="007651EB">
        <w:t>, as in both cases, responses would occur later in the Air Drag: Absent condition than in the Air Drag: Present condition. The tiebreaker to this question is which of the conditions is more accurate (</w:t>
      </w:r>
      <w:proofErr w:type="spellStart"/>
      <w:r w:rsidR="007651EB">
        <w:t>i</w:t>
      </w:r>
      <w:proofErr w:type="spellEnd"/>
      <w:r w:rsidR="007651EB">
        <w:t>. e. an error ratio closer to 1). In our frequentist framework, we can ascertain if the intercept of the Mixed Model differs significantly from one in either of the conditions. To this end, we establish a Mixed Model for each condition separately where we coerce the Intercept to be one: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651EB" w:rsidRPr="00277A48" w14:paraId="75B97007" w14:textId="77777777" w:rsidTr="00C92624">
        <w:trPr>
          <w:trHeight w:val="376"/>
        </w:trPr>
        <w:tc>
          <w:tcPr>
            <w:tcW w:w="8314" w:type="dxa"/>
            <w:shd w:val="clear" w:color="auto" w:fill="FFFFFF" w:themeFill="background1"/>
            <w:vAlign w:val="center"/>
          </w:tcPr>
          <w:p w14:paraId="259A45A6" w14:textId="743FC774" w:rsidR="007651EB"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-1  ~ 0+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A6EBF9B" w14:textId="11D66471" w:rsidR="007651EB" w:rsidRPr="00277A48" w:rsidRDefault="007651EB" w:rsidP="00C92624">
            <w:pPr>
              <w:pStyle w:val="MaterialsandMethodsText"/>
            </w:pPr>
            <w:r w:rsidRPr="00277A48">
              <w:t>[</w:t>
            </w:r>
            <w:r w:rsidR="006C0E39">
              <w:t>9</w:t>
            </w:r>
            <w:r w:rsidRPr="00277A48">
              <w:t>]</w:t>
            </w:r>
          </w:p>
        </w:tc>
      </w:tr>
    </w:tbl>
    <w:p w14:paraId="6CAAD1EA" w14:textId="7EC7C6AC" w:rsidR="00C8333D" w:rsidRDefault="0043561A" w:rsidP="000F2606">
      <w:r>
        <w:t xml:space="preserve">We </w:t>
      </w:r>
      <w:r w:rsidR="007651EB">
        <w:t>compare this Test Model to a Null Model where we allow the Intercept to vary</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2483C" w:rsidRPr="00277A48" w14:paraId="357DD403" w14:textId="77777777" w:rsidTr="00C92624">
        <w:trPr>
          <w:trHeight w:val="376"/>
        </w:trPr>
        <w:tc>
          <w:tcPr>
            <w:tcW w:w="8314" w:type="dxa"/>
            <w:shd w:val="clear" w:color="auto" w:fill="FFFFFF" w:themeFill="background1"/>
            <w:vAlign w:val="center"/>
          </w:tcPr>
          <w:p w14:paraId="7DD17CDA" w14:textId="083A6FFA" w:rsidR="0072483C"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1+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8AFA5F0" w14:textId="47BF2ACA" w:rsidR="0072483C" w:rsidRPr="00277A48" w:rsidRDefault="0072483C" w:rsidP="00C92624">
            <w:pPr>
              <w:pStyle w:val="MaterialsandMethodsText"/>
            </w:pPr>
            <w:r w:rsidRPr="00277A48">
              <w:t>[</w:t>
            </w:r>
            <w:r w:rsidR="006C0E39">
              <w:t>10</w:t>
            </w:r>
            <w:r w:rsidRPr="00277A48">
              <w:t>]</w:t>
            </w:r>
          </w:p>
        </w:tc>
      </w:tr>
    </w:tbl>
    <w:p w14:paraId="27F34BCC" w14:textId="77777777" w:rsidR="00993195" w:rsidRDefault="00A906F7" w:rsidP="00EC2370">
      <w:pPr>
        <w:jc w:val="both"/>
      </w:pPr>
      <w:r>
        <w:t>For neither for the two conditions (</w:t>
      </w:r>
      <w:proofErr w:type="spellStart"/>
      <w:r>
        <w:t>Airdrag</w:t>
      </w:r>
      <w:proofErr w:type="spellEnd"/>
      <w:r>
        <w:t xml:space="preserve">: Present and </w:t>
      </w:r>
      <w:proofErr w:type="spellStart"/>
      <w:r>
        <w:t>Airdrag</w:t>
      </w:r>
      <w:proofErr w:type="spellEnd"/>
      <w:r>
        <w:t>: Absent), the Test Model is significantly better than the Null Model (p = 0.53 and p = 0.64</w:t>
      </w:r>
      <w:r w:rsidR="00993195">
        <w:t xml:space="preserve">, respectively). </w:t>
      </w:r>
    </w:p>
    <w:p w14:paraId="511DC312" w14:textId="05A8E7FA" w:rsidR="0072483C" w:rsidRDefault="00993195" w:rsidP="00EC2370">
      <w:pPr>
        <w:jc w:val="both"/>
      </w:pPr>
      <w:r>
        <w:t xml:space="preserve">A frequentist approach does, to our knowledge, not allow to quantify in which of the two conditions performance is more </w:t>
      </w:r>
      <w:proofErr w:type="gramStart"/>
      <w:r>
        <w:t>similar to</w:t>
      </w:r>
      <w:proofErr w:type="gramEnd"/>
      <w:r>
        <w:t xml:space="preserve"> perfect accuracy.</w:t>
      </w:r>
      <w:r w:rsidR="00454CF0">
        <w:t xml:space="preserve"> To this end, we use Bayesian Linear Mixed Modelling, implemented in the packages brms </w:t>
      </w:r>
      <w:r w:rsidR="00454CF0">
        <w:fldChar w:fldCharType="begin" w:fldLock="1"/>
      </w:r>
      <w:r w:rsidR="00454CF0">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454CF0">
        <w:fldChar w:fldCharType="separate"/>
      </w:r>
      <w:r w:rsidR="00454CF0" w:rsidRPr="00C01D2C">
        <w:rPr>
          <w:noProof/>
        </w:rPr>
        <w:t>(Bürkner, 2018)</w:t>
      </w:r>
      <w:r w:rsidR="00454CF0">
        <w:fldChar w:fldCharType="end"/>
      </w:r>
      <w:r w:rsidR="00454CF0">
        <w:t xml:space="preserve"> and </w:t>
      </w:r>
      <w:proofErr w:type="spellStart"/>
      <w:r w:rsidR="00454CF0">
        <w:t>rstan</w:t>
      </w:r>
      <w:proofErr w:type="spellEnd"/>
      <w:r w:rsidR="00454CF0">
        <w:t xml:space="preserve"> </w:t>
      </w:r>
      <w:r w:rsidR="00454CF0">
        <w:fldChar w:fldCharType="begin" w:fldLock="1"/>
      </w:r>
      <w:r w:rsidR="00454CF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454CF0">
        <w:fldChar w:fldCharType="separate"/>
      </w:r>
      <w:r w:rsidR="00454CF0" w:rsidRPr="00C01D2C">
        <w:rPr>
          <w:noProof/>
        </w:rPr>
        <w:t>(Stan Development Team, 2016)</w:t>
      </w:r>
      <w:r w:rsidR="00454CF0">
        <w:fldChar w:fldCharType="end"/>
      </w:r>
      <w:r w:rsidR="00454CF0">
        <w:t xml:space="preserve"> for R </w:t>
      </w:r>
      <w:r w:rsidR="00454CF0">
        <w:fldChar w:fldCharType="begin" w:fldLock="1"/>
      </w:r>
      <w:r w:rsidR="00454CF0">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454CF0">
        <w:fldChar w:fldCharType="separate"/>
      </w:r>
      <w:r w:rsidR="00454CF0" w:rsidRPr="003F248C">
        <w:rPr>
          <w:noProof/>
        </w:rPr>
        <w:t>(R Core Team, 2017)</w:t>
      </w:r>
      <w:r w:rsidR="00454CF0">
        <w:fldChar w:fldCharType="end"/>
      </w:r>
      <w:r w:rsidR="00454CF0">
        <w:t>.</w:t>
      </w:r>
      <w:r w:rsidR="00B136E5">
        <w:t xml:space="preserve"> Brms allows the use of a flat prior, in which case the posterior corresponds to the likelihood.</w:t>
      </w:r>
      <w:r w:rsidR="00454CF0">
        <w:t xml:space="preserve"> </w:t>
      </w:r>
      <w:r w:rsidR="00B136E5">
        <w:t xml:space="preserve">We choose </w:t>
      </w:r>
      <w:proofErr w:type="gramStart"/>
      <w:r w:rsidR="00B136E5">
        <w:t>this options</w:t>
      </w:r>
      <w:proofErr w:type="gramEnd"/>
      <w:r w:rsidR="00B136E5">
        <w:t xml:space="preserve"> because our objective is not to use prior information, but rather to quantify support for a null hypothesis. </w:t>
      </w:r>
      <w:r w:rsidR="00454CF0">
        <w:t>Brms uses the same syntax as lme4; we thus fit the following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54CF0" w:rsidRPr="00277A48" w14:paraId="429ABE34" w14:textId="77777777" w:rsidTr="00C92624">
        <w:trPr>
          <w:trHeight w:val="376"/>
        </w:trPr>
        <w:tc>
          <w:tcPr>
            <w:tcW w:w="8314" w:type="dxa"/>
            <w:shd w:val="clear" w:color="auto" w:fill="FFFFFF" w:themeFill="background1"/>
            <w:vAlign w:val="center"/>
          </w:tcPr>
          <w:p w14:paraId="0CF5905B" w14:textId="77777777" w:rsidR="00454CF0"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3AF9959" w14:textId="231E9133" w:rsidR="00454CF0" w:rsidRPr="00277A48" w:rsidRDefault="00454CF0" w:rsidP="00C92624">
            <w:pPr>
              <w:pStyle w:val="MaterialsandMethodsText"/>
            </w:pPr>
            <w:r w:rsidRPr="00277A48">
              <w:t>[</w:t>
            </w:r>
            <w:r w:rsidR="006C0E39">
              <w:t>11</w:t>
            </w:r>
            <w:r w:rsidRPr="00277A48">
              <w:t>]</w:t>
            </w:r>
          </w:p>
        </w:tc>
      </w:tr>
    </w:tbl>
    <w:p w14:paraId="2FAECEB5" w14:textId="50A7FB5B" w:rsidR="008663AB" w:rsidRDefault="00454CF0" w:rsidP="00EC2370">
      <w:pPr>
        <w:jc w:val="both"/>
      </w:pPr>
      <w:r>
        <w:t>Brms does n</w:t>
      </w:r>
      <w:r w:rsidR="00B136E5">
        <w:t>ot</w:t>
      </w:r>
      <w:r>
        <w:t xml:space="preserve"> require testing of a Test Model against a Null Model. Rather</w:t>
      </w:r>
      <w:r w:rsidR="00044507">
        <w:t xml:space="preserve">, we can use the </w:t>
      </w:r>
      <w:proofErr w:type="gramStart"/>
      <w:r w:rsidR="00044507">
        <w:t>hypothesis(</w:t>
      </w:r>
      <w:proofErr w:type="gramEnd"/>
      <w:r w:rsidR="00044507">
        <w:t>) function to test to what extent the data supports certain hypothes</w:t>
      </w:r>
      <w:r>
        <w:t>e</w:t>
      </w:r>
      <w:r w:rsidR="00044507">
        <w:t xml:space="preserve">s. In our case, the </w:t>
      </w:r>
      <w:r w:rsidR="00B136E5">
        <w:t>hypothesis is whether performance for Air Drag: Present (</w:t>
      </w:r>
      <w:proofErr w:type="spellStart"/>
      <w:r w:rsidR="00B136E5">
        <w:t>i</w:t>
      </w:r>
      <w:proofErr w:type="spellEnd"/>
      <w:r w:rsidR="00B136E5">
        <w:t>. e. the intercept) differs more from 1 than performance for Air Drag: Absent (</w:t>
      </w:r>
      <w:proofErr w:type="spellStart"/>
      <w:r w:rsidR="00B136E5">
        <w:t>i</w:t>
      </w:r>
      <w:proofErr w:type="spellEnd"/>
      <w:r w:rsidR="00B136E5">
        <w:t>. e. the intercept plus the regression coefficient for Air Drag: Absent). This test returns a posterior probability of 0.3, which corresponds to an Evidence Ratio of 0.43; that is the data support accuracy to be higher for the Air Drag: Absent condition, albeit to a very limited extent.</w:t>
      </w:r>
    </w:p>
    <w:p w14:paraId="6FEC26ED" w14:textId="43FAAC45" w:rsidR="00EE4AFB" w:rsidRDefault="00EE4AFB" w:rsidP="00EC2370">
      <w:pPr>
        <w:jc w:val="both"/>
      </w:pPr>
      <w:r>
        <w:t>For the spatial task</w:t>
      </w:r>
      <w:r w:rsidR="000C59D9">
        <w:t xml:space="preserve"> (</w:t>
      </w:r>
      <w:r w:rsidR="000C59D9" w:rsidRPr="000C59D9">
        <w:rPr>
          <w:i/>
          <w:iCs/>
        </w:rPr>
        <w:t>Prediction 1b</w:t>
      </w:r>
      <w:r w:rsidR="000C59D9">
        <w:t>)</w:t>
      </w:r>
      <w:r>
        <w:t xml:space="preserve">, we expect </w:t>
      </w:r>
      <w:r w:rsidR="009C404C">
        <w:t xml:space="preserve">high accuracy </w:t>
      </w:r>
      <w:r>
        <w:t xml:space="preserve">for “Air Drag: Present” and an undershoot for “Air Drag: Absent”. </w:t>
      </w:r>
      <w:r w:rsidR="00FA323C">
        <w:fldChar w:fldCharType="begin"/>
      </w:r>
      <w:r w:rsidR="00FA323C">
        <w:instrText xml:space="preserve"> REF _Ref36174245 \h </w:instrText>
      </w:r>
      <w:r w:rsidR="00FA323C">
        <w:fldChar w:fldCharType="separate"/>
      </w:r>
      <w:r w:rsidR="00FA323C">
        <w:t xml:space="preserve">Figure </w:t>
      </w:r>
      <w:r w:rsidR="00FA323C">
        <w:rPr>
          <w:noProof/>
        </w:rPr>
        <w:t>2</w:t>
      </w:r>
      <w:r w:rsidR="00FA323C">
        <w:fldChar w:fldCharType="end"/>
      </w:r>
      <w:r w:rsidR="00FA323C">
        <w:t xml:space="preserve">B visualizes the distribution of responses for each condition. </w:t>
      </w:r>
      <w:r>
        <w:t xml:space="preserve">We follow the same procedure as for the timing response and fit the following </w:t>
      </w:r>
      <w:r w:rsidR="00FD122D">
        <w:t xml:space="preserve">Test </w:t>
      </w:r>
      <w:r>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4AFB" w:rsidRPr="00277A48" w14:paraId="336774FA" w14:textId="77777777" w:rsidTr="00DF2DEF">
        <w:trPr>
          <w:trHeight w:val="376"/>
        </w:trPr>
        <w:tc>
          <w:tcPr>
            <w:tcW w:w="8314" w:type="dxa"/>
            <w:shd w:val="clear" w:color="auto" w:fill="FFFFFF" w:themeFill="background1"/>
            <w:vAlign w:val="center"/>
          </w:tcPr>
          <w:p w14:paraId="20D32705" w14:textId="35FE4B6A" w:rsidR="00EE4AFB" w:rsidRPr="009D32B4" w:rsidRDefault="007D065C" w:rsidP="00DF2DE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F8CB0CC" w14:textId="5B79526C" w:rsidR="00EE4AFB" w:rsidRPr="00277A48" w:rsidRDefault="00EE4AFB" w:rsidP="00DF2DEF">
            <w:pPr>
              <w:pStyle w:val="MaterialsandMethodsText"/>
            </w:pPr>
            <w:r w:rsidRPr="00277A48">
              <w:t>[</w:t>
            </w:r>
            <w:r w:rsidR="006C0E39">
              <w:t>12</w:t>
            </w:r>
            <w:r w:rsidRPr="00277A48">
              <w:t>]</w:t>
            </w:r>
          </w:p>
        </w:tc>
      </w:tr>
    </w:tbl>
    <w:p w14:paraId="6FB43084" w14:textId="2D7DFD70" w:rsidR="00FD122D" w:rsidRDefault="00FD122D" w:rsidP="00EC2370">
      <w:pPr>
        <w:jc w:val="both"/>
      </w:pPr>
      <w:r>
        <w:t>We then compare it to the following Null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D122D" w:rsidRPr="00277A48" w14:paraId="40EA4683" w14:textId="77777777" w:rsidTr="00C92624">
        <w:trPr>
          <w:trHeight w:val="376"/>
        </w:trPr>
        <w:tc>
          <w:tcPr>
            <w:tcW w:w="8314" w:type="dxa"/>
            <w:shd w:val="clear" w:color="auto" w:fill="FFFFFF" w:themeFill="background1"/>
            <w:vAlign w:val="center"/>
          </w:tcPr>
          <w:p w14:paraId="04D7F21D" w14:textId="769FED79" w:rsidR="00FD122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B6FF3D6" w14:textId="0F807E97" w:rsidR="00FD122D" w:rsidRPr="00277A48" w:rsidRDefault="00FD122D" w:rsidP="00C92624">
            <w:pPr>
              <w:pStyle w:val="MaterialsandMethodsText"/>
            </w:pPr>
            <w:r w:rsidRPr="00277A48">
              <w:t>[</w:t>
            </w:r>
            <w:r w:rsidR="006C0E39">
              <w:t>13</w:t>
            </w:r>
            <w:r w:rsidRPr="00277A48">
              <w:t>]</w:t>
            </w:r>
          </w:p>
        </w:tc>
      </w:tr>
    </w:tbl>
    <w:p w14:paraId="103A5259" w14:textId="46D36D63" w:rsidR="00982D30" w:rsidRDefault="007C696F" w:rsidP="00EC2370">
      <w:pPr>
        <w:jc w:val="both"/>
      </w:pPr>
      <w:r>
        <w:t>By means of a Likelihood Ratio Test, we found that the Test Model is significantly better than the Null Model (p </w:t>
      </w:r>
      <w:r>
        <w:rPr>
          <w:lang w:val="en-CA"/>
        </w:rPr>
        <w:t>&lt; 0.001). The regression coefficient for Air Drag</w:t>
      </w:r>
      <w:r w:rsidRPr="007C696F">
        <w:t>: Absent is -0</w:t>
      </w:r>
      <w:r>
        <w:t xml:space="preserve">.0085 m (SE = 0.001 m). We again test whether the intercepts differ significant from </w:t>
      </w:r>
      <w:r w:rsidR="00EF75FD">
        <w:t>1</w:t>
      </w:r>
      <w:r>
        <w:t xml:space="preserve"> in either condition. We find that </w:t>
      </w:r>
      <w:r w:rsidR="00AE1848">
        <w:t xml:space="preserve">the intercept does not differ </w:t>
      </w:r>
      <w:r w:rsidR="00EF75FD">
        <w:t xml:space="preserve">for the Air Drag: Present condition (p = 0.052), while </w:t>
      </w:r>
      <w:r w:rsidR="00AE1848">
        <w:t xml:space="preserve">it </w:t>
      </w:r>
      <w:r w:rsidR="006D07B1">
        <w:t xml:space="preserve">does </w:t>
      </w:r>
      <w:r w:rsidR="00EF75FD">
        <w:t>differ</w:t>
      </w:r>
      <w:r w:rsidR="00AE1848">
        <w:t xml:space="preserve"> </w:t>
      </w:r>
      <w:r w:rsidR="006D07B1">
        <w:t xml:space="preserve">significantly </w:t>
      </w:r>
      <w:r w:rsidR="00AE1848">
        <w:t>for the Air Drag: Absent condition (p = 0.015</w:t>
      </w:r>
      <w:r w:rsidR="006D07B1">
        <w:t xml:space="preserve">). However, considering that the intercept for Air Drag: Present is only marginally </w:t>
      </w:r>
      <w:proofErr w:type="gramStart"/>
      <w:r w:rsidR="006D07B1">
        <w:t>not-different</w:t>
      </w:r>
      <w:proofErr w:type="gramEnd"/>
      <w:r w:rsidR="006D07B1">
        <w:t xml:space="preserve"> from 1, we again perform the Bayesian analysis outlined above</w:t>
      </w:r>
      <w:r w:rsidR="00B07FC5">
        <w:t xml:space="preserve"> with the following </w:t>
      </w:r>
      <w:r w:rsidR="00982D30">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82D30" w:rsidRPr="00277A48" w14:paraId="6676930C" w14:textId="77777777" w:rsidTr="007D065C">
        <w:trPr>
          <w:trHeight w:val="376"/>
        </w:trPr>
        <w:tc>
          <w:tcPr>
            <w:tcW w:w="8314" w:type="dxa"/>
            <w:shd w:val="clear" w:color="auto" w:fill="FFFFFF" w:themeFill="background1"/>
            <w:vAlign w:val="center"/>
          </w:tcPr>
          <w:p w14:paraId="2875DDDA" w14:textId="77777777" w:rsidR="00982D30" w:rsidRPr="009D32B4" w:rsidRDefault="007D065C" w:rsidP="007D065C">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CCCC38B" w14:textId="77777777" w:rsidR="00982D30" w:rsidRPr="00277A48" w:rsidRDefault="00982D30" w:rsidP="007D065C">
            <w:pPr>
              <w:pStyle w:val="MaterialsandMethodsText"/>
            </w:pPr>
            <w:r w:rsidRPr="00277A48">
              <w:t>[</w:t>
            </w:r>
            <w:r>
              <w:t>11</w:t>
            </w:r>
            <w:r w:rsidRPr="00277A48">
              <w:t>]</w:t>
            </w:r>
          </w:p>
        </w:tc>
      </w:tr>
    </w:tbl>
    <w:p w14:paraId="2D86D503" w14:textId="736E28A5" w:rsidR="00EE4AFB" w:rsidRDefault="006D07B1" w:rsidP="00EC2370">
      <w:pPr>
        <w:jc w:val="both"/>
      </w:pPr>
      <w:r>
        <w:t>Here, we find a Posterior Probability of 0.98, corresponding to an Evidence Ratio of 44.45, in favor of Air Drag: Present eliciting more accurate responses. This represents quite strong evidence that humans use internalized knowledge of Air Drag to extrapolate motion.</w:t>
      </w:r>
    </w:p>
    <w:p w14:paraId="3E929557" w14:textId="67684E0B" w:rsidR="00BC575F" w:rsidRDefault="00BC575F" w:rsidP="00EC2370">
      <w:pPr>
        <w:jc w:val="both"/>
      </w:pPr>
      <w:r>
        <w:t>Overall, our data represents strong evidence that humans do not switch between an air drag-based model and a non-air drag-based model for motion extrapolation, but rather use the same model independently of what is presented to them. The timing task furthermore provides weak evidence in favor of an air drag-independent model, while the spatial task provides much stronger evidence in favor of an air drag-based model.</w:t>
      </w:r>
    </w:p>
    <w:p w14:paraId="3D34BAAC" w14:textId="77777777" w:rsidR="001B67E1" w:rsidRDefault="001B67E1" w:rsidP="001B67E1">
      <w:pPr>
        <w:keepNext/>
        <w:jc w:val="both"/>
      </w:pPr>
      <w:r>
        <w:rPr>
          <w:noProof/>
        </w:rPr>
        <w:drawing>
          <wp:inline distT="0" distB="0" distL="0" distR="0" wp14:anchorId="2DD48485" wp14:editId="4DE7E2D7">
            <wp:extent cx="5934075" cy="2971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2786F528" w14:textId="69A36AB9" w:rsidR="001B67E1" w:rsidRDefault="001B67E1" w:rsidP="001B67E1">
      <w:pPr>
        <w:pStyle w:val="Caption"/>
        <w:jc w:val="both"/>
      </w:pPr>
      <w:bookmarkStart w:id="4" w:name="_Ref36174245"/>
      <w:r>
        <w:t xml:space="preserve">Figure </w:t>
      </w:r>
      <w:fldSimple w:instr=" SEQ Figure \* ARABIC ">
        <w:r w:rsidR="007E51E7">
          <w:rPr>
            <w:noProof/>
          </w:rPr>
          <w:t>2</w:t>
        </w:r>
      </w:fldSimple>
      <w:bookmarkEnd w:id="4"/>
      <w:r>
        <w:t xml:space="preserve">: Distribution of responses error ratios for </w:t>
      </w:r>
      <w:proofErr w:type="spellStart"/>
      <w:r>
        <w:t>Airdrag</w:t>
      </w:r>
      <w:proofErr w:type="spellEnd"/>
      <w:r>
        <w:t xml:space="preserve"> and No </w:t>
      </w:r>
      <w:proofErr w:type="spellStart"/>
      <w:r>
        <w:t>Airdrag</w:t>
      </w:r>
      <w:proofErr w:type="spellEnd"/>
      <w:r>
        <w:t>. Each small transparent dot represents one trial. The dotted line indicates a timing error ratio of 1, that is perfect accuracy. A. Timing task. B. Spatial task.</w:t>
      </w:r>
    </w:p>
    <w:p w14:paraId="12650D39" w14:textId="49B91202" w:rsidR="00DF2DEF" w:rsidRDefault="00DF2DEF" w:rsidP="000F2606"/>
    <w:p w14:paraId="5BF4A972" w14:textId="53B67E64" w:rsidR="00DF2DEF" w:rsidRDefault="00DF2DEF" w:rsidP="00DF2DEF">
      <w:pPr>
        <w:pStyle w:val="Heading3"/>
      </w:pPr>
      <w:r>
        <w:lastRenderedPageBreak/>
        <w:t xml:space="preserve">Hypothesis 2: </w:t>
      </w:r>
      <w:r w:rsidR="00CC10F4">
        <w:t>The influence known physical property of targets on</w:t>
      </w:r>
      <w:r>
        <w:t xml:space="preserve"> motion extrapolation</w:t>
      </w:r>
    </w:p>
    <w:p w14:paraId="4CD085CC" w14:textId="11B73F72" w:rsidR="00EE4AFB" w:rsidRDefault="00DF2DEF" w:rsidP="00EC2370">
      <w:pPr>
        <w:jc w:val="both"/>
      </w:pPr>
      <w:r>
        <w:t xml:space="preserve">We expect humans to </w:t>
      </w:r>
      <w:r w:rsidR="00B807E4">
        <w:t>perform accurately regardless of the target</w:t>
      </w:r>
      <w:r w:rsidR="00C873FC">
        <w:t xml:space="preserve"> type when air drag is present when the physical properties correspond to the visible properties of the target. For the Tennis Ball, Incongruent condition, we expect responses to be slightly later than for the Tennis Ball, Congruent condition. For the </w:t>
      </w:r>
      <w:proofErr w:type="gramStart"/>
      <w:r w:rsidR="00C873FC">
        <w:t>Basket Ball</w:t>
      </w:r>
      <w:proofErr w:type="gramEnd"/>
      <w:r w:rsidR="00C873FC">
        <w:t xml:space="preserve">, Incongruent condition, we expect responses to be slightly earlier than for Basket Ball, </w:t>
      </w:r>
      <w:r w:rsidR="00FC24F3">
        <w:t>Congruent</w:t>
      </w:r>
      <w:r w:rsidR="00E854C3">
        <w:t xml:space="preserve"> (</w:t>
      </w:r>
      <w:r w:rsidR="00E854C3" w:rsidRPr="00E854C3">
        <w:rPr>
          <w:i/>
          <w:iCs/>
        </w:rPr>
        <w:t>Prediction 2a</w:t>
      </w:r>
      <w:r w:rsidR="00E854C3">
        <w:t>)</w:t>
      </w:r>
      <w:r w:rsidR="00C873FC">
        <w:t>.</w:t>
      </w:r>
      <w:r w:rsidR="00FC24F3">
        <w:t xml:space="preserve"> We employ </w:t>
      </w:r>
      <w:r w:rsidR="00F364B7">
        <w:t xml:space="preserve">Linear Mixed Modelling implemented in the package lme4 </w:t>
      </w:r>
      <w:r w:rsidR="00F364B7">
        <w:fldChar w:fldCharType="begin" w:fldLock="1"/>
      </w:r>
      <w:r w:rsidR="00F83CC5">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F364B7">
        <w:fldChar w:fldCharType="separate"/>
      </w:r>
      <w:r w:rsidR="00C8333D" w:rsidRPr="00C8333D">
        <w:rPr>
          <w:noProof/>
        </w:rPr>
        <w:t>(Bates et al., 2015; Bürkner, 2018)</w:t>
      </w:r>
      <w:r w:rsidR="00F364B7">
        <w:fldChar w:fldCharType="end"/>
      </w:r>
      <w:r w:rsidR="00F364B7">
        <w:t xml:space="preserve"> for R </w:t>
      </w:r>
      <w:r w:rsidR="00FC24F3">
        <w:t>for both timing and spatial responses. For the timing responses, the model contains ball type (“Tennis”, “Basket”), congruency between visual and physical properties (“Congruent”, “Incongruent”) and their interaction as fixed effects and random intercepts per participant as random effects.</w:t>
      </w:r>
      <w:r w:rsidR="00B4419B">
        <w:t xml:space="preserve"> </w:t>
      </w:r>
      <w:r w:rsidR="00FC24F3">
        <w:t xml:space="preserve">In brms syntax, the model is specified as follows.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C24F3" w:rsidRPr="00277A48" w14:paraId="5CE206ED" w14:textId="77777777" w:rsidTr="00624045">
        <w:trPr>
          <w:trHeight w:val="376"/>
        </w:trPr>
        <w:tc>
          <w:tcPr>
            <w:tcW w:w="8314" w:type="dxa"/>
            <w:shd w:val="clear" w:color="auto" w:fill="FFFFFF" w:themeFill="background1"/>
            <w:vAlign w:val="center"/>
          </w:tcPr>
          <w:p w14:paraId="722EE0CE" w14:textId="2AAD4F55" w:rsidR="00FC24F3"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B732F16" w14:textId="73EA7977" w:rsidR="00FC24F3" w:rsidRPr="00277A48" w:rsidRDefault="00FC24F3" w:rsidP="00624045">
            <w:pPr>
              <w:pStyle w:val="MaterialsandMethodsText"/>
            </w:pPr>
            <w:r w:rsidRPr="00277A48">
              <w:t>[</w:t>
            </w:r>
            <w:r w:rsidR="006C0E39">
              <w:t>14</w:t>
            </w:r>
            <w:r w:rsidRPr="00277A48">
              <w:t>]</w:t>
            </w:r>
          </w:p>
        </w:tc>
      </w:tr>
    </w:tbl>
    <w:p w14:paraId="2065AA69" w14:textId="21EC45CC" w:rsidR="003F248C" w:rsidRDefault="00F364B7" w:rsidP="00EC2370">
      <w:pPr>
        <w:jc w:val="both"/>
      </w:pPr>
      <w:r>
        <w:t>To ascertain whether the data support our predictions, we compare</w:t>
      </w:r>
      <w:r w:rsidR="00BF3F46">
        <w:t>d</w:t>
      </w:r>
      <w:r>
        <w:t xml:space="preserve"> this Test Model to a Null Model that doesn’t contain the interaction term. In lme4 syntax, it is specified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64B7" w:rsidRPr="00277A48" w14:paraId="66C23155" w14:textId="77777777" w:rsidTr="00624045">
        <w:trPr>
          <w:trHeight w:val="376"/>
        </w:trPr>
        <w:tc>
          <w:tcPr>
            <w:tcW w:w="8314" w:type="dxa"/>
            <w:shd w:val="clear" w:color="auto" w:fill="FFFFFF" w:themeFill="background1"/>
            <w:vAlign w:val="center"/>
          </w:tcPr>
          <w:p w14:paraId="6A5CFBCE" w14:textId="77777777" w:rsidR="00F364B7"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C34F5B1" w14:textId="4D597625" w:rsidR="00F364B7" w:rsidRPr="00277A48" w:rsidRDefault="00F364B7" w:rsidP="00624045">
            <w:pPr>
              <w:pStyle w:val="MaterialsandMethodsText"/>
            </w:pPr>
            <w:r w:rsidRPr="00277A48">
              <w:t>[</w:t>
            </w:r>
            <w:r w:rsidR="006C0E39">
              <w:t>15</w:t>
            </w:r>
            <w:r w:rsidRPr="00277A48">
              <w:t>]</w:t>
            </w:r>
          </w:p>
        </w:tc>
      </w:tr>
    </w:tbl>
    <w:p w14:paraId="10DAAF4A" w14:textId="2F90C89C" w:rsidR="00F364B7" w:rsidRDefault="00BF3F46" w:rsidP="00EC2370">
      <w:pPr>
        <w:jc w:val="both"/>
      </w:pPr>
      <w:r>
        <w:t>A Likelihood Ratio Test (</w:t>
      </w:r>
      <w:proofErr w:type="spellStart"/>
      <w:proofErr w:type="gramStart"/>
      <w:r>
        <w:t>anova</w:t>
      </w:r>
      <w:proofErr w:type="spellEnd"/>
      <w:r>
        <w:t>(</w:t>
      </w:r>
      <w:proofErr w:type="gramEnd"/>
      <w:r>
        <w:t xml:space="preserve">) function in R) showed that the Test Model is not significantly better than the Test Model (p </w:t>
      </w:r>
      <w:r w:rsidRPr="00BF3F46">
        <w:t>=</w:t>
      </w:r>
      <w:r>
        <w:t xml:space="preserve"> </w:t>
      </w:r>
      <w:bookmarkStart w:id="5" w:name="_GoBack"/>
      <w:bookmarkEnd w:id="5"/>
      <w:r>
        <w:t xml:space="preserve">0.625); our Hypothesis 2a is thus </w:t>
      </w:r>
      <w:r w:rsidR="00426C0D">
        <w:t>not supported by the data.</w:t>
      </w:r>
      <w:r w:rsidR="00FA5A8D">
        <w:t xml:space="preserve"> However, it was quite unlikely to observe an effect in this condition as the expected differences in the temporal domain</w:t>
      </w:r>
      <w:r w:rsidR="00C87709">
        <w:t xml:space="preserve"> between the congruent and incongruent conditions were extremely small (between 2 and 8 m/s).</w:t>
      </w:r>
    </w:p>
    <w:p w14:paraId="3BB78EAB" w14:textId="45C6EF85" w:rsidR="00BF3F46" w:rsidRDefault="00833A98" w:rsidP="00EC2370">
      <w:pPr>
        <w:jc w:val="both"/>
      </w:pPr>
      <w:r>
        <w:t>We perform the same procedure for the spatial task</w:t>
      </w:r>
      <w:r w:rsidR="00E854C3">
        <w:t xml:space="preserve"> (</w:t>
      </w:r>
      <w:r w:rsidR="00E854C3" w:rsidRPr="00E854C3">
        <w:rPr>
          <w:i/>
          <w:iCs/>
        </w:rPr>
        <w:t>Prediction 2b</w:t>
      </w:r>
      <w:r w:rsidR="00E854C3">
        <w:t>)</w:t>
      </w:r>
      <w:r>
        <w:t>. Here we compare the Test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3FF2EDDC" w14:textId="77777777" w:rsidTr="00624045">
        <w:trPr>
          <w:trHeight w:val="376"/>
        </w:trPr>
        <w:tc>
          <w:tcPr>
            <w:tcW w:w="8314" w:type="dxa"/>
            <w:shd w:val="clear" w:color="auto" w:fill="FFFFFF" w:themeFill="background1"/>
            <w:vAlign w:val="center"/>
          </w:tcPr>
          <w:p w14:paraId="7FEA4F44" w14:textId="325ED204"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AEFE361" w14:textId="5F4E018E" w:rsidR="00833A98" w:rsidRPr="00277A48" w:rsidRDefault="00833A98" w:rsidP="00624045">
            <w:pPr>
              <w:pStyle w:val="MaterialsandMethodsText"/>
            </w:pPr>
            <w:r w:rsidRPr="00277A48">
              <w:t>[</w:t>
            </w:r>
            <w:r w:rsidR="006C0E39">
              <w:t>16</w:t>
            </w:r>
            <w:r w:rsidRPr="00277A48">
              <w:t>]</w:t>
            </w:r>
          </w:p>
        </w:tc>
      </w:tr>
    </w:tbl>
    <w:p w14:paraId="4BD9E0C7" w14:textId="0B94BC8C" w:rsidR="00FC24F3" w:rsidRDefault="00EA265E" w:rsidP="00EC2370">
      <w:pPr>
        <w:jc w:val="both"/>
      </w:pPr>
      <w:r>
        <w:t>t</w:t>
      </w:r>
      <w:r w:rsidR="00833A98">
        <w:t xml:space="preserve">o the Null Model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60387C2A" w14:textId="77777777" w:rsidTr="00624045">
        <w:trPr>
          <w:trHeight w:val="376"/>
        </w:trPr>
        <w:tc>
          <w:tcPr>
            <w:tcW w:w="8314" w:type="dxa"/>
            <w:shd w:val="clear" w:color="auto" w:fill="FFFFFF" w:themeFill="background1"/>
            <w:vAlign w:val="center"/>
          </w:tcPr>
          <w:p w14:paraId="33C9AEA3" w14:textId="45D25DA1"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B3D782F" w14:textId="3558BFBF" w:rsidR="00833A98" w:rsidRPr="00277A48" w:rsidRDefault="00833A98" w:rsidP="00624045">
            <w:pPr>
              <w:pStyle w:val="MaterialsandMethodsText"/>
            </w:pPr>
            <w:r w:rsidRPr="00277A48">
              <w:t>[</w:t>
            </w:r>
            <w:r>
              <w:t>1</w:t>
            </w:r>
            <w:r w:rsidR="006C0E39">
              <w:t>7</w:t>
            </w:r>
            <w:r w:rsidRPr="00277A48">
              <w:t>]</w:t>
            </w:r>
          </w:p>
        </w:tc>
      </w:tr>
    </w:tbl>
    <w:p w14:paraId="26060066" w14:textId="47CAD6B6" w:rsidR="00FA5A8D" w:rsidRDefault="00C8333D" w:rsidP="00EC2370">
      <w:pPr>
        <w:jc w:val="both"/>
      </w:pPr>
      <w:r>
        <w:t>a</w:t>
      </w:r>
      <w:r w:rsidR="00EA265E">
        <w:t>gain with a Likelihood Ratio Test</w:t>
      </w:r>
      <w:r>
        <w:t xml:space="preserve"> (</w:t>
      </w:r>
      <w:proofErr w:type="spellStart"/>
      <w:proofErr w:type="gramStart"/>
      <w:r>
        <w:t>anova</w:t>
      </w:r>
      <w:proofErr w:type="spellEnd"/>
      <w:r>
        <w:t>(</w:t>
      </w:r>
      <w:proofErr w:type="gramEnd"/>
      <w:r>
        <w:t>) function in R)</w:t>
      </w:r>
      <w:r w:rsidR="00EA265E">
        <w:t>. The Test Model proved to be significantly better than the test model (p &lt; 0.001</w:t>
      </w:r>
      <w:r w:rsidR="00EA265E">
        <w:rPr>
          <w:lang w:val="en-CA"/>
        </w:rPr>
        <w:t xml:space="preserve">). It estimates the regression coefficient for the interaction of Ball Type: Basketball and Congruency: Incongruent </w:t>
      </w:r>
      <w:r w:rsidR="00EA265E" w:rsidRPr="00EA265E">
        <w:t>-0.02 m (SE = 0.002 m)</w:t>
      </w:r>
      <w:r w:rsidR="00426C0D">
        <w:t>, which is the predicted direction.</w:t>
      </w:r>
      <w:r w:rsidR="00624045">
        <w:t xml:space="preserve"> </w:t>
      </w:r>
      <w:r w:rsidR="001D62CA">
        <w:t xml:space="preserve">We visualize the response distribution for each combination of ball type and congruency level in </w:t>
      </w:r>
      <w:r w:rsidR="001D62CA">
        <w:fldChar w:fldCharType="begin"/>
      </w:r>
      <w:r w:rsidR="001D62CA">
        <w:instrText xml:space="preserve"> REF _Ref36173219 \h </w:instrText>
      </w:r>
      <w:r w:rsidR="001D62CA">
        <w:fldChar w:fldCharType="separate"/>
      </w:r>
      <w:r w:rsidR="001D62CA">
        <w:t xml:space="preserve">Figure </w:t>
      </w:r>
      <w:r w:rsidR="001D62CA">
        <w:rPr>
          <w:noProof/>
        </w:rPr>
        <w:t>3</w:t>
      </w:r>
      <w:r w:rsidR="001D62CA">
        <w:fldChar w:fldCharType="end"/>
      </w:r>
      <w:r w:rsidR="001D62CA">
        <w:t xml:space="preserve">. </w:t>
      </w:r>
      <w:r w:rsidR="00624045">
        <w:t xml:space="preserve">Our </w:t>
      </w:r>
      <w:r w:rsidR="00426C0D">
        <w:t>H</w:t>
      </w:r>
      <w:r w:rsidR="00624045">
        <w:t xml:space="preserve">ypothesis </w:t>
      </w:r>
      <w:r w:rsidR="00426C0D">
        <w:t>2b, namely that humans use visual cues</w:t>
      </w:r>
      <w:r w:rsidR="00FA5A8D">
        <w:t xml:space="preserve"> (such as texture)</w:t>
      </w:r>
      <w:r w:rsidR="00426C0D">
        <w:t xml:space="preserve"> about their targets to predict their air drag-related behavior in the spatial domain, is thus </w:t>
      </w:r>
      <w:r w:rsidR="00FA5A8D">
        <w:t>supported by the data.</w:t>
      </w:r>
    </w:p>
    <w:p w14:paraId="58004F86" w14:textId="77777777" w:rsidR="009E536D" w:rsidRDefault="00D75621" w:rsidP="009E536D">
      <w:pPr>
        <w:keepNext/>
      </w:pPr>
      <w:r>
        <w:rPr>
          <w:noProof/>
        </w:rPr>
        <w:lastRenderedPageBreak/>
        <w:drawing>
          <wp:inline distT="0" distB="0" distL="0" distR="0" wp14:anchorId="47E2CF34" wp14:editId="4060B4FA">
            <wp:extent cx="5934075" cy="2971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A321D54" w14:textId="7E4CEA32" w:rsidR="00FA5A8D" w:rsidRDefault="009E536D" w:rsidP="009E536D">
      <w:pPr>
        <w:pStyle w:val="Caption"/>
      </w:pPr>
      <w:bookmarkStart w:id="6" w:name="_Ref36173219"/>
      <w:r>
        <w:t xml:space="preserve">Figure </w:t>
      </w:r>
      <w:fldSimple w:instr=" SEQ Figure \* ARABIC ">
        <w:r w:rsidR="007E51E7">
          <w:rPr>
            <w:noProof/>
          </w:rPr>
          <w:t>3</w:t>
        </w:r>
      </w:fldSimple>
      <w:bookmarkEnd w:id="6"/>
      <w:r>
        <w:t xml:space="preserve">: Distribution of errors per ball type and congruency condition. </w:t>
      </w:r>
      <w:r w:rsidR="004B4255">
        <w:t xml:space="preserve">Each transparent dot </w:t>
      </w:r>
      <w:r>
        <w:t>represent</w:t>
      </w:r>
      <w:r w:rsidR="004B4255">
        <w:t xml:space="preserve">s one </w:t>
      </w:r>
      <w:r>
        <w:t>trial. The dotted line represents an error ratio of 1, that is perfect accuracy. A. Timing errors. B. Spatial errors.</w:t>
      </w:r>
    </w:p>
    <w:p w14:paraId="0E290EA4" w14:textId="77777777" w:rsidR="0077135F" w:rsidRDefault="0077135F" w:rsidP="000F2606"/>
    <w:p w14:paraId="256099DD" w14:textId="1EE2405F" w:rsidR="00C8333D" w:rsidRDefault="00C8333D" w:rsidP="00BC575F">
      <w:pPr>
        <w:pStyle w:val="Heading2"/>
      </w:pPr>
      <w:r>
        <w:t>Exploratory Analyses</w:t>
      </w:r>
    </w:p>
    <w:p w14:paraId="68CC4604" w14:textId="586A81A2" w:rsidR="00BC575F" w:rsidRDefault="00BC575F" w:rsidP="00EC2370">
      <w:pPr>
        <w:jc w:val="both"/>
      </w:pPr>
      <w:r>
        <w:t>We furthermore explore several potential candidate hypothes</w:t>
      </w:r>
      <w:r w:rsidR="006C0E39">
        <w:t>e</w:t>
      </w:r>
      <w:r>
        <w:t>s for future confirmation.</w:t>
      </w:r>
    </w:p>
    <w:p w14:paraId="56E920F6" w14:textId="655078C8" w:rsidR="00B07FC5" w:rsidRDefault="00B07FC5" w:rsidP="00BC575F">
      <w:pPr>
        <w:pStyle w:val="Heading3"/>
      </w:pPr>
      <w:r>
        <w:t>Is precision lower when no air drag is presented in the visible part of the trajectory?</w:t>
      </w:r>
    </w:p>
    <w:p w14:paraId="44DD75B4" w14:textId="5E6194BF" w:rsidR="00B07FC5" w:rsidRDefault="00B07FC5" w:rsidP="00B07FC5">
      <w:r>
        <w:t xml:space="preserve">Humans might pick up subtle difference in trajectories unfolding with or without air drag, which might lead to more variable responses. </w:t>
      </w:r>
      <w:r w:rsidR="00BE04CF">
        <w:t xml:space="preserve">And indeed, </w:t>
      </w:r>
      <w:r w:rsidR="00BE04CF">
        <w:fldChar w:fldCharType="begin"/>
      </w:r>
      <w:r w:rsidR="00BE04CF">
        <w:instrText xml:space="preserve"> REF _Ref36174245 \h </w:instrText>
      </w:r>
      <w:r w:rsidR="00BE04CF">
        <w:fldChar w:fldCharType="separate"/>
      </w:r>
      <w:r w:rsidR="00BE04CF">
        <w:t xml:space="preserve">Figure </w:t>
      </w:r>
      <w:r w:rsidR="00BE04CF">
        <w:rPr>
          <w:noProof/>
        </w:rPr>
        <w:t>2</w:t>
      </w:r>
      <w:r w:rsidR="00BE04CF">
        <w:fldChar w:fldCharType="end"/>
      </w:r>
      <w:r w:rsidR="00BE04CF">
        <w:t xml:space="preserve"> suggests that there might be variability</w:t>
      </w:r>
      <w:r w:rsidR="00DA3054">
        <w:t xml:space="preserve"> </w:t>
      </w:r>
      <w:r w:rsidR="00BE04CF">
        <w:t xml:space="preserve">differences between the </w:t>
      </w:r>
      <w:proofErr w:type="spellStart"/>
      <w:r w:rsidR="00BE04CF">
        <w:t>Airdrag</w:t>
      </w:r>
      <w:proofErr w:type="spellEnd"/>
      <w:r w:rsidR="00BE04CF">
        <w:t>: Present and Air Drag: Absent conditions</w:t>
      </w:r>
      <w:r w:rsidR="00DA3054">
        <w:t>, especially in the timing task.</w:t>
      </w:r>
      <w:r w:rsidR="00BE04CF">
        <w:t xml:space="preserve"> </w:t>
      </w:r>
      <w:r>
        <w:t>To test this hypothesis, we use the Bayesian Mixed Models fitted above</w:t>
      </w:r>
      <w:r w:rsidR="00982D30">
        <w:t xml:space="preserve"> (Equation XX for the temporal responses and Equation XX for the spatial responses) and test the hypothesis that Air Drag: Absent leads to a loss in precision. For the timing task, we find</w:t>
      </w:r>
      <w:r w:rsidR="005914F7">
        <w:t xml:space="preserve"> that XXX</w:t>
      </w:r>
    </w:p>
    <w:p w14:paraId="33A63630" w14:textId="2B16CC1B" w:rsidR="005914F7" w:rsidRDefault="005914F7" w:rsidP="00B07FC5">
      <w:r>
        <w:t>We can thus conclude that XXX</w:t>
      </w:r>
    </w:p>
    <w:p w14:paraId="3DC5313F" w14:textId="77777777" w:rsidR="00B07FC5" w:rsidRPr="00B07FC5" w:rsidRDefault="00B07FC5" w:rsidP="00B07FC5"/>
    <w:p w14:paraId="2111F33A" w14:textId="6FD4EF31" w:rsidR="00BC575F" w:rsidRPr="00BC575F" w:rsidRDefault="00BC575F" w:rsidP="00BC575F">
      <w:pPr>
        <w:pStyle w:val="Heading3"/>
      </w:pPr>
      <w:r>
        <w:t xml:space="preserve">Does variability in responses differ between </w:t>
      </w:r>
      <w:r w:rsidR="00B07FC5">
        <w:t>congruent and incongruent trials</w:t>
      </w:r>
      <w:r>
        <w:t>?</w:t>
      </w:r>
    </w:p>
    <w:p w14:paraId="7377775C" w14:textId="208BEBC3" w:rsidR="00EA265E" w:rsidRDefault="00BC575F" w:rsidP="00EC2370">
      <w:pPr>
        <w:jc w:val="both"/>
      </w:pPr>
      <w:r>
        <w:t>It stands to reason that a conflict between texture and other physical (air drag-relevant) properties could lead subjects to extrapolate motion less precisely. As testing for variability differences is not straight-forward with tradition</w:t>
      </w:r>
      <w:r w:rsidR="005D37AF">
        <w:t>al</w:t>
      </w:r>
      <w:r>
        <w:t xml:space="preserve"> Linear Mixed Models, we again employ Bayesian Linear Mixed Modelling. We establish a Test Model with Congruency (“Congruent”, “Incongruent”) as fixed effect and random intercepts per participant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C575F" w:rsidRPr="00277A48" w14:paraId="4BE98C08" w14:textId="77777777" w:rsidTr="00C92624">
        <w:trPr>
          <w:trHeight w:val="376"/>
        </w:trPr>
        <w:tc>
          <w:tcPr>
            <w:tcW w:w="8314" w:type="dxa"/>
            <w:shd w:val="clear" w:color="auto" w:fill="FFFFFF" w:themeFill="background1"/>
            <w:vAlign w:val="center"/>
          </w:tcPr>
          <w:p w14:paraId="27A70D50" w14:textId="7F18C395" w:rsidR="00BC575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Timing</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EB68A6E" w14:textId="0AD0231B" w:rsidR="00BC575F" w:rsidRPr="00277A48" w:rsidRDefault="00BC575F" w:rsidP="00C92624">
            <w:pPr>
              <w:pStyle w:val="MaterialsandMethodsText"/>
            </w:pPr>
            <w:r w:rsidRPr="00277A48">
              <w:t>[</w:t>
            </w:r>
            <w:r>
              <w:t>1</w:t>
            </w:r>
            <w:r w:rsidR="006C0E39">
              <w:t>8</w:t>
            </w:r>
            <w:r w:rsidRPr="00277A48">
              <w:t>]</w:t>
            </w:r>
          </w:p>
        </w:tc>
      </w:tr>
    </w:tbl>
    <w:p w14:paraId="18419969" w14:textId="5236F45F" w:rsidR="00BC575F" w:rsidRDefault="00AF0CE6" w:rsidP="00EC2370">
      <w:pPr>
        <w:jc w:val="both"/>
      </w:pPr>
      <w:r>
        <w:t>For the hypothesis that Congruency: Incongruent leads to a higher variability in responses</w:t>
      </w:r>
      <w:r w:rsidR="005D37AF">
        <w:t xml:space="preserve"> in the timing task (-</w:t>
      </w:r>
      <w:r w:rsidR="00F24EB9">
        <w:t>0.03 s; SE = 0.02 s</w:t>
      </w:r>
      <w:r w:rsidR="0099701D">
        <w:t>,</w:t>
      </w:r>
      <w:r w:rsidR="00F24EB9">
        <w:t xml:space="preserve"> on a log scale)</w:t>
      </w:r>
      <w:r>
        <w:t xml:space="preserve">, we found a Posterior Probability of nearly 1 and </w:t>
      </w:r>
      <w:proofErr w:type="gramStart"/>
      <w:r>
        <w:t>a</w:t>
      </w:r>
      <w:proofErr w:type="gramEnd"/>
      <w:r>
        <w:t xml:space="preserve"> Evidence Ratio </w:t>
      </w:r>
      <w:r>
        <w:lastRenderedPageBreak/>
        <w:t>of 399. This indicates very strong evidence that an incongruency between texture and other physical properties leads to higher variability in responses.</w:t>
      </w:r>
    </w:p>
    <w:p w14:paraId="46E2F5A0" w14:textId="4692F729" w:rsidR="005D37AF" w:rsidRDefault="005D37AF" w:rsidP="00EC2370">
      <w:pPr>
        <w:jc w:val="both"/>
      </w:pPr>
      <w:r>
        <w:t>We then repeat the same procedure for the spatial task. The specified model is: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5D37AF" w:rsidRPr="00277A48" w14:paraId="07E10A17" w14:textId="77777777" w:rsidTr="00C92624">
        <w:trPr>
          <w:trHeight w:val="376"/>
        </w:trPr>
        <w:tc>
          <w:tcPr>
            <w:tcW w:w="8314" w:type="dxa"/>
            <w:shd w:val="clear" w:color="auto" w:fill="FFFFFF" w:themeFill="background1"/>
            <w:vAlign w:val="center"/>
          </w:tcPr>
          <w:p w14:paraId="04A5135A" w14:textId="77777777" w:rsidR="005D37A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BE41406" w14:textId="32A10AFC" w:rsidR="005D37AF" w:rsidRPr="00277A48" w:rsidRDefault="005D37AF" w:rsidP="00C92624">
            <w:pPr>
              <w:pStyle w:val="MaterialsandMethodsText"/>
            </w:pPr>
            <w:r w:rsidRPr="00277A48">
              <w:t>[</w:t>
            </w:r>
            <w:r>
              <w:t>1</w:t>
            </w:r>
            <w:r w:rsidR="006C0E39">
              <w:t>9</w:t>
            </w:r>
            <w:r w:rsidRPr="00277A48">
              <w:t>]</w:t>
            </w:r>
          </w:p>
        </w:tc>
      </w:tr>
    </w:tbl>
    <w:p w14:paraId="5D9051F5" w14:textId="3E326752" w:rsidR="005D37AF" w:rsidRDefault="005D37AF" w:rsidP="00EC2370">
      <w:pPr>
        <w:jc w:val="both"/>
      </w:pPr>
      <w:r>
        <w:t>Here, we also find variability to be higher in the timing task (-0.03 </w:t>
      </w:r>
      <w:proofErr w:type="gramStart"/>
      <w:r>
        <w:t>m;</w:t>
      </w:r>
      <w:proofErr w:type="gramEnd"/>
      <w:r>
        <w:t xml:space="preserve"> SE = 0.02 m</w:t>
      </w:r>
      <w:r w:rsidR="0099701D">
        <w:t>,</w:t>
      </w:r>
      <w:r>
        <w:t xml:space="preserve"> on a log scale), with a Posterior Probability of 0.97 and an Evidence Ratio of 31. This represents moderate-to-strong evidence that variability in the spatial task is indeed higher for the Congruency: Incongruent condition.</w:t>
      </w:r>
    </w:p>
    <w:p w14:paraId="339E42E7" w14:textId="61568B09" w:rsidR="00BC341D" w:rsidRDefault="00BC341D" w:rsidP="00EC2370">
      <w:pPr>
        <w:jc w:val="both"/>
      </w:pPr>
      <w:r>
        <w:t>Overall, both the timing task and the spatial task present strong evidence that incongruency between texture and other air drag-relevant properties of the object leads to lower precision in responses.</w:t>
      </w:r>
    </w:p>
    <w:p w14:paraId="4647B238" w14:textId="77777777" w:rsidR="00DA3054" w:rsidRDefault="00DA3054" w:rsidP="00DA3054">
      <w:pPr>
        <w:keepNext/>
        <w:jc w:val="both"/>
      </w:pPr>
      <w:r>
        <w:rPr>
          <w:noProof/>
        </w:rPr>
        <w:drawing>
          <wp:inline distT="0" distB="0" distL="0" distR="0" wp14:anchorId="2B55FD23" wp14:editId="08D701EE">
            <wp:extent cx="5934075" cy="2971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0D3F86B0" w14:textId="54596257" w:rsidR="00DA3054" w:rsidRDefault="00DA3054" w:rsidP="00DA3054">
      <w:pPr>
        <w:pStyle w:val="Caption"/>
        <w:jc w:val="both"/>
      </w:pPr>
      <w:r>
        <w:t xml:space="preserve">Figure </w:t>
      </w:r>
      <w:fldSimple w:instr=" SEQ Figure \* ARABIC ">
        <w:r w:rsidR="007E51E7">
          <w:rPr>
            <w:noProof/>
          </w:rPr>
          <w:t>4</w:t>
        </w:r>
      </w:fldSimple>
      <w:r>
        <w:t>: Distribution of errors for trials where the ball texture was congruent with its size and other physical properties (Congruent) and where they were incongruent (Incongruent). The dotted line represents an error ratio of 1, that is perfect accuracy. A. Timing errors. B. Spatial errors.</w:t>
      </w:r>
    </w:p>
    <w:p w14:paraId="17E2F730" w14:textId="77777777" w:rsidR="00DA3054" w:rsidRPr="00DA3054" w:rsidRDefault="00DA3054" w:rsidP="00DA3054"/>
    <w:p w14:paraId="72E83542" w14:textId="0B4A2238" w:rsidR="00864D4C" w:rsidRDefault="00864D4C" w:rsidP="005C547D">
      <w:pPr>
        <w:pStyle w:val="Heading3"/>
      </w:pPr>
      <w:r>
        <w:t>Do different objects elicit differences in conditions?</w:t>
      </w:r>
    </w:p>
    <w:p w14:paraId="5F3E87DB" w14:textId="2B2499A5" w:rsidR="00BC575F" w:rsidRDefault="005C547D" w:rsidP="00EC2370">
      <w:pPr>
        <w:jc w:val="both"/>
      </w:pPr>
      <w:r>
        <w:t>It is furthermore possible that performance is affected by the simulated objects. For example, performance for tennis balls could be less precise because they are smaller, which might lead to a less precise representation of their size.</w:t>
      </w:r>
      <w:r w:rsidR="00F83CC5">
        <w:t xml:space="preserve"> </w:t>
      </w:r>
      <w:r w:rsidR="00A2275C">
        <w:fldChar w:fldCharType="begin"/>
      </w:r>
      <w:r w:rsidR="00A2275C">
        <w:instrText xml:space="preserve"> REF _Ref36175866 \h </w:instrText>
      </w:r>
      <w:r w:rsidR="00A2275C">
        <w:fldChar w:fldCharType="separate"/>
      </w:r>
      <w:r w:rsidR="00A2275C">
        <w:t xml:space="preserve">Figure </w:t>
      </w:r>
      <w:r w:rsidR="00A2275C">
        <w:rPr>
          <w:noProof/>
        </w:rPr>
        <w:t>5</w:t>
      </w:r>
      <w:r w:rsidR="00A2275C">
        <w:fldChar w:fldCharType="end"/>
      </w:r>
      <w:r w:rsidR="00A2275C">
        <w:t xml:space="preserve"> gives some indication that there might be difference, especially for the spatial task. </w:t>
      </w:r>
      <w:r w:rsidR="00F83CC5">
        <w:t>We thus employ the same procedure as in the previous section, and fit the following model, with Ball Type (“Tennis”, “Basket”) as fixed effect and random intercepts per participants</w:t>
      </w:r>
      <w:r w:rsidR="00422259">
        <w:t xml:space="preserve">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83CC5" w:rsidRPr="00277A48" w14:paraId="02DFA25D" w14:textId="77777777" w:rsidTr="00C92624">
        <w:trPr>
          <w:trHeight w:val="376"/>
        </w:trPr>
        <w:tc>
          <w:tcPr>
            <w:tcW w:w="8314" w:type="dxa"/>
            <w:shd w:val="clear" w:color="auto" w:fill="FFFFFF" w:themeFill="background1"/>
            <w:vAlign w:val="center"/>
          </w:tcPr>
          <w:p w14:paraId="691593E1" w14:textId="704CEED2" w:rsidR="00F83CC5"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BD704CA" w14:textId="1707B406" w:rsidR="00F83CC5" w:rsidRPr="00277A48" w:rsidRDefault="00F83CC5" w:rsidP="00C92624">
            <w:pPr>
              <w:pStyle w:val="MaterialsandMethodsText"/>
            </w:pPr>
            <w:r w:rsidRPr="00277A48">
              <w:t>[</w:t>
            </w:r>
            <w:r w:rsidR="006C0E39">
              <w:t>2</w:t>
            </w:r>
            <w:r>
              <w:t>0</w:t>
            </w:r>
            <w:r w:rsidRPr="00277A48">
              <w:t>]</w:t>
            </w:r>
          </w:p>
        </w:tc>
      </w:tr>
    </w:tbl>
    <w:p w14:paraId="5DF87855" w14:textId="77777777" w:rsidR="0028204D" w:rsidRDefault="0099701D" w:rsidP="000F2606">
      <w:r>
        <w:t>For the hypothesis that smaller balls lead to higher variability</w:t>
      </w:r>
      <w:r w:rsidR="00A40624">
        <w:t xml:space="preserve"> in timing responses</w:t>
      </w:r>
      <w:r>
        <w:t xml:space="preserve">, we found a Posterior Probability of XX and an Evidence Ratio of XXX </w:t>
      </w:r>
      <w:proofErr w:type="gramStart"/>
      <w:r>
        <w:t>( s</w:t>
      </w:r>
      <w:proofErr w:type="gramEnd"/>
      <w:r>
        <w:t>; SE = , on a log scale)</w:t>
      </w:r>
      <w:r w:rsidR="000132A7">
        <w:t>.</w:t>
      </w:r>
      <w:r w:rsidR="00A40624">
        <w:t xml:space="preserve"> </w:t>
      </w:r>
    </w:p>
    <w:p w14:paraId="0D1CAA36" w14:textId="6FA9BE5A" w:rsidR="00A40624" w:rsidRDefault="00A40624" w:rsidP="000F2606">
      <w:r>
        <w:lastRenderedPageBreak/>
        <w:t>We conducted the same analysis for the spatial error:</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40624" w:rsidRPr="00277A48" w14:paraId="0A64E8E2" w14:textId="77777777" w:rsidTr="00797B60">
        <w:trPr>
          <w:trHeight w:val="376"/>
        </w:trPr>
        <w:tc>
          <w:tcPr>
            <w:tcW w:w="8314" w:type="dxa"/>
            <w:shd w:val="clear" w:color="auto" w:fill="FFFFFF" w:themeFill="background1"/>
            <w:vAlign w:val="center"/>
          </w:tcPr>
          <w:p w14:paraId="63422FED" w14:textId="15501E37" w:rsidR="00A40624" w:rsidRPr="009D32B4" w:rsidRDefault="00A40624"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D358CBB" w14:textId="77777777" w:rsidR="00A40624" w:rsidRPr="00277A48" w:rsidRDefault="00A40624" w:rsidP="00797B60">
            <w:pPr>
              <w:pStyle w:val="MaterialsandMethodsText"/>
            </w:pPr>
            <w:r w:rsidRPr="00277A48">
              <w:t>[</w:t>
            </w:r>
            <w:r>
              <w:t>20</w:t>
            </w:r>
            <w:r w:rsidRPr="00277A48">
              <w:t>]</w:t>
            </w:r>
          </w:p>
        </w:tc>
      </w:tr>
    </w:tbl>
    <w:p w14:paraId="54CEB217" w14:textId="2A328875" w:rsidR="00A40624" w:rsidRDefault="0028204D" w:rsidP="000F2606">
      <w:r>
        <w:t xml:space="preserve">For the hypothesis that smaller balls lead to a bias in timing responses, we found a Posterior Probability </w:t>
      </w:r>
      <w:proofErr w:type="spellStart"/>
      <w:r>
        <w:t>fo</w:t>
      </w:r>
      <w:proofErr w:type="spellEnd"/>
      <w:r>
        <w:t xml:space="preserve"> XX and an Evidence Ratio of XXX </w:t>
      </w:r>
      <w:proofErr w:type="gramStart"/>
      <w:r>
        <w:t>( m</w:t>
      </w:r>
      <w:proofErr w:type="gramEnd"/>
      <w:r>
        <w:t>; SE = , on a log scale).</w:t>
      </w:r>
    </w:p>
    <w:p w14:paraId="52172B26" w14:textId="7DE878B2" w:rsidR="00A40624" w:rsidRDefault="00A40624" w:rsidP="00A367D0">
      <w:pPr>
        <w:jc w:val="both"/>
      </w:pPr>
      <w:r>
        <w:t xml:space="preserve">Furthermore, depth perception is not perfect in virtual reality, so a smaller optic size of the object could lead subjects to interpret that object as further away. And if participants perceive the object as further away, they might time responses too late because the same visual flow information about the distance between the point of disappearance and the target table would correspond to a larger physical distance. This is unlikely because our trajectories are governed by earth gravity, and earth gravity has been shown to help interpret visual motion in its context </w:t>
      </w:r>
      <w:r>
        <w:fldChar w:fldCharType="begin" w:fldLock="1"/>
      </w:r>
      <w:r>
        <w:instrText>ADDIN CSL_CITATION {"citationItems":[{"id":"ITEM-1","itemData":{"author":[{"dropping-particle":"","family":"Vallortigara","given":"Giorgio","non-dropping-particle":"","parse-names":false,"suffix":""},{"dropping-particle":"","family":"Regolin","given":"Lucia","non-dropping-particle":"","parse-names":false,"suffix":""}],"container-title":"Current Biology","id":"ITEM-1","issue":"September","issued":{"date-parts":[["2007"]]},"page":"R279–R280","title":"Gravity bias in the interpretation of biological motion by inexperienced chicks","type":"article-journal","volume":"16"},"uris":["http://www.mendeley.com/documents/?uuid=d2326aff-7b18-4aa5-8a3c-5d48b92af77a"]},{"id":"ITEM-2","itemData":{"DOI":"10.1167/3.4.1","ISBN":"1534-7362 (Electronic)","ISSN":"1534-7362","PMID":"12803534","abstract":"Animals as well as humans adjust their gait patterns in order to minimize energy required for their locomotion. A particularly important factor is the constant force of earth's gravity. In many dynamic systems, gravity defines a relation between temporal and spatial parameters. The stride frequency of an animal that moves efficiently in terms of energy consumption depends on its size. In two psychophysical experiments, we investigated whether human observers can employ this relation in order to retrieve size information from point-light displays of dogs moving with varying stride frequencies across the screen. In Experiment 1, observers had to adjust the apparent size of a walking point-light dog by placing it at different depths in a three-dimensional depiction of a complex landscape. In Experiment 2, the size of the dog could be adjusted directly. Results show that displays with high stride frequencies are perceived to be smaller than displays with low stride frequencies and that this correlation perfectly reflects the predicted inverse quadratic relation between stride frequency and size. We conclude that biological motion can serve as a cue to retrieve the size of an animal and, therefore, to scale the visual environment.","author":[{"dropping-particle":"","family":"Jokisch","given":"Daniel","non-dropping-particle":"","parse-names":false,"suffix":""},{"dropping-particle":"","family":"Troje","given":"Nikolaus F","non-dropping-particle":"","parse-names":false,"suffix":""}],"container-title":"Journal of vision","id":"ITEM-2","issue":"4","issued":{"date-parts":[["2003"]]},"page":"252-264","title":"Biological motion as a cue for the perception of size.","type":"article-journal","volume":"3"},"uris":["http://www.mendeley.com/documents/?uuid=b1fa4c32-7e27-4ae5-ad3f-9421d31e1d7d"]},{"id":"ITEM-3","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Research","id":"ITEM-3","issue":"5-6","issued":{"date-parts":[["2015"]]},"page":"397-426","title":"Gravity in the Brain as a Reference for Space and Time Perception","type":"article-journal","volume":"28"},"uris":["http://www.mendeley.com/documents/?uuid=64d787e5-c03e-40b0-b0a3-864ca634a9c4"]}],"mendeley":{"formattedCitation":"(Jokisch &amp; Troje, 2003; Lacquaniti et al., 2015; Vallortigara &amp; Regolin, 2007)","plainTextFormattedCitation":"(Jokisch &amp; Troje, 2003; Lacquaniti et al., 2015; Vallortigara &amp; Regolin, 2007)","previouslyFormattedCitation":"(Jokisch &amp; Troje, 2003; Lacquaniti et al., 2015; Vallortigara &amp; Regolin, 2007)"},"properties":{"noteIndex":0},"schema":"https://github.com/citation-style-language/schema/raw/master/csl-citation.json"}</w:instrText>
      </w:r>
      <w:r>
        <w:fldChar w:fldCharType="separate"/>
      </w:r>
      <w:r w:rsidRPr="00F83CC5">
        <w:rPr>
          <w:noProof/>
        </w:rPr>
        <w:t>(Jokisch &amp; Troje, 2003; Lacquaniti et al., 2015; Vallortigara &amp; Regolin, 2007)</w:t>
      </w:r>
      <w:r>
        <w:fldChar w:fldCharType="end"/>
      </w:r>
      <w:r>
        <w:t xml:space="preserve">. However, this process might compensate </w:t>
      </w:r>
      <w:r w:rsidR="00A367D0">
        <w:t xml:space="preserve">only </w:t>
      </w:r>
      <w:r>
        <w:t>partially for misperceptions in depth.</w:t>
      </w:r>
      <w:r w:rsidR="00A367D0">
        <w:t xml:space="preserve"> To test this hypothesis, we use regular Linear Mixed Modelling to fit the same test models as for the exploratory precision analyses above: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29E0866A" w14:textId="77777777" w:rsidTr="00797B60">
        <w:trPr>
          <w:trHeight w:val="376"/>
        </w:trPr>
        <w:tc>
          <w:tcPr>
            <w:tcW w:w="8314" w:type="dxa"/>
            <w:shd w:val="clear" w:color="auto" w:fill="FFFFFF" w:themeFill="background1"/>
            <w:vAlign w:val="center"/>
          </w:tcPr>
          <w:p w14:paraId="22FFF03C" w14:textId="77777777" w:rsidR="00A367D0" w:rsidRPr="009D32B4" w:rsidRDefault="00A367D0"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FAFE492" w14:textId="77777777" w:rsidR="00A367D0" w:rsidRPr="00277A48" w:rsidRDefault="00A367D0" w:rsidP="00797B60">
            <w:pPr>
              <w:pStyle w:val="MaterialsandMethodsText"/>
            </w:pPr>
            <w:r w:rsidRPr="00277A48">
              <w:t>[</w:t>
            </w:r>
            <w:r>
              <w:t>20</w:t>
            </w:r>
            <w:r w:rsidRPr="00277A48">
              <w:t>]</w:t>
            </w:r>
          </w:p>
        </w:tc>
      </w:tr>
      <w:tr w:rsidR="00A367D0" w:rsidRPr="00277A48" w14:paraId="256D5833" w14:textId="77777777" w:rsidTr="00797B60">
        <w:trPr>
          <w:trHeight w:val="376"/>
        </w:trPr>
        <w:tc>
          <w:tcPr>
            <w:tcW w:w="8314" w:type="dxa"/>
            <w:shd w:val="clear" w:color="auto" w:fill="FFFFFF" w:themeFill="background1"/>
            <w:vAlign w:val="center"/>
          </w:tcPr>
          <w:p w14:paraId="14411D8F" w14:textId="4E4095CD" w:rsidR="00A367D0" w:rsidRDefault="00A367D0" w:rsidP="00A367D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117B451" w14:textId="1EBFB4D0" w:rsidR="00A367D0" w:rsidRPr="00277A48" w:rsidRDefault="00A367D0" w:rsidP="00A367D0">
            <w:pPr>
              <w:pStyle w:val="MaterialsandMethodsText"/>
            </w:pPr>
            <w:r w:rsidRPr="00277A48">
              <w:t>[</w:t>
            </w:r>
            <w:r>
              <w:t>20</w:t>
            </w:r>
            <w:r w:rsidRPr="00277A48">
              <w:t>]</w:t>
            </w:r>
          </w:p>
        </w:tc>
      </w:tr>
    </w:tbl>
    <w:p w14:paraId="58FABA87" w14:textId="69D94359" w:rsidR="00422259" w:rsidRPr="000F2606" w:rsidRDefault="00A367D0" w:rsidP="000F2606">
      <w:r>
        <w:t>And compare them again Null models without Ball Type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7EFAE8D6" w14:textId="77777777" w:rsidTr="00797B60">
        <w:trPr>
          <w:trHeight w:val="376"/>
        </w:trPr>
        <w:tc>
          <w:tcPr>
            <w:tcW w:w="8314" w:type="dxa"/>
            <w:shd w:val="clear" w:color="auto" w:fill="FFFFFF" w:themeFill="background1"/>
            <w:vAlign w:val="center"/>
          </w:tcPr>
          <w:p w14:paraId="648D8AA6" w14:textId="5911C22E" w:rsidR="00A367D0" w:rsidRPr="009D32B4" w:rsidRDefault="00A367D0"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50D0163" w14:textId="77777777" w:rsidR="00A367D0" w:rsidRPr="00277A48" w:rsidRDefault="00A367D0" w:rsidP="00797B60">
            <w:pPr>
              <w:pStyle w:val="MaterialsandMethodsText"/>
            </w:pPr>
            <w:r w:rsidRPr="00277A48">
              <w:t>[</w:t>
            </w:r>
            <w:r>
              <w:t>20</w:t>
            </w:r>
            <w:r w:rsidRPr="00277A48">
              <w:t>]</w:t>
            </w:r>
          </w:p>
        </w:tc>
      </w:tr>
      <w:tr w:rsidR="00A367D0" w:rsidRPr="00277A48" w14:paraId="79CECA1C" w14:textId="77777777" w:rsidTr="00797B60">
        <w:trPr>
          <w:trHeight w:val="376"/>
        </w:trPr>
        <w:tc>
          <w:tcPr>
            <w:tcW w:w="8314" w:type="dxa"/>
            <w:shd w:val="clear" w:color="auto" w:fill="FFFFFF" w:themeFill="background1"/>
            <w:vAlign w:val="center"/>
          </w:tcPr>
          <w:p w14:paraId="7AC34A95" w14:textId="19533508" w:rsidR="00A367D0" w:rsidRDefault="00A367D0"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1112540" w14:textId="77777777" w:rsidR="00A367D0" w:rsidRPr="00277A48" w:rsidRDefault="00A367D0" w:rsidP="00797B60">
            <w:pPr>
              <w:pStyle w:val="MaterialsandMethodsText"/>
            </w:pPr>
            <w:r w:rsidRPr="00277A48">
              <w:t>[</w:t>
            </w:r>
            <w:r>
              <w:t>20</w:t>
            </w:r>
            <w:r w:rsidRPr="00277A48">
              <w:t>]</w:t>
            </w:r>
          </w:p>
        </w:tc>
      </w:tr>
    </w:tbl>
    <w:p w14:paraId="14F95EF1" w14:textId="5BDC8A69" w:rsidR="00325883" w:rsidRDefault="009754A8" w:rsidP="003F4A3B">
      <w:pPr>
        <w:jc w:val="both"/>
      </w:pPr>
      <w:r>
        <w:t xml:space="preserve">We tested the Test Models against the Null Models with a Likelihood Ratio Test and found the variable “Ball Type” did not improve the model fit significantly, </w:t>
      </w:r>
      <w:r w:rsidR="00122D16">
        <w:t>nor</w:t>
      </w:r>
      <w:r>
        <w:t xml:space="preserve"> for the temporal task (p = 0.88) and </w:t>
      </w:r>
      <w:r w:rsidR="00122D16">
        <w:t xml:space="preserve">nor for </w:t>
      </w:r>
      <w:r>
        <w:t>the spatial task (p = 0.50).</w:t>
      </w:r>
    </w:p>
    <w:p w14:paraId="7BCDE400" w14:textId="60944FA8" w:rsidR="005914F7" w:rsidRDefault="005914F7" w:rsidP="003F4A3B">
      <w:pPr>
        <w:jc w:val="both"/>
      </w:pPr>
      <w:r>
        <w:t>We thus conclude …</w:t>
      </w:r>
    </w:p>
    <w:p w14:paraId="16EA4308" w14:textId="77777777" w:rsidR="007E51E7" w:rsidRDefault="007E51E7" w:rsidP="007E51E7">
      <w:pPr>
        <w:keepNext/>
        <w:jc w:val="both"/>
      </w:pPr>
      <w:r>
        <w:rPr>
          <w:noProof/>
        </w:rPr>
        <w:lastRenderedPageBreak/>
        <w:drawing>
          <wp:inline distT="0" distB="0" distL="0" distR="0" wp14:anchorId="680AC591" wp14:editId="4BFCC7D8">
            <wp:extent cx="5934075" cy="2971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34C0CBEE" w14:textId="49AA4DF3" w:rsidR="00DA3054" w:rsidRDefault="007E51E7" w:rsidP="007E51E7">
      <w:pPr>
        <w:pStyle w:val="Caption"/>
        <w:jc w:val="both"/>
      </w:pPr>
      <w:bookmarkStart w:id="7" w:name="_Ref36175866"/>
      <w:r>
        <w:t xml:space="preserve">Figure </w:t>
      </w:r>
      <w:fldSimple w:instr=" SEQ Figure \* ARABIC ">
        <w:r>
          <w:rPr>
            <w:noProof/>
          </w:rPr>
          <w:t>5</w:t>
        </w:r>
      </w:fldSimple>
      <w:bookmarkEnd w:id="7"/>
      <w:r>
        <w:t>: Distribution of errors for trials where the ball was of tennis ball size (0.033 m) and where the ball was of basketball size (0.12 m). The dotted line represents an error ratio of 1, that is perfect accuracy. A. Timing errors. B. Spatial errors.</w:t>
      </w:r>
    </w:p>
    <w:p w14:paraId="111A4214" w14:textId="092ADD67" w:rsidR="00325883" w:rsidRDefault="00325883" w:rsidP="003F4A3B">
      <w:pPr>
        <w:jc w:val="both"/>
      </w:pPr>
    </w:p>
    <w:p w14:paraId="4C7C720A" w14:textId="34A0FBAD" w:rsidR="00CD05C5" w:rsidRDefault="00CD05C5" w:rsidP="0093283D">
      <w:pPr>
        <w:pStyle w:val="Heading3"/>
      </w:pPr>
      <w:r>
        <w:t>Is there a lawful relation between biases and variability?</w:t>
      </w:r>
    </w:p>
    <w:p w14:paraId="1EE3EA9A" w14:textId="662B8A84" w:rsidR="00CD05C5" w:rsidRDefault="00CD05C5" w:rsidP="003F4A3B">
      <w:pPr>
        <w:jc w:val="both"/>
      </w:pPr>
      <w:r>
        <w:t xml:space="preserve">It has recently been argued that there is a lawful, linear relationship between perceptual biases and perceptual precision </w:t>
      </w:r>
      <w:r>
        <w:fldChar w:fldCharType="begin" w:fldLock="1"/>
      </w:r>
      <w:r w:rsidR="00143A8E">
        <w:instrText>ADDIN CSL_CITATION {"citationItems":[{"id":"ITEM-1","itemData":{"DOI":"10.1073/pnas.1619153114","ISBN":"1619153114","ISSN":"10916490","abstract":"Perception of a stimulus can be characterized by two fundamental psychophysical measures: how well the stimulus can be discriminated from similar ones (discrimination threshold) and how strongly the perceived stimulus value deviates on average from the true stimulus value (perceptual bias). We demonstrate that perceptual bias and discriminability, as functions of the stimulus value, follow a surprisingly simple mathematical relation. The relation, which is derived from a theory combining optimal encoding and decoding, is well supported by a wide range of reported psychophysical data including perceptual changes induced by contextual modulation. The large empirical support indicates that the proposed relation may represent a psychophysical law in human perception. Our results imply that the computational processes of sensory encoding and perceptual decoding are matched and optimized based on identical assumptions about the statistical structure of the sensory environment.","author":[{"dropping-particle":"","family":"Wei","given":"Xue Xin","non-dropping-particle":"","parse-names":false,"suffix":""},{"dropping-particle":"","family":"Stocker","given":"Alan A.","non-dropping-particle":"","parse-names":false,"suffix":""}],"container-title":"Proceedings of the National Academy of Sciences of the United States of America","id":"ITEM-1","issue":"38","issued":{"date-parts":[["2017"]]},"page":"10244-10249","title":"Lawful relation between perceptual bias and discriminability","type":"article-journal","volume":"114"},"uris":["http://www.mendeley.com/documents/?uuid=c38a8029-633a-4cd5-93fa-50cc026b6bfd"]}],"mendeley":{"formattedCitation":"(Wei &amp; Stocker, 2017)","plainTextFormattedCitation":"(Wei &amp; Stocker, 2017)","previouslyFormattedCitation":"(Wei &amp; Stocker, 2017)"},"properties":{"noteIndex":0},"schema":"https://github.com/citation-style-language/schema/raw/master/csl-citation.json"}</w:instrText>
      </w:r>
      <w:r>
        <w:fldChar w:fldCharType="separate"/>
      </w:r>
      <w:r w:rsidRPr="00CD05C5">
        <w:rPr>
          <w:noProof/>
        </w:rPr>
        <w:t>(Wei &amp; Stocker, 2017)</w:t>
      </w:r>
      <w:r>
        <w:fldChar w:fldCharType="end"/>
      </w:r>
      <w:r>
        <w:t>.</w:t>
      </w:r>
      <w:r w:rsidR="0091260F">
        <w:t xml:space="preserve"> While the authors have proposed this link for lower level perceptual processes, as employed in</w:t>
      </w:r>
      <w:r w:rsidR="0093283D">
        <w:t xml:space="preserve"> simple</w:t>
      </w:r>
      <w:r w:rsidR="0091260F">
        <w:t xml:space="preserve"> discrimination tasks, it stands to reason that similar relationships could also </w:t>
      </w:r>
      <w:r w:rsidR="0093283D">
        <w:t xml:space="preserve">hold </w:t>
      </w:r>
      <w:r w:rsidR="0091260F">
        <w:t xml:space="preserve">for higher level processes. </w:t>
      </w:r>
      <w:r w:rsidR="00122D16">
        <w:t xml:space="preserve">To test whether </w:t>
      </w:r>
      <w:r w:rsidR="0093283D">
        <w:t>our dataset supports this notion, we computed normalized standard deviations (“SD Ratio Timing” and “SD Ratio Distance”) for participant responses by computing the standard deviation per condition (horizontal velocity, time-to-contact, air drag condition, ball type and congruency condition) and participant. We then normalized the standard deviations by dividing them by the</w:t>
      </w:r>
      <w:r w:rsidR="009B702B">
        <w:t xml:space="preserve"> mean</w:t>
      </w:r>
      <w:r w:rsidR="0093283D">
        <w:t xml:space="preserve"> Occluded Time</w:t>
      </w:r>
      <w:r w:rsidR="009B702B">
        <w:t xml:space="preserve"> or the Occluded Distance</w:t>
      </w:r>
      <w:r w:rsidR="00864A40">
        <w:t>, respectively,</w:t>
      </w:r>
      <w:r w:rsidR="009B702B">
        <w:t xml:space="preserve"> in the condition combination</w:t>
      </w:r>
      <w:r w:rsidR="00864A40">
        <w:t xml:space="preserve"> over which the standard deviation was computed</w:t>
      </w:r>
      <w:r w:rsidR="0093283D">
        <w:t xml:space="preserve">. To test statistically whether there is a relationship between biases and variability, we used </w:t>
      </w:r>
      <w:r w:rsidR="00864A40">
        <w:t>Linear Modelling. We fitted a simple model with the normalized standard deviations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2BAD" w:rsidRPr="00277A48" w14:paraId="2734EC89" w14:textId="77777777" w:rsidTr="00797B60">
        <w:trPr>
          <w:trHeight w:val="376"/>
        </w:trPr>
        <w:tc>
          <w:tcPr>
            <w:tcW w:w="8314" w:type="dxa"/>
            <w:shd w:val="clear" w:color="auto" w:fill="FFFFFF" w:themeFill="background1"/>
            <w:vAlign w:val="center"/>
          </w:tcPr>
          <w:p w14:paraId="4A2EFFA1" w14:textId="738098A8" w:rsidR="00F32BAD" w:rsidRPr="009D32B4" w:rsidRDefault="00F32BAD"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oMath>
            </m:oMathPara>
          </w:p>
        </w:tc>
        <w:tc>
          <w:tcPr>
            <w:tcW w:w="783" w:type="dxa"/>
            <w:shd w:val="clear" w:color="auto" w:fill="FFFFFF" w:themeFill="background1"/>
            <w:vAlign w:val="center"/>
          </w:tcPr>
          <w:p w14:paraId="0811A007" w14:textId="77777777" w:rsidR="00F32BAD" w:rsidRPr="00277A48" w:rsidRDefault="00F32BAD" w:rsidP="00797B60">
            <w:pPr>
              <w:pStyle w:val="MaterialsandMethodsText"/>
            </w:pPr>
            <w:r w:rsidRPr="00277A48">
              <w:t>[</w:t>
            </w:r>
            <w:r>
              <w:t>20</w:t>
            </w:r>
            <w:r w:rsidRPr="00277A48">
              <w:t>]</w:t>
            </w:r>
          </w:p>
        </w:tc>
      </w:tr>
      <w:tr w:rsidR="00F32BAD" w:rsidRPr="00277A48" w14:paraId="7020D58F" w14:textId="77777777" w:rsidTr="00797B60">
        <w:trPr>
          <w:trHeight w:val="376"/>
        </w:trPr>
        <w:tc>
          <w:tcPr>
            <w:tcW w:w="8314" w:type="dxa"/>
            <w:shd w:val="clear" w:color="auto" w:fill="FFFFFF" w:themeFill="background1"/>
            <w:vAlign w:val="center"/>
          </w:tcPr>
          <w:p w14:paraId="3462FBE4" w14:textId="2D9D5E23" w:rsidR="00F32BAD" w:rsidRDefault="00F32BAD"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oMath>
            </m:oMathPara>
          </w:p>
        </w:tc>
        <w:tc>
          <w:tcPr>
            <w:tcW w:w="783" w:type="dxa"/>
            <w:shd w:val="clear" w:color="auto" w:fill="FFFFFF" w:themeFill="background1"/>
            <w:vAlign w:val="center"/>
          </w:tcPr>
          <w:p w14:paraId="5466358A" w14:textId="77777777" w:rsidR="00F32BAD" w:rsidRPr="00277A48" w:rsidRDefault="00F32BAD" w:rsidP="00797B60">
            <w:pPr>
              <w:pStyle w:val="MaterialsandMethodsText"/>
            </w:pPr>
            <w:r w:rsidRPr="00277A48">
              <w:t>[</w:t>
            </w:r>
            <w:r>
              <w:t>20</w:t>
            </w:r>
            <w:r w:rsidRPr="00277A48">
              <w:t>]</w:t>
            </w:r>
          </w:p>
        </w:tc>
      </w:tr>
    </w:tbl>
    <w:p w14:paraId="6CCA216A" w14:textId="4FEEFA87" w:rsidR="00325883" w:rsidRDefault="00F32BAD" w:rsidP="003F4A3B">
      <w:pPr>
        <w:jc w:val="both"/>
      </w:pPr>
      <w:r>
        <w:t xml:space="preserve">For both the timing task and the spatial task, the respective normalized standard deviations explained a significant amount of variability in responses. For the timing errors, the regression coefficient for SD Ratio Timing was </w:t>
      </w:r>
      <w:r w:rsidR="00E30D08">
        <w:t>2.02</w:t>
      </w:r>
      <w:r>
        <w:t>s (</w:t>
      </w:r>
      <w:r w:rsidR="00E30D08">
        <w:t xml:space="preserve">SE = 0.06 s; </w:t>
      </w:r>
      <w:r>
        <w:t>p </w:t>
      </w:r>
      <w:r>
        <w:rPr>
          <w:lang w:val="en-CA"/>
        </w:rPr>
        <w:t>&lt;</w:t>
      </w:r>
      <w:r>
        <w:t> 2*10^16)</w:t>
      </w:r>
      <w:r w:rsidR="00E30D08">
        <w:t>.</w:t>
      </w:r>
      <w:r>
        <w:t xml:space="preserve"> </w:t>
      </w:r>
      <w:r w:rsidR="00E30D08">
        <w:t xml:space="preserve">For </w:t>
      </w:r>
      <w:r>
        <w:t xml:space="preserve">the spatial errors, the regression coefficient for SD Ratio Distance was </w:t>
      </w:r>
      <w:r w:rsidR="001A5466">
        <w:t>1.947</w:t>
      </w:r>
      <w:r w:rsidR="00E30D08">
        <w:t> m (SE = 0.</w:t>
      </w:r>
      <w:r w:rsidR="001A5466">
        <w:t>1</w:t>
      </w:r>
      <w:r w:rsidR="00E30D08">
        <w:t xml:space="preserve"> m; </w:t>
      </w:r>
      <w:r w:rsidR="000B5F57">
        <w:t>p </w:t>
      </w:r>
      <w:r w:rsidR="000B5F57">
        <w:rPr>
          <w:lang w:val="en-CA"/>
        </w:rPr>
        <w:t>&lt;</w:t>
      </w:r>
      <w:r w:rsidR="000B5F57">
        <w:t> 2*10^16</w:t>
      </w:r>
      <w:r w:rsidR="00593887">
        <w:t>)</w:t>
      </w:r>
      <w:r w:rsidR="00E30D08">
        <w:t>.</w:t>
      </w:r>
      <w:r w:rsidR="00622426">
        <w:t xml:space="preserve"> Note that these models do not distinguish between within-subject and between-subject variability.</w:t>
      </w:r>
      <w:r w:rsidR="00E30D08">
        <w:t xml:space="preserve"> </w:t>
      </w:r>
      <w:r w:rsidR="00622426">
        <w:t xml:space="preserve">To determine whether this overall relationship was driven by within- or between-.subject effects, we first established Linear Mixed Models with the normalized standard deviations (“SD Ratio Timing” and “SD Ratio Distance”) as continuous fixed effects and </w:t>
      </w:r>
      <w:r w:rsidR="00FC0059">
        <w:t xml:space="preserve">variable </w:t>
      </w:r>
      <w:r w:rsidR="00FC0059">
        <w:lastRenderedPageBreak/>
        <w:t xml:space="preserve">intercepts per </w:t>
      </w:r>
      <w:r w:rsidR="00622426">
        <w:t>participants as random effects</w:t>
      </w:r>
      <w:r w:rsidR="00006E70">
        <w:t>, with the goal</w:t>
      </w:r>
      <w:r w:rsidR="000971C8">
        <w:t xml:space="preserve"> </w:t>
      </w:r>
      <w:r w:rsidR="00006E70">
        <w:t xml:space="preserve">of </w:t>
      </w:r>
      <w:r w:rsidR="000971C8">
        <w:t>test</w:t>
      </w:r>
      <w:r w:rsidR="00006E70">
        <w:t>ing</w:t>
      </w:r>
      <w:r w:rsidR="000971C8">
        <w:t xml:space="preserve"> whether </w:t>
      </w:r>
      <w:r w:rsidR="00006E70">
        <w:t>variability was significantly related to bias within-subjects.</w:t>
      </w:r>
      <w:r w:rsidR="00622426">
        <w:t xml:space="preserve"> We specified the models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622426" w:rsidRPr="00277A48" w14:paraId="228EA1FA" w14:textId="77777777" w:rsidTr="00797B60">
        <w:trPr>
          <w:trHeight w:val="376"/>
        </w:trPr>
        <w:tc>
          <w:tcPr>
            <w:tcW w:w="8314" w:type="dxa"/>
            <w:shd w:val="clear" w:color="auto" w:fill="FFFFFF" w:themeFill="background1"/>
            <w:vAlign w:val="center"/>
          </w:tcPr>
          <w:p w14:paraId="05614FC0" w14:textId="37CBFC60" w:rsidR="00622426" w:rsidRPr="009D32B4" w:rsidRDefault="00622426"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r>
                  <w:rPr>
                    <w:rFonts w:ascii="Cambria Math" w:hAnsi="Cambria Math"/>
                  </w:rPr>
                  <m:t xml:space="preserve"> </m:t>
                </m:r>
              </m:oMath>
            </m:oMathPara>
          </w:p>
        </w:tc>
        <w:tc>
          <w:tcPr>
            <w:tcW w:w="783" w:type="dxa"/>
            <w:shd w:val="clear" w:color="auto" w:fill="FFFFFF" w:themeFill="background1"/>
            <w:vAlign w:val="center"/>
          </w:tcPr>
          <w:p w14:paraId="013D2A5B" w14:textId="77777777" w:rsidR="00622426" w:rsidRPr="00277A48" w:rsidRDefault="00622426" w:rsidP="00797B60">
            <w:pPr>
              <w:pStyle w:val="MaterialsandMethodsText"/>
            </w:pPr>
            <w:r w:rsidRPr="00277A48">
              <w:t>[</w:t>
            </w:r>
            <w:r>
              <w:t>20</w:t>
            </w:r>
            <w:r w:rsidRPr="00277A48">
              <w:t>]</w:t>
            </w:r>
          </w:p>
        </w:tc>
      </w:tr>
      <w:tr w:rsidR="00622426" w:rsidRPr="00277A48" w14:paraId="3054F403" w14:textId="77777777" w:rsidTr="00797B60">
        <w:trPr>
          <w:trHeight w:val="376"/>
        </w:trPr>
        <w:tc>
          <w:tcPr>
            <w:tcW w:w="8314" w:type="dxa"/>
            <w:shd w:val="clear" w:color="auto" w:fill="FFFFFF" w:themeFill="background1"/>
            <w:vAlign w:val="center"/>
          </w:tcPr>
          <w:p w14:paraId="54E8C126" w14:textId="697D996B" w:rsidR="00622426" w:rsidRDefault="00622426"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r>
                  <w:rPr>
                    <w:rFonts w:ascii="Cambria Math" w:eastAsia="Calibri" w:hAnsi="Cambria Math"/>
                  </w:rPr>
                  <m:t xml:space="preserve"> </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0469F2B" w14:textId="77777777" w:rsidR="00622426" w:rsidRPr="00277A48" w:rsidRDefault="00622426" w:rsidP="00797B60">
            <w:pPr>
              <w:pStyle w:val="MaterialsandMethodsText"/>
            </w:pPr>
            <w:r w:rsidRPr="00277A48">
              <w:t>[</w:t>
            </w:r>
            <w:r>
              <w:t>20</w:t>
            </w:r>
            <w:r w:rsidRPr="00277A48">
              <w:t>]</w:t>
            </w:r>
          </w:p>
        </w:tc>
      </w:tr>
    </w:tbl>
    <w:p w14:paraId="7E270A32" w14:textId="05E64354" w:rsidR="00325883" w:rsidRDefault="00BF42C5" w:rsidP="003F4A3B">
      <w:pPr>
        <w:jc w:val="both"/>
      </w:pPr>
      <w:r>
        <w:t>We then compared these Test Models to the following Null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F42C5" w:rsidRPr="00277A48" w14:paraId="3E6F5DD1" w14:textId="77777777" w:rsidTr="00797B60">
        <w:trPr>
          <w:trHeight w:val="376"/>
        </w:trPr>
        <w:tc>
          <w:tcPr>
            <w:tcW w:w="8314" w:type="dxa"/>
            <w:shd w:val="clear" w:color="auto" w:fill="FFFFFF" w:themeFill="background1"/>
            <w:vAlign w:val="center"/>
          </w:tcPr>
          <w:p w14:paraId="4536CC97" w14:textId="24AADDB7" w:rsidR="00BF42C5" w:rsidRPr="009D32B4" w:rsidRDefault="00BF42C5"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r>
                  <w:rPr>
                    <w:rFonts w:ascii="Cambria Math" w:hAnsi="Cambria Math"/>
                  </w:rPr>
                  <m:t xml:space="preserve"> </m:t>
                </m:r>
              </m:oMath>
            </m:oMathPara>
          </w:p>
        </w:tc>
        <w:tc>
          <w:tcPr>
            <w:tcW w:w="783" w:type="dxa"/>
            <w:shd w:val="clear" w:color="auto" w:fill="FFFFFF" w:themeFill="background1"/>
            <w:vAlign w:val="center"/>
          </w:tcPr>
          <w:p w14:paraId="6253A860" w14:textId="77777777" w:rsidR="00BF42C5" w:rsidRPr="00277A48" w:rsidRDefault="00BF42C5" w:rsidP="00797B60">
            <w:pPr>
              <w:pStyle w:val="MaterialsandMethodsText"/>
            </w:pPr>
            <w:r w:rsidRPr="00277A48">
              <w:t>[</w:t>
            </w:r>
            <w:r>
              <w:t>20</w:t>
            </w:r>
            <w:r w:rsidRPr="00277A48">
              <w:t>]</w:t>
            </w:r>
          </w:p>
        </w:tc>
      </w:tr>
      <w:tr w:rsidR="00BF42C5" w:rsidRPr="00277A48" w14:paraId="03BA7F1B" w14:textId="77777777" w:rsidTr="00797B60">
        <w:trPr>
          <w:trHeight w:val="376"/>
        </w:trPr>
        <w:tc>
          <w:tcPr>
            <w:tcW w:w="8314" w:type="dxa"/>
            <w:shd w:val="clear" w:color="auto" w:fill="FFFFFF" w:themeFill="background1"/>
            <w:vAlign w:val="center"/>
          </w:tcPr>
          <w:p w14:paraId="516EE6D4" w14:textId="4A088414" w:rsidR="00BF42C5" w:rsidRDefault="00BF42C5"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69A2CEE" w14:textId="77777777" w:rsidR="00BF42C5" w:rsidRPr="00277A48" w:rsidRDefault="00BF42C5" w:rsidP="00797B60">
            <w:pPr>
              <w:pStyle w:val="MaterialsandMethodsText"/>
            </w:pPr>
            <w:r w:rsidRPr="00277A48">
              <w:t>[</w:t>
            </w:r>
            <w:r>
              <w:t>20</w:t>
            </w:r>
            <w:r w:rsidRPr="00277A48">
              <w:t>]</w:t>
            </w:r>
          </w:p>
        </w:tc>
      </w:tr>
    </w:tbl>
    <w:p w14:paraId="4E5589D5" w14:textId="627B8F52" w:rsidR="00325883" w:rsidRDefault="000971C8" w:rsidP="003F4A3B">
      <w:pPr>
        <w:jc w:val="both"/>
      </w:pPr>
      <w:r>
        <w:t>We found both Test Models to be significantly better than the Null Models. For the timing task, we found a regression coefficient for SD Ratio Timing of 0.088 s (SE = 0.038 s; p = 0.021). For the spatial task, we found a regression coefficient for SD Ratio Distance of 0.57 m (SE = 0.052; p </w:t>
      </w:r>
      <w:r>
        <w:rPr>
          <w:lang w:val="en-CA"/>
        </w:rPr>
        <w:t>&lt;</w:t>
      </w:r>
      <w:r>
        <w:t> 2*10^16).</w:t>
      </w:r>
    </w:p>
    <w:p w14:paraId="393616C7" w14:textId="7FD47939" w:rsidR="000971C8" w:rsidRDefault="000971C8" w:rsidP="003F4A3B">
      <w:pPr>
        <w:jc w:val="both"/>
      </w:pPr>
      <w:r>
        <w:t xml:space="preserve">We </w:t>
      </w:r>
      <w:r w:rsidR="004609FC">
        <w:t xml:space="preserve">tried to </w:t>
      </w:r>
      <w:r>
        <w:t xml:space="preserve">repeat this test with the same fixed effects, but condition combination as random effects, to assess whether </w:t>
      </w:r>
      <w:r w:rsidR="00006E70">
        <w:t>participants who displayed higher variability also displayed a stronger bias.</w:t>
      </w:r>
      <w:r w:rsidR="004A71E1">
        <w:t xml:space="preserve"> “Condition” refers here to a categorical variably where each level corresponds to one of combinations of two initial horizontal velocities, two ball sizes, two congruency conditions, presence or absence of </w:t>
      </w:r>
      <w:proofErr w:type="spellStart"/>
      <w:r w:rsidR="004A71E1">
        <w:t>airdrag</w:t>
      </w:r>
      <w:proofErr w:type="spellEnd"/>
      <w:r w:rsidR="004A71E1">
        <w:t xml:space="preserve"> and three times-to-contact), making for a total number of 48 levels. </w:t>
      </w:r>
      <w:r w:rsidR="00C76404">
        <w:t>We thus specified two Linear Mixed Test Models with SD Ratio Timing and SD Ratio Distance as fixed effects and variable intercepts per Condition, respectively, and the corresponding Null Models without the fixed effects</w:t>
      </w:r>
      <w:r w:rsidR="00FC367F">
        <w:t>. We could, however, not proceed to a comparison between Test and Null Models because the random intercepts per Condition were not sufficiently different, which resulted in a singular fit. That is, the model basically omitted the random effect and estimated a regular Linear Model instead, thus not allowing us to assess the impact between-subject variability separately. We thus employed Bayesian Linear Mixed Modelling to test this hypothesis. We fit the following models: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A71E1" w:rsidRPr="00277A48" w14:paraId="1F1C9600" w14:textId="77777777" w:rsidTr="00797B60">
        <w:trPr>
          <w:trHeight w:val="376"/>
        </w:trPr>
        <w:tc>
          <w:tcPr>
            <w:tcW w:w="8314" w:type="dxa"/>
            <w:shd w:val="clear" w:color="auto" w:fill="FFFFFF" w:themeFill="background1"/>
            <w:vAlign w:val="center"/>
          </w:tcPr>
          <w:p w14:paraId="3E286793" w14:textId="489862D6" w:rsidR="004A71E1" w:rsidRPr="009D32B4" w:rsidRDefault="004A71E1" w:rsidP="00797B60">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SD Ratio Timing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Condition)</m:t>
                </m:r>
                <m:r>
                  <w:rPr>
                    <w:rFonts w:ascii="Cambria Math" w:hAnsi="Cambria Math"/>
                  </w:rPr>
                  <m:t xml:space="preserve"> </m:t>
                </m:r>
              </m:oMath>
            </m:oMathPara>
          </w:p>
        </w:tc>
        <w:tc>
          <w:tcPr>
            <w:tcW w:w="783" w:type="dxa"/>
            <w:shd w:val="clear" w:color="auto" w:fill="FFFFFF" w:themeFill="background1"/>
            <w:vAlign w:val="center"/>
          </w:tcPr>
          <w:p w14:paraId="2F1A4D84" w14:textId="77777777" w:rsidR="004A71E1" w:rsidRPr="00277A48" w:rsidRDefault="004A71E1" w:rsidP="00797B60">
            <w:pPr>
              <w:pStyle w:val="MaterialsandMethodsText"/>
            </w:pPr>
            <w:r w:rsidRPr="00277A48">
              <w:t>[</w:t>
            </w:r>
            <w:r>
              <w:t>20</w:t>
            </w:r>
            <w:r w:rsidRPr="00277A48">
              <w:t>]</w:t>
            </w:r>
          </w:p>
        </w:tc>
      </w:tr>
      <w:tr w:rsidR="004A71E1" w:rsidRPr="00277A48" w14:paraId="10E7CC97" w14:textId="77777777" w:rsidTr="00797B60">
        <w:trPr>
          <w:trHeight w:val="376"/>
        </w:trPr>
        <w:tc>
          <w:tcPr>
            <w:tcW w:w="8314" w:type="dxa"/>
            <w:shd w:val="clear" w:color="auto" w:fill="FFFFFF" w:themeFill="background1"/>
            <w:vAlign w:val="center"/>
          </w:tcPr>
          <w:p w14:paraId="26B337B2" w14:textId="496BB45A" w:rsidR="004A71E1" w:rsidRDefault="004A71E1" w:rsidP="00797B6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SD Ratio Distance</m:t>
                </m:r>
                <m:r>
                  <w:rPr>
                    <w:rFonts w:ascii="Cambria Math" w:eastAsia="Calibri" w:hAnsi="Cambria Math"/>
                  </w:rPr>
                  <m:t xml:space="preserve"> </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Condition)</m:t>
                </m:r>
              </m:oMath>
            </m:oMathPara>
          </w:p>
        </w:tc>
        <w:tc>
          <w:tcPr>
            <w:tcW w:w="783" w:type="dxa"/>
            <w:shd w:val="clear" w:color="auto" w:fill="FFFFFF" w:themeFill="background1"/>
            <w:vAlign w:val="center"/>
          </w:tcPr>
          <w:p w14:paraId="446C7C42" w14:textId="77777777" w:rsidR="004A71E1" w:rsidRPr="00277A48" w:rsidRDefault="004A71E1" w:rsidP="00797B60">
            <w:pPr>
              <w:pStyle w:val="MaterialsandMethodsText"/>
            </w:pPr>
            <w:r w:rsidRPr="00277A48">
              <w:t>[</w:t>
            </w:r>
            <w:r>
              <w:t>20</w:t>
            </w:r>
            <w:r w:rsidRPr="00277A48">
              <w:t>]</w:t>
            </w:r>
          </w:p>
        </w:tc>
      </w:tr>
    </w:tbl>
    <w:p w14:paraId="318F281B" w14:textId="22500512" w:rsidR="004A71E1" w:rsidRDefault="00FC367F" w:rsidP="003F4A3B">
      <w:pPr>
        <w:jc w:val="both"/>
      </w:pPr>
      <w:r>
        <w:t xml:space="preserve">Using the </w:t>
      </w:r>
      <w:proofErr w:type="gramStart"/>
      <w:r>
        <w:t>hypothesis(</w:t>
      </w:r>
      <w:proofErr w:type="gramEnd"/>
      <w:r>
        <w:t>) function, we tested whether the fixed effects had positive regression coefficient</w:t>
      </w:r>
      <w:r w:rsidR="00517E66">
        <w:t>s</w:t>
      </w:r>
      <w:r>
        <w:t>. For the timing condition, we found a</w:t>
      </w:r>
      <w:r w:rsidR="00517E66">
        <w:t xml:space="preserve"> regression coefficient of 2.11 s (SE = 0.07 s)</w:t>
      </w:r>
      <w:r w:rsidR="00FE4BE2">
        <w:t>, a</w:t>
      </w:r>
      <w:r>
        <w:t xml:space="preserve"> Posterior Probability of 1 and the corresponding infinite Evidence Ratio.</w:t>
      </w:r>
      <w:r w:rsidR="00517E66">
        <w:t xml:space="preserve"> </w:t>
      </w:r>
      <w:r w:rsidR="00FE4BE2">
        <w:t>For the spatial task, we found regression coefficient of 1.96 m (SE = 0.09 m), a Posterior Probability of 1 and the corresponding infinite Evidence Ratio.</w:t>
      </w:r>
    </w:p>
    <w:p w14:paraId="7F45E81B" w14:textId="574A2F7B" w:rsidR="00325883" w:rsidRDefault="00DB27C6" w:rsidP="003F4A3B">
      <w:pPr>
        <w:jc w:val="both"/>
      </w:pPr>
      <w:r>
        <w:t>We find thus compelling</w:t>
      </w:r>
      <w:r w:rsidR="00511B44">
        <w:t>, albeit exploratory,</w:t>
      </w:r>
      <w:r>
        <w:t xml:space="preserve"> evidence that both within-subject and between-subject variability in both the timing and the spatial task were linked to biases</w:t>
      </w:r>
      <w:r w:rsidR="00C31C34">
        <w:t xml:space="preserve">. </w:t>
      </w:r>
      <w:r w:rsidR="00C31C34">
        <w:fldChar w:fldCharType="begin"/>
      </w:r>
      <w:r w:rsidR="00C31C34">
        <w:instrText xml:space="preserve"> REF _Ref36169284 \h </w:instrText>
      </w:r>
      <w:r w:rsidR="00C31C34">
        <w:fldChar w:fldCharType="separate"/>
      </w:r>
      <w:r w:rsidR="00C31C34" w:rsidRPr="0030022A">
        <w:t xml:space="preserve">Figure </w:t>
      </w:r>
      <w:r w:rsidR="00C31C34" w:rsidRPr="0030022A">
        <w:rPr>
          <w:noProof/>
        </w:rPr>
        <w:t>1</w:t>
      </w:r>
      <w:r w:rsidR="00C31C34">
        <w:fldChar w:fldCharType="end"/>
      </w:r>
      <w:r w:rsidR="00C31C34">
        <w:t xml:space="preserve"> represents a graphical depiction of the relationship between response variability and response bias.</w:t>
      </w:r>
    </w:p>
    <w:p w14:paraId="7320BB3C" w14:textId="77777777" w:rsidR="0030022A" w:rsidRDefault="0030022A" w:rsidP="0030022A">
      <w:pPr>
        <w:keepNext/>
        <w:jc w:val="both"/>
      </w:pPr>
      <w:r>
        <w:rPr>
          <w:noProof/>
        </w:rPr>
        <w:lastRenderedPageBreak/>
        <w:drawing>
          <wp:inline distT="0" distB="0" distL="0" distR="0" wp14:anchorId="507EEA8F" wp14:editId="15C019D3">
            <wp:extent cx="5934075" cy="29670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934075" cy="2967037"/>
                    </a:xfrm>
                    <a:prstGeom prst="rect">
                      <a:avLst/>
                    </a:prstGeom>
                    <a:noFill/>
                    <a:ln>
                      <a:noFill/>
                    </a:ln>
                  </pic:spPr>
                </pic:pic>
              </a:graphicData>
            </a:graphic>
          </wp:inline>
        </w:drawing>
      </w:r>
    </w:p>
    <w:p w14:paraId="1FDDFC24" w14:textId="1807979C" w:rsidR="0030022A" w:rsidRPr="0030022A" w:rsidRDefault="0030022A" w:rsidP="0030022A">
      <w:pPr>
        <w:pStyle w:val="Caption"/>
        <w:jc w:val="both"/>
      </w:pPr>
      <w:bookmarkStart w:id="8" w:name="_Ref36169278"/>
      <w:bookmarkStart w:id="9" w:name="_Ref36169284"/>
      <w:r w:rsidRPr="0030022A">
        <w:t xml:space="preserve">Figure </w:t>
      </w:r>
      <w:r>
        <w:fldChar w:fldCharType="begin"/>
      </w:r>
      <w:r w:rsidRPr="0030022A">
        <w:instrText xml:space="preserve"> SEQ Figure \* ARABIC </w:instrText>
      </w:r>
      <w:r>
        <w:fldChar w:fldCharType="separate"/>
      </w:r>
      <w:r w:rsidR="007E51E7">
        <w:rPr>
          <w:noProof/>
        </w:rPr>
        <w:t>6</w:t>
      </w:r>
      <w:r>
        <w:fldChar w:fldCharType="end"/>
      </w:r>
      <w:bookmarkEnd w:id="9"/>
      <w:r w:rsidRPr="0030022A">
        <w:t>: Error Ratios</w:t>
      </w:r>
      <w:r>
        <w:t xml:space="preserve"> plotted against normalized standard deviations. Big dots denote the means per subject and smaller transparent dots denote the means per Condition combination. Participants are color-coded. A. Timing Task. B. Spatial Task.</w:t>
      </w:r>
      <w:bookmarkEnd w:id="8"/>
    </w:p>
    <w:p w14:paraId="5AE7B51B" w14:textId="061BAFCB" w:rsidR="00143A8E" w:rsidRPr="0030022A" w:rsidRDefault="00143A8E" w:rsidP="003F4A3B">
      <w:pPr>
        <w:jc w:val="both"/>
      </w:pPr>
    </w:p>
    <w:p w14:paraId="6F33B032" w14:textId="2CFB69DF" w:rsidR="00143A8E" w:rsidRPr="0030022A" w:rsidRDefault="00143A8E" w:rsidP="003F4A3B">
      <w:pPr>
        <w:jc w:val="both"/>
      </w:pPr>
    </w:p>
    <w:p w14:paraId="441965A8" w14:textId="24B81CF5" w:rsidR="00143A8E" w:rsidRPr="0030022A" w:rsidRDefault="00143A8E" w:rsidP="00143A8E">
      <w:pPr>
        <w:pStyle w:val="Heading2"/>
        <w:rPr>
          <w:lang w:val="es-ES"/>
        </w:rPr>
      </w:pPr>
      <w:proofErr w:type="spellStart"/>
      <w:r w:rsidRPr="0030022A">
        <w:rPr>
          <w:lang w:val="es-ES"/>
        </w:rPr>
        <w:t>References</w:t>
      </w:r>
      <w:proofErr w:type="spellEnd"/>
    </w:p>
    <w:p w14:paraId="0B118C0E" w14:textId="5175F878" w:rsidR="00797B60" w:rsidRPr="00797B60" w:rsidRDefault="00143A8E" w:rsidP="00797B60">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797B60" w:rsidRPr="00797B60">
        <w:rPr>
          <w:rFonts w:ascii="Calibri" w:hAnsi="Calibri" w:cs="Calibri"/>
          <w:noProof/>
          <w:szCs w:val="24"/>
        </w:rPr>
        <w:t xml:space="preserve">Adams, W. J., Graf, E. W., &amp; Ernst, M. O. (2004). Experience can change the “light-from-above” prior. </w:t>
      </w:r>
      <w:r w:rsidR="00797B60" w:rsidRPr="00797B60">
        <w:rPr>
          <w:rFonts w:ascii="Calibri" w:hAnsi="Calibri" w:cs="Calibri"/>
          <w:i/>
          <w:iCs/>
          <w:noProof/>
          <w:szCs w:val="24"/>
        </w:rPr>
        <w:t>Nature Neuroscience</w:t>
      </w:r>
      <w:r w:rsidR="00797B60" w:rsidRPr="00797B60">
        <w:rPr>
          <w:rFonts w:ascii="Calibri" w:hAnsi="Calibri" w:cs="Calibri"/>
          <w:noProof/>
          <w:szCs w:val="24"/>
        </w:rPr>
        <w:t xml:space="preserve">, </w:t>
      </w:r>
      <w:r w:rsidR="00797B60" w:rsidRPr="00797B60">
        <w:rPr>
          <w:rFonts w:ascii="Calibri" w:hAnsi="Calibri" w:cs="Calibri"/>
          <w:i/>
          <w:iCs/>
          <w:noProof/>
          <w:szCs w:val="24"/>
        </w:rPr>
        <w:t>7</w:t>
      </w:r>
      <w:r w:rsidR="00797B60" w:rsidRPr="00797B60">
        <w:rPr>
          <w:rFonts w:ascii="Calibri" w:hAnsi="Calibri" w:cs="Calibri"/>
          <w:noProof/>
          <w:szCs w:val="24"/>
        </w:rPr>
        <w:t>(10), 1057–1058. https://doi.org/10.1038/nn1312</w:t>
      </w:r>
    </w:p>
    <w:p w14:paraId="3B3698D4"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Bates, D., Mächler, M., Bolker, B. M., &amp; Walker, S. C. (2015). Fitting linear mixed-effects models using lme4. </w:t>
      </w:r>
      <w:r w:rsidRPr="00797B60">
        <w:rPr>
          <w:rFonts w:ascii="Calibri" w:hAnsi="Calibri" w:cs="Calibri"/>
          <w:i/>
          <w:iCs/>
          <w:noProof/>
          <w:szCs w:val="24"/>
        </w:rPr>
        <w:t>Journal of Statistical Software</w:t>
      </w:r>
      <w:r w:rsidRPr="00797B60">
        <w:rPr>
          <w:rFonts w:ascii="Calibri" w:hAnsi="Calibri" w:cs="Calibri"/>
          <w:noProof/>
          <w:szCs w:val="24"/>
        </w:rPr>
        <w:t xml:space="preserve">, </w:t>
      </w:r>
      <w:r w:rsidRPr="00797B60">
        <w:rPr>
          <w:rFonts w:ascii="Calibri" w:hAnsi="Calibri" w:cs="Calibri"/>
          <w:i/>
          <w:iCs/>
          <w:noProof/>
          <w:szCs w:val="24"/>
        </w:rPr>
        <w:t>67</w:t>
      </w:r>
      <w:r w:rsidRPr="00797B60">
        <w:rPr>
          <w:rFonts w:ascii="Calibri" w:hAnsi="Calibri" w:cs="Calibri"/>
          <w:noProof/>
          <w:szCs w:val="24"/>
        </w:rPr>
        <w:t>(1). https://doi.org/10.18637/jss.v067.i01</w:t>
      </w:r>
    </w:p>
    <w:p w14:paraId="3891C925"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Bosco, G., Delle Monache, S., Gravano, S., Indovina, I., La Scaleia, B., Maffei, V., … Lacquaniti, F. (2015). Filling gaps in visual motion for target capture. </w:t>
      </w:r>
      <w:r w:rsidRPr="00797B60">
        <w:rPr>
          <w:rFonts w:ascii="Calibri" w:hAnsi="Calibri" w:cs="Calibri"/>
          <w:i/>
          <w:iCs/>
          <w:noProof/>
          <w:szCs w:val="24"/>
        </w:rPr>
        <w:t>Frontiers in Integrative Neuroscience</w:t>
      </w:r>
      <w:r w:rsidRPr="00797B60">
        <w:rPr>
          <w:rFonts w:ascii="Calibri" w:hAnsi="Calibri" w:cs="Calibri"/>
          <w:noProof/>
          <w:szCs w:val="24"/>
        </w:rPr>
        <w:t xml:space="preserve">, </w:t>
      </w:r>
      <w:r w:rsidRPr="00797B60">
        <w:rPr>
          <w:rFonts w:ascii="Calibri" w:hAnsi="Calibri" w:cs="Calibri"/>
          <w:i/>
          <w:iCs/>
          <w:noProof/>
          <w:szCs w:val="24"/>
        </w:rPr>
        <w:t>9</w:t>
      </w:r>
      <w:r w:rsidRPr="00797B60">
        <w:rPr>
          <w:rFonts w:ascii="Calibri" w:hAnsi="Calibri" w:cs="Calibri"/>
          <w:noProof/>
          <w:szCs w:val="24"/>
        </w:rPr>
        <w:t>. https://doi.org/10.3389/fnint.2015.00013</w:t>
      </w:r>
    </w:p>
    <w:p w14:paraId="4BDE58E6"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Bürkner, P. C. (2018). Advanced Bayesian multilevel modeling with the R package brms. </w:t>
      </w:r>
      <w:r w:rsidRPr="00797B60">
        <w:rPr>
          <w:rFonts w:ascii="Calibri" w:hAnsi="Calibri" w:cs="Calibri"/>
          <w:i/>
          <w:iCs/>
          <w:noProof/>
          <w:szCs w:val="24"/>
        </w:rPr>
        <w:t>R Journal</w:t>
      </w:r>
      <w:r w:rsidRPr="00797B60">
        <w:rPr>
          <w:rFonts w:ascii="Calibri" w:hAnsi="Calibri" w:cs="Calibri"/>
          <w:noProof/>
          <w:szCs w:val="24"/>
        </w:rPr>
        <w:t xml:space="preserve">, </w:t>
      </w:r>
      <w:r w:rsidRPr="00797B60">
        <w:rPr>
          <w:rFonts w:ascii="Calibri" w:hAnsi="Calibri" w:cs="Calibri"/>
          <w:i/>
          <w:iCs/>
          <w:noProof/>
          <w:szCs w:val="24"/>
        </w:rPr>
        <w:t>10</w:t>
      </w:r>
      <w:r w:rsidRPr="00797B60">
        <w:rPr>
          <w:rFonts w:ascii="Calibri" w:hAnsi="Calibri" w:cs="Calibri"/>
          <w:noProof/>
          <w:szCs w:val="24"/>
        </w:rPr>
        <w:t>(1), 395–411. https://doi.org/10.32614/rj-2018-017</w:t>
      </w:r>
    </w:p>
    <w:p w14:paraId="2C053BD5"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Gómez, J., &amp; López-Moliner, J. (2013). Synergies between optical and physical variables in intercepting parabolic targets. </w:t>
      </w:r>
      <w:r w:rsidRPr="00797B60">
        <w:rPr>
          <w:rFonts w:ascii="Calibri" w:hAnsi="Calibri" w:cs="Calibri"/>
          <w:i/>
          <w:iCs/>
          <w:noProof/>
          <w:szCs w:val="24"/>
        </w:rPr>
        <w:t>Frontiers in Behavioral Neuroscience</w:t>
      </w:r>
      <w:r w:rsidRPr="00797B60">
        <w:rPr>
          <w:rFonts w:ascii="Calibri" w:hAnsi="Calibri" w:cs="Calibri"/>
          <w:noProof/>
          <w:szCs w:val="24"/>
        </w:rPr>
        <w:t xml:space="preserve">, </w:t>
      </w:r>
      <w:r w:rsidRPr="00797B60">
        <w:rPr>
          <w:rFonts w:ascii="Calibri" w:hAnsi="Calibri" w:cs="Calibri"/>
          <w:i/>
          <w:iCs/>
          <w:noProof/>
          <w:szCs w:val="24"/>
        </w:rPr>
        <w:t>7</w:t>
      </w:r>
      <w:r w:rsidRPr="00797B60">
        <w:rPr>
          <w:rFonts w:ascii="Calibri" w:hAnsi="Calibri" w:cs="Calibri"/>
          <w:noProof/>
          <w:szCs w:val="24"/>
        </w:rPr>
        <w:t>(May), 46. https://doi.org/10.3389/fnbeh.2013.00046</w:t>
      </w:r>
    </w:p>
    <w:p w14:paraId="5FD530C5"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Hosking, S. G., &amp; Crassini, B. (2010). The effects of familiar size and object trajectories on time-to-contact judgements. </w:t>
      </w:r>
      <w:r w:rsidRPr="00797B60">
        <w:rPr>
          <w:rFonts w:ascii="Calibri" w:hAnsi="Calibri" w:cs="Calibri"/>
          <w:i/>
          <w:iCs/>
          <w:noProof/>
          <w:szCs w:val="24"/>
        </w:rPr>
        <w:t>Experimental Brain Research</w:t>
      </w:r>
      <w:r w:rsidRPr="00797B60">
        <w:rPr>
          <w:rFonts w:ascii="Calibri" w:hAnsi="Calibri" w:cs="Calibri"/>
          <w:noProof/>
          <w:szCs w:val="24"/>
        </w:rPr>
        <w:t xml:space="preserve">, </w:t>
      </w:r>
      <w:r w:rsidRPr="00797B60">
        <w:rPr>
          <w:rFonts w:ascii="Calibri" w:hAnsi="Calibri" w:cs="Calibri"/>
          <w:i/>
          <w:iCs/>
          <w:noProof/>
          <w:szCs w:val="24"/>
        </w:rPr>
        <w:t>203</w:t>
      </w:r>
      <w:r w:rsidRPr="00797B60">
        <w:rPr>
          <w:rFonts w:ascii="Calibri" w:hAnsi="Calibri" w:cs="Calibri"/>
          <w:noProof/>
          <w:szCs w:val="24"/>
        </w:rPr>
        <w:t>(3), 541–552. https://doi.org/10.1007/s00221-010-2258-7</w:t>
      </w:r>
    </w:p>
    <w:p w14:paraId="10BCDFF8"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Indovina, I., Maffei, V., Bosco, G., Zago, M., Macaluso, E., &amp; Lacquaniti, F. (2005). Representation of visual gravitational motion in the human vestibular cortex. </w:t>
      </w:r>
      <w:r w:rsidRPr="00797B60">
        <w:rPr>
          <w:rFonts w:ascii="Calibri" w:hAnsi="Calibri" w:cs="Calibri"/>
          <w:i/>
          <w:iCs/>
          <w:noProof/>
          <w:szCs w:val="24"/>
        </w:rPr>
        <w:t>Science (New York, N.Y.)</w:t>
      </w:r>
      <w:r w:rsidRPr="00797B60">
        <w:rPr>
          <w:rFonts w:ascii="Calibri" w:hAnsi="Calibri" w:cs="Calibri"/>
          <w:noProof/>
          <w:szCs w:val="24"/>
        </w:rPr>
        <w:t xml:space="preserve">, </w:t>
      </w:r>
      <w:r w:rsidRPr="00797B60">
        <w:rPr>
          <w:rFonts w:ascii="Calibri" w:hAnsi="Calibri" w:cs="Calibri"/>
          <w:i/>
          <w:iCs/>
          <w:noProof/>
          <w:szCs w:val="24"/>
        </w:rPr>
        <w:t>308</w:t>
      </w:r>
      <w:r w:rsidRPr="00797B60">
        <w:rPr>
          <w:rFonts w:ascii="Calibri" w:hAnsi="Calibri" w:cs="Calibri"/>
          <w:noProof/>
          <w:szCs w:val="24"/>
        </w:rPr>
        <w:t>(April), 416–419. https://doi.org/10.1126/science.1107961</w:t>
      </w:r>
    </w:p>
    <w:p w14:paraId="38E8DDDF"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lastRenderedPageBreak/>
        <w:t xml:space="preserve">Jokisch, D., &amp; Troje, N. F. (2003). Biological motion as a cue for the perception of size. </w:t>
      </w:r>
      <w:r w:rsidRPr="00797B60">
        <w:rPr>
          <w:rFonts w:ascii="Calibri" w:hAnsi="Calibri" w:cs="Calibri"/>
          <w:i/>
          <w:iCs/>
          <w:noProof/>
          <w:szCs w:val="24"/>
        </w:rPr>
        <w:t>Journal of Vision</w:t>
      </w:r>
      <w:r w:rsidRPr="00797B60">
        <w:rPr>
          <w:rFonts w:ascii="Calibri" w:hAnsi="Calibri" w:cs="Calibri"/>
          <w:noProof/>
          <w:szCs w:val="24"/>
        </w:rPr>
        <w:t xml:space="preserve">, </w:t>
      </w:r>
      <w:r w:rsidRPr="00797B60">
        <w:rPr>
          <w:rFonts w:ascii="Calibri" w:hAnsi="Calibri" w:cs="Calibri"/>
          <w:i/>
          <w:iCs/>
          <w:noProof/>
          <w:szCs w:val="24"/>
        </w:rPr>
        <w:t>3</w:t>
      </w:r>
      <w:r w:rsidRPr="00797B60">
        <w:rPr>
          <w:rFonts w:ascii="Calibri" w:hAnsi="Calibri" w:cs="Calibri"/>
          <w:noProof/>
          <w:szCs w:val="24"/>
        </w:rPr>
        <w:t>(4), 252–264. https://doi.org/10.1167/3.4.1</w:t>
      </w:r>
    </w:p>
    <w:p w14:paraId="5894975E"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Jörges, B., &amp; López-Moliner, J. (2019). Earth-Gravity Congruent Motion Facilitates Ocular Control for Pursuit of Parabolic Trajectories. </w:t>
      </w:r>
      <w:r w:rsidRPr="00797B60">
        <w:rPr>
          <w:rFonts w:ascii="Calibri" w:hAnsi="Calibri" w:cs="Calibri"/>
          <w:i/>
          <w:iCs/>
          <w:noProof/>
          <w:szCs w:val="24"/>
        </w:rPr>
        <w:t>Scientific Reports</w:t>
      </w:r>
      <w:r w:rsidRPr="00797B60">
        <w:rPr>
          <w:rFonts w:ascii="Calibri" w:hAnsi="Calibri" w:cs="Calibri"/>
          <w:noProof/>
          <w:szCs w:val="24"/>
        </w:rPr>
        <w:t xml:space="preserve">, </w:t>
      </w:r>
      <w:r w:rsidRPr="00797B60">
        <w:rPr>
          <w:rFonts w:ascii="Calibri" w:hAnsi="Calibri" w:cs="Calibri"/>
          <w:i/>
          <w:iCs/>
          <w:noProof/>
          <w:szCs w:val="24"/>
        </w:rPr>
        <w:t>9</w:t>
      </w:r>
      <w:r w:rsidRPr="00797B60">
        <w:rPr>
          <w:rFonts w:ascii="Calibri" w:hAnsi="Calibri" w:cs="Calibri"/>
          <w:noProof/>
          <w:szCs w:val="24"/>
        </w:rPr>
        <w:t>(1). https://doi.org/10.1038/s41598-019-50512-6</w:t>
      </w:r>
    </w:p>
    <w:p w14:paraId="577FC571"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Jörges, Björn, &amp; López-Moliner, J. (2017). Gravity as a strong prior: Implications for perception and action. </w:t>
      </w:r>
      <w:r w:rsidRPr="00797B60">
        <w:rPr>
          <w:rFonts w:ascii="Calibri" w:hAnsi="Calibri" w:cs="Calibri"/>
          <w:i/>
          <w:iCs/>
          <w:noProof/>
          <w:szCs w:val="24"/>
        </w:rPr>
        <w:t>Frontiers in Human Neuroscience</w:t>
      </w:r>
      <w:r w:rsidRPr="00797B60">
        <w:rPr>
          <w:rFonts w:ascii="Calibri" w:hAnsi="Calibri" w:cs="Calibri"/>
          <w:noProof/>
          <w:szCs w:val="24"/>
        </w:rPr>
        <w:t>, Vol. 11. https://doi.org/10.3389/fnhum.2017.00203</w:t>
      </w:r>
    </w:p>
    <w:p w14:paraId="5BC66727"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Jörges, Björn, &amp; López-Moliner, J. (2020). Characterizing the Strong Earth Gravity Prior. </w:t>
      </w:r>
      <w:r w:rsidRPr="00797B60">
        <w:rPr>
          <w:rFonts w:ascii="Calibri" w:hAnsi="Calibri" w:cs="Calibri"/>
          <w:i/>
          <w:iCs/>
          <w:noProof/>
          <w:szCs w:val="24"/>
        </w:rPr>
        <w:t>PsyArXive</w:t>
      </w:r>
      <w:r w:rsidRPr="00797B60">
        <w:rPr>
          <w:rFonts w:ascii="Calibri" w:hAnsi="Calibri" w:cs="Calibri"/>
          <w:noProof/>
          <w:szCs w:val="24"/>
        </w:rPr>
        <w:t>, 1–19. https://doi.org/10.31234/osf.io/exp93</w:t>
      </w:r>
    </w:p>
    <w:p w14:paraId="65701A9B"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La Scaleia, B., Zago, M., Moscatelli, A., Lacquaniti, F., &amp; Viviani, P. (2014). Implied dynamics biases the visual perception of velocity. </w:t>
      </w:r>
      <w:r w:rsidRPr="00797B60">
        <w:rPr>
          <w:rFonts w:ascii="Calibri" w:hAnsi="Calibri" w:cs="Calibri"/>
          <w:i/>
          <w:iCs/>
          <w:noProof/>
          <w:szCs w:val="24"/>
        </w:rPr>
        <w:t>PLoS ONE</w:t>
      </w:r>
      <w:r w:rsidRPr="00797B60">
        <w:rPr>
          <w:rFonts w:ascii="Calibri" w:hAnsi="Calibri" w:cs="Calibri"/>
          <w:noProof/>
          <w:szCs w:val="24"/>
        </w:rPr>
        <w:t xml:space="preserve">, </w:t>
      </w:r>
      <w:r w:rsidRPr="00797B60">
        <w:rPr>
          <w:rFonts w:ascii="Calibri" w:hAnsi="Calibri" w:cs="Calibri"/>
          <w:i/>
          <w:iCs/>
          <w:noProof/>
          <w:szCs w:val="24"/>
        </w:rPr>
        <w:t>9</w:t>
      </w:r>
      <w:r w:rsidRPr="00797B60">
        <w:rPr>
          <w:rFonts w:ascii="Calibri" w:hAnsi="Calibri" w:cs="Calibri"/>
          <w:noProof/>
          <w:szCs w:val="24"/>
        </w:rPr>
        <w:t>(3). https://doi.org/10.1371/journal.pone.0093020</w:t>
      </w:r>
    </w:p>
    <w:p w14:paraId="18B9AB8A"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Lacquaniti, F., Bosco, G., Gravano, S., Indovina, I., La Scaleia, B., Maffei, V., &amp; Zago, M. (2015). Gravity in the Brain as a Reference for Space and Time Perception. </w:t>
      </w:r>
      <w:r w:rsidRPr="00797B60">
        <w:rPr>
          <w:rFonts w:ascii="Calibri" w:hAnsi="Calibri" w:cs="Calibri"/>
          <w:i/>
          <w:iCs/>
          <w:noProof/>
          <w:szCs w:val="24"/>
        </w:rPr>
        <w:t>Multisensory Research</w:t>
      </w:r>
      <w:r w:rsidRPr="00797B60">
        <w:rPr>
          <w:rFonts w:ascii="Calibri" w:hAnsi="Calibri" w:cs="Calibri"/>
          <w:noProof/>
          <w:szCs w:val="24"/>
        </w:rPr>
        <w:t xml:space="preserve">, </w:t>
      </w:r>
      <w:r w:rsidRPr="00797B60">
        <w:rPr>
          <w:rFonts w:ascii="Calibri" w:hAnsi="Calibri" w:cs="Calibri"/>
          <w:i/>
          <w:iCs/>
          <w:noProof/>
          <w:szCs w:val="24"/>
        </w:rPr>
        <w:t>28</w:t>
      </w:r>
      <w:r w:rsidRPr="00797B60">
        <w:rPr>
          <w:rFonts w:ascii="Calibri" w:hAnsi="Calibri" w:cs="Calibri"/>
          <w:noProof/>
          <w:szCs w:val="24"/>
        </w:rPr>
        <w:t>(5–6), 397–426. https://doi.org/10.1163/22134808-00002471</w:t>
      </w:r>
    </w:p>
    <w:p w14:paraId="25F690F2"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Lacquaniti, F., Bosco, G., Indovina, I., La Scaleia, B., Maffei, V., Moscatelli, A., &amp; Zago, M. (2013). Visual gravitational motion and the vestibular system in humans. </w:t>
      </w:r>
      <w:r w:rsidRPr="00797B60">
        <w:rPr>
          <w:rFonts w:ascii="Calibri" w:hAnsi="Calibri" w:cs="Calibri"/>
          <w:i/>
          <w:iCs/>
          <w:noProof/>
          <w:szCs w:val="24"/>
        </w:rPr>
        <w:t>Frontiers in Integrative Neuroscience</w:t>
      </w:r>
      <w:r w:rsidRPr="00797B60">
        <w:rPr>
          <w:rFonts w:ascii="Calibri" w:hAnsi="Calibri" w:cs="Calibri"/>
          <w:noProof/>
          <w:szCs w:val="24"/>
        </w:rPr>
        <w:t xml:space="preserve">, </w:t>
      </w:r>
      <w:r w:rsidRPr="00797B60">
        <w:rPr>
          <w:rFonts w:ascii="Calibri" w:hAnsi="Calibri" w:cs="Calibri"/>
          <w:i/>
          <w:iCs/>
          <w:noProof/>
          <w:szCs w:val="24"/>
        </w:rPr>
        <w:t>7</w:t>
      </w:r>
      <w:r w:rsidRPr="00797B60">
        <w:rPr>
          <w:rFonts w:ascii="Calibri" w:hAnsi="Calibri" w:cs="Calibri"/>
          <w:noProof/>
          <w:szCs w:val="24"/>
        </w:rPr>
        <w:t>(December), 101. https://doi.org/10.3389/fnint.2013.00101</w:t>
      </w:r>
    </w:p>
    <w:p w14:paraId="7F235626"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López-Moliner, J., Field, D. T., &amp; Wann, J. P. (2007). Interceptive timing: prior knowledge matters. </w:t>
      </w:r>
      <w:r w:rsidRPr="00797B60">
        <w:rPr>
          <w:rFonts w:ascii="Calibri" w:hAnsi="Calibri" w:cs="Calibri"/>
          <w:i/>
          <w:iCs/>
          <w:noProof/>
          <w:szCs w:val="24"/>
        </w:rPr>
        <w:t>Journal of Vision</w:t>
      </w:r>
      <w:r w:rsidRPr="00797B60">
        <w:rPr>
          <w:rFonts w:ascii="Calibri" w:hAnsi="Calibri" w:cs="Calibri"/>
          <w:noProof/>
          <w:szCs w:val="24"/>
        </w:rPr>
        <w:t xml:space="preserve">, </w:t>
      </w:r>
      <w:r w:rsidRPr="00797B60">
        <w:rPr>
          <w:rFonts w:ascii="Calibri" w:hAnsi="Calibri" w:cs="Calibri"/>
          <w:i/>
          <w:iCs/>
          <w:noProof/>
          <w:szCs w:val="24"/>
        </w:rPr>
        <w:t>7</w:t>
      </w:r>
      <w:r w:rsidRPr="00797B60">
        <w:rPr>
          <w:rFonts w:ascii="Calibri" w:hAnsi="Calibri" w:cs="Calibri"/>
          <w:noProof/>
          <w:szCs w:val="24"/>
        </w:rPr>
        <w:t>, 1–8. https://doi.org/10.1167/7.13.11</w:t>
      </w:r>
    </w:p>
    <w:p w14:paraId="09ACDF87"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McIntyre, J, Zago, M., &amp; Berthoz, A. (2001). Does the Brain Model Newton’s Laws. </w:t>
      </w:r>
      <w:r w:rsidRPr="00797B60">
        <w:rPr>
          <w:rFonts w:ascii="Calibri" w:hAnsi="Calibri" w:cs="Calibri"/>
          <w:i/>
          <w:iCs/>
          <w:noProof/>
          <w:szCs w:val="24"/>
        </w:rPr>
        <w:t>Nature Neuroscience</w:t>
      </w:r>
      <w:r w:rsidRPr="00797B60">
        <w:rPr>
          <w:rFonts w:ascii="Calibri" w:hAnsi="Calibri" w:cs="Calibri"/>
          <w:noProof/>
          <w:szCs w:val="24"/>
        </w:rPr>
        <w:t xml:space="preserve">, </w:t>
      </w:r>
      <w:r w:rsidRPr="00797B60">
        <w:rPr>
          <w:rFonts w:ascii="Calibri" w:hAnsi="Calibri" w:cs="Calibri"/>
          <w:i/>
          <w:iCs/>
          <w:noProof/>
          <w:szCs w:val="24"/>
        </w:rPr>
        <w:t>12</w:t>
      </w:r>
      <w:r w:rsidRPr="00797B60">
        <w:rPr>
          <w:rFonts w:ascii="Calibri" w:hAnsi="Calibri" w:cs="Calibri"/>
          <w:noProof/>
          <w:szCs w:val="24"/>
        </w:rPr>
        <w:t>(17), 109–110. https://doi.org/10.1097/00001756-200112040-00004</w:t>
      </w:r>
    </w:p>
    <w:p w14:paraId="4807EAED"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McIntyre, Joseph, Zago, M., Berthoz, A., &amp; Lacquaniti, F. (2003). The Brain as a Predictor: On Catching Flying Balls in Zero-G. In J. C. Buckey &amp; J. L. Homick (Eds.), </w:t>
      </w:r>
      <w:r w:rsidRPr="00797B60">
        <w:rPr>
          <w:rFonts w:ascii="Calibri" w:hAnsi="Calibri" w:cs="Calibri"/>
          <w:i/>
          <w:iCs/>
          <w:noProof/>
          <w:szCs w:val="24"/>
        </w:rPr>
        <w:t>The Neurolab Spacelab Mission: Neuroscience Research in Space</w:t>
      </w:r>
      <w:r w:rsidRPr="00797B60">
        <w:rPr>
          <w:rFonts w:ascii="Calibri" w:hAnsi="Calibri" w:cs="Calibri"/>
          <w:noProof/>
          <w:szCs w:val="24"/>
        </w:rPr>
        <w:t xml:space="preserve"> (pp. 55–61). National Aeronautics and Space Administration, Lyndon B. Johnson Space Center.</w:t>
      </w:r>
    </w:p>
    <w:p w14:paraId="72CC585E"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Mijatovic, A., La Scaleia, B., Mercuri, N., Lacquaniti, F., &amp; Zago, M. (2014). Familiar trajectories facilitate the interpretation of physical forces when intercepting a moving target. </w:t>
      </w:r>
      <w:r w:rsidRPr="00797B60">
        <w:rPr>
          <w:rFonts w:ascii="Calibri" w:hAnsi="Calibri" w:cs="Calibri"/>
          <w:i/>
          <w:iCs/>
          <w:noProof/>
          <w:szCs w:val="24"/>
        </w:rPr>
        <w:t>Experimental Brain Research</w:t>
      </w:r>
      <w:r w:rsidRPr="00797B60">
        <w:rPr>
          <w:rFonts w:ascii="Calibri" w:hAnsi="Calibri" w:cs="Calibri"/>
          <w:noProof/>
          <w:szCs w:val="24"/>
        </w:rPr>
        <w:t xml:space="preserve">, </w:t>
      </w:r>
      <w:r w:rsidRPr="00797B60">
        <w:rPr>
          <w:rFonts w:ascii="Calibri" w:hAnsi="Calibri" w:cs="Calibri"/>
          <w:i/>
          <w:iCs/>
          <w:noProof/>
          <w:szCs w:val="24"/>
        </w:rPr>
        <w:t>232</w:t>
      </w:r>
      <w:r w:rsidRPr="00797B60">
        <w:rPr>
          <w:rFonts w:ascii="Calibri" w:hAnsi="Calibri" w:cs="Calibri"/>
          <w:noProof/>
          <w:szCs w:val="24"/>
        </w:rPr>
        <w:t>(12), 3803–3811. https://doi.org/10.1007/s00221-014-4050-6</w:t>
      </w:r>
    </w:p>
    <w:p w14:paraId="2466F8EC"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Neupärtl, N., Tatai, F., &amp; Rothkopf, C. A. (2020). Intuitive physical reasoning about objects ’ masses transfers to a visuomotor decision task consistent with Newtonian physics Author summary. </w:t>
      </w:r>
      <w:r w:rsidRPr="00797B60">
        <w:rPr>
          <w:rFonts w:ascii="Calibri" w:hAnsi="Calibri" w:cs="Calibri"/>
          <w:i/>
          <w:iCs/>
          <w:noProof/>
          <w:szCs w:val="24"/>
        </w:rPr>
        <w:t>BioRxiv</w:t>
      </w:r>
      <w:r w:rsidRPr="00797B60">
        <w:rPr>
          <w:rFonts w:ascii="Calibri" w:hAnsi="Calibri" w:cs="Calibri"/>
          <w:noProof/>
          <w:szCs w:val="24"/>
        </w:rPr>
        <w:t>, 1–32.</w:t>
      </w:r>
    </w:p>
    <w:p w14:paraId="1D68496F"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R Core Team. (2017). </w:t>
      </w:r>
      <w:r w:rsidRPr="00797B60">
        <w:rPr>
          <w:rFonts w:ascii="Calibri" w:hAnsi="Calibri" w:cs="Calibri"/>
          <w:i/>
          <w:iCs/>
          <w:noProof/>
          <w:szCs w:val="24"/>
        </w:rPr>
        <w:t>A Language and Environment for Statistical Computing. R Foundation for Statistical Computing,</w:t>
      </w:r>
      <w:r w:rsidRPr="00797B60">
        <w:rPr>
          <w:rFonts w:ascii="Calibri" w:hAnsi="Calibri" w:cs="Calibri"/>
          <w:noProof/>
          <w:szCs w:val="24"/>
        </w:rPr>
        <w:t>. Retrieved from http://www.r-project.org/.</w:t>
      </w:r>
    </w:p>
    <w:p w14:paraId="44D5D6AE"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Senot, P., Zago, M., Lacquaniti, F., &amp; McIntyre, J. (2005). Anticipating the Effects of Gravity When Intercepting Moving Objects: Differentiating Up and Down Based on Nonvisual Cues. </w:t>
      </w:r>
      <w:r w:rsidRPr="00797B60">
        <w:rPr>
          <w:rFonts w:ascii="Calibri" w:hAnsi="Calibri" w:cs="Calibri"/>
          <w:i/>
          <w:iCs/>
          <w:noProof/>
          <w:szCs w:val="24"/>
        </w:rPr>
        <w:t>Journal of Neurophysiology</w:t>
      </w:r>
      <w:r w:rsidRPr="00797B60">
        <w:rPr>
          <w:rFonts w:ascii="Calibri" w:hAnsi="Calibri" w:cs="Calibri"/>
          <w:noProof/>
          <w:szCs w:val="24"/>
        </w:rPr>
        <w:t xml:space="preserve">, </w:t>
      </w:r>
      <w:r w:rsidRPr="00797B60">
        <w:rPr>
          <w:rFonts w:ascii="Calibri" w:hAnsi="Calibri" w:cs="Calibri"/>
          <w:i/>
          <w:iCs/>
          <w:noProof/>
          <w:szCs w:val="24"/>
        </w:rPr>
        <w:t>94</w:t>
      </w:r>
      <w:r w:rsidRPr="00797B60">
        <w:rPr>
          <w:rFonts w:ascii="Calibri" w:hAnsi="Calibri" w:cs="Calibri"/>
          <w:noProof/>
          <w:szCs w:val="24"/>
        </w:rPr>
        <w:t>(6), 4471–4480. https://doi.org/10.1152/jn.00527.2005</w:t>
      </w:r>
    </w:p>
    <w:p w14:paraId="5A99A342"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Senot, P., Zago, M., Le Seac’h,  a., Zaoui, M., Berthoz,  a., Lacquaniti, F., &amp; McIntyre, J. (2012). When Up Is Down in 0g: How Gravity Sensing Affects the Timing of Interceptive Actions. </w:t>
      </w:r>
      <w:r w:rsidRPr="00797B60">
        <w:rPr>
          <w:rFonts w:ascii="Calibri" w:hAnsi="Calibri" w:cs="Calibri"/>
          <w:i/>
          <w:iCs/>
          <w:noProof/>
          <w:szCs w:val="24"/>
        </w:rPr>
        <w:t>Journal of Neuroscience</w:t>
      </w:r>
      <w:r w:rsidRPr="00797B60">
        <w:rPr>
          <w:rFonts w:ascii="Calibri" w:hAnsi="Calibri" w:cs="Calibri"/>
          <w:noProof/>
          <w:szCs w:val="24"/>
        </w:rPr>
        <w:t xml:space="preserve">, </w:t>
      </w:r>
      <w:r w:rsidRPr="00797B60">
        <w:rPr>
          <w:rFonts w:ascii="Calibri" w:hAnsi="Calibri" w:cs="Calibri"/>
          <w:i/>
          <w:iCs/>
          <w:noProof/>
          <w:szCs w:val="24"/>
        </w:rPr>
        <w:t>32</w:t>
      </w:r>
      <w:r w:rsidRPr="00797B60">
        <w:rPr>
          <w:rFonts w:ascii="Calibri" w:hAnsi="Calibri" w:cs="Calibri"/>
          <w:noProof/>
          <w:szCs w:val="24"/>
        </w:rPr>
        <w:t>(6), 1969–1973. https://doi.org/10.1523/JNEUROSCI.3886-11.2012</w:t>
      </w:r>
    </w:p>
    <w:p w14:paraId="5318F0D8"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lastRenderedPageBreak/>
        <w:t xml:space="preserve">Stan Development Team. (2016). </w:t>
      </w:r>
      <w:r w:rsidRPr="00797B60">
        <w:rPr>
          <w:rFonts w:ascii="Calibri" w:hAnsi="Calibri" w:cs="Calibri"/>
          <w:i/>
          <w:iCs/>
          <w:noProof/>
          <w:szCs w:val="24"/>
        </w:rPr>
        <w:t>Stan: the R interface to Stan. R package version 2.14.1</w:t>
      </w:r>
      <w:r w:rsidRPr="00797B60">
        <w:rPr>
          <w:rFonts w:ascii="Calibri" w:hAnsi="Calibri" w:cs="Calibri"/>
          <w:noProof/>
          <w:szCs w:val="24"/>
        </w:rPr>
        <w:t>. 1–23. Retrieved from http://mc-stan.org</w:t>
      </w:r>
    </w:p>
    <w:p w14:paraId="7EDC6E73"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Vallortigara, G., &amp; Regolin, L. (2007). Gravity bias in the interpretation of biological motion by inexperienced chicks. </w:t>
      </w:r>
      <w:r w:rsidRPr="00797B60">
        <w:rPr>
          <w:rFonts w:ascii="Calibri" w:hAnsi="Calibri" w:cs="Calibri"/>
          <w:i/>
          <w:iCs/>
          <w:noProof/>
          <w:szCs w:val="24"/>
        </w:rPr>
        <w:t>Current Biology</w:t>
      </w:r>
      <w:r w:rsidRPr="00797B60">
        <w:rPr>
          <w:rFonts w:ascii="Calibri" w:hAnsi="Calibri" w:cs="Calibri"/>
          <w:noProof/>
          <w:szCs w:val="24"/>
        </w:rPr>
        <w:t xml:space="preserve">, </w:t>
      </w:r>
      <w:r w:rsidRPr="00797B60">
        <w:rPr>
          <w:rFonts w:ascii="Calibri" w:hAnsi="Calibri" w:cs="Calibri"/>
          <w:i/>
          <w:iCs/>
          <w:noProof/>
          <w:szCs w:val="24"/>
        </w:rPr>
        <w:t>16</w:t>
      </w:r>
      <w:r w:rsidRPr="00797B60">
        <w:rPr>
          <w:rFonts w:ascii="Calibri" w:hAnsi="Calibri" w:cs="Calibri"/>
          <w:noProof/>
          <w:szCs w:val="24"/>
        </w:rPr>
        <w:t>(September), R279–R280.</w:t>
      </w:r>
    </w:p>
    <w:p w14:paraId="698625C4"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szCs w:val="24"/>
        </w:rPr>
      </w:pPr>
      <w:r w:rsidRPr="00797B60">
        <w:rPr>
          <w:rFonts w:ascii="Calibri" w:hAnsi="Calibri" w:cs="Calibri"/>
          <w:noProof/>
          <w:szCs w:val="24"/>
        </w:rPr>
        <w:t xml:space="preserve">Wei, X. X., &amp; Stocker, A. A. (2017). Lawful relation between perceptual bias and discriminability. </w:t>
      </w:r>
      <w:r w:rsidRPr="00797B60">
        <w:rPr>
          <w:rFonts w:ascii="Calibri" w:hAnsi="Calibri" w:cs="Calibri"/>
          <w:i/>
          <w:iCs/>
          <w:noProof/>
          <w:szCs w:val="24"/>
        </w:rPr>
        <w:t>Proceedings of the National Academy of Sciences of the United States of America</w:t>
      </w:r>
      <w:r w:rsidRPr="00797B60">
        <w:rPr>
          <w:rFonts w:ascii="Calibri" w:hAnsi="Calibri" w:cs="Calibri"/>
          <w:noProof/>
          <w:szCs w:val="24"/>
        </w:rPr>
        <w:t xml:space="preserve">, </w:t>
      </w:r>
      <w:r w:rsidRPr="00797B60">
        <w:rPr>
          <w:rFonts w:ascii="Calibri" w:hAnsi="Calibri" w:cs="Calibri"/>
          <w:i/>
          <w:iCs/>
          <w:noProof/>
          <w:szCs w:val="24"/>
        </w:rPr>
        <w:t>114</w:t>
      </w:r>
      <w:r w:rsidRPr="00797B60">
        <w:rPr>
          <w:rFonts w:ascii="Calibri" w:hAnsi="Calibri" w:cs="Calibri"/>
          <w:noProof/>
          <w:szCs w:val="24"/>
        </w:rPr>
        <w:t>(38), 10244–10249. https://doi.org/10.1073/pnas.1619153114</w:t>
      </w:r>
    </w:p>
    <w:p w14:paraId="5A63B0EF" w14:textId="77777777" w:rsidR="00797B60" w:rsidRPr="00797B60" w:rsidRDefault="00797B60" w:rsidP="00797B60">
      <w:pPr>
        <w:widowControl w:val="0"/>
        <w:autoSpaceDE w:val="0"/>
        <w:autoSpaceDN w:val="0"/>
        <w:adjustRightInd w:val="0"/>
        <w:spacing w:line="240" w:lineRule="auto"/>
        <w:ind w:left="480" w:hanging="480"/>
        <w:rPr>
          <w:rFonts w:ascii="Calibri" w:hAnsi="Calibri" w:cs="Calibri"/>
          <w:noProof/>
        </w:rPr>
      </w:pPr>
      <w:r w:rsidRPr="00797B60">
        <w:rPr>
          <w:rFonts w:ascii="Calibri" w:hAnsi="Calibri" w:cs="Calibri"/>
          <w:noProof/>
          <w:szCs w:val="24"/>
        </w:rPr>
        <w:t xml:space="preserve">Zago, M., La Scaleia, B., Miller, W. L., &amp; Lacquaniti, F. (2011). Coherence of structural visual cues and pictorial gravity paves the way for interceptive actions. </w:t>
      </w:r>
      <w:r w:rsidRPr="00797B60">
        <w:rPr>
          <w:rFonts w:ascii="Calibri" w:hAnsi="Calibri" w:cs="Calibri"/>
          <w:i/>
          <w:iCs/>
          <w:noProof/>
          <w:szCs w:val="24"/>
        </w:rPr>
        <w:t>Journal of Vision</w:t>
      </w:r>
      <w:r w:rsidRPr="00797B60">
        <w:rPr>
          <w:rFonts w:ascii="Calibri" w:hAnsi="Calibri" w:cs="Calibri"/>
          <w:noProof/>
          <w:szCs w:val="24"/>
        </w:rPr>
        <w:t xml:space="preserve">, </w:t>
      </w:r>
      <w:r w:rsidRPr="00797B60">
        <w:rPr>
          <w:rFonts w:ascii="Calibri" w:hAnsi="Calibri" w:cs="Calibri"/>
          <w:i/>
          <w:iCs/>
          <w:noProof/>
          <w:szCs w:val="24"/>
        </w:rPr>
        <w:t>11</w:t>
      </w:r>
      <w:r w:rsidRPr="00797B60">
        <w:rPr>
          <w:rFonts w:ascii="Calibri" w:hAnsi="Calibri" w:cs="Calibri"/>
          <w:noProof/>
          <w:szCs w:val="24"/>
        </w:rPr>
        <w:t>(10), 1–10. https://doi.org/10.1167/11.10.13.Introduction</w:t>
      </w:r>
    </w:p>
    <w:p w14:paraId="2D2D712A" w14:textId="5AF04ADC" w:rsidR="00143A8E" w:rsidRDefault="00143A8E" w:rsidP="003F4A3B">
      <w:pPr>
        <w:jc w:val="both"/>
      </w:pPr>
      <w:r>
        <w:fldChar w:fldCharType="end"/>
      </w:r>
    </w:p>
    <w:sectPr w:rsidR="00143A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3-21T02:20:00Z" w:initials="BJ">
    <w:p w14:paraId="5AABFC33" w14:textId="490B62C1" w:rsidR="00797B60" w:rsidRDefault="00797B60">
      <w:pPr>
        <w:pStyle w:val="CommentText"/>
      </w:pPr>
      <w:r>
        <w:rPr>
          <w:rStyle w:val="CommentReference"/>
        </w:rPr>
        <w:annotationRef/>
      </w:r>
      <w:r>
        <w:t xml:space="preserve">Los </w:t>
      </w:r>
      <w:proofErr w:type="spellStart"/>
      <w:r>
        <w:t>hemos</w:t>
      </w:r>
      <w:proofErr w:type="spellEnd"/>
      <w:r>
        <w:t xml:space="preserve"> </w:t>
      </w:r>
      <w:proofErr w:type="spellStart"/>
      <w:r>
        <w:t>testado</w:t>
      </w:r>
      <w:proofErr w:type="spellEnd"/>
      <w:r>
        <w:t>?</w:t>
      </w:r>
    </w:p>
  </w:comment>
  <w:comment w:id="1" w:author="Björn Jörges" w:date="2020-03-21T02:24:00Z" w:initials="BJ">
    <w:p w14:paraId="275F66E0" w14:textId="2A594DCB" w:rsidR="00797B60" w:rsidRDefault="00797B60">
      <w:pPr>
        <w:pStyle w:val="CommentText"/>
      </w:pPr>
      <w:r>
        <w:rPr>
          <w:rStyle w:val="CommentReference"/>
        </w:rPr>
        <w:annotationRef/>
      </w:r>
      <w:r>
        <w:t>?</w:t>
      </w:r>
    </w:p>
  </w:comment>
  <w:comment w:id="2" w:author="Björn Jörges" w:date="2020-03-21T02:25:00Z" w:initials="BJ">
    <w:p w14:paraId="7913EE9E" w14:textId="714DF70C" w:rsidR="00797B60" w:rsidRDefault="00797B60">
      <w:pPr>
        <w:pStyle w:val="CommentText"/>
      </w:pPr>
      <w:r>
        <w:rPr>
          <w:rStyle w:val="CommentReference"/>
        </w:rPr>
        <w:annotationRef/>
      </w:r>
      <w:r>
        <w:t>?</w:t>
      </w:r>
    </w:p>
  </w:comment>
  <w:comment w:id="3" w:author="Björn Jörges" w:date="2020-03-27T03:22:00Z" w:initials="BJ">
    <w:p w14:paraId="1893F84F" w14:textId="77777777" w:rsidR="00797B60" w:rsidRDefault="00797B60">
      <w:pPr>
        <w:pStyle w:val="CommentText"/>
        <w:rPr>
          <w:lang w:val="es-ES"/>
        </w:rPr>
      </w:pPr>
      <w:r>
        <w:rPr>
          <w:rStyle w:val="CommentReference"/>
        </w:rPr>
        <w:annotationRef/>
      </w:r>
      <w:r w:rsidRPr="001B67E1">
        <w:rPr>
          <w:lang w:val="es-ES"/>
        </w:rPr>
        <w:t xml:space="preserve">No sé </w:t>
      </w:r>
      <w:proofErr w:type="gramStart"/>
      <w:r w:rsidRPr="001B67E1">
        <w:rPr>
          <w:lang w:val="es-ES"/>
        </w:rPr>
        <w:t>porque</w:t>
      </w:r>
      <w:proofErr w:type="gramEnd"/>
      <w:r w:rsidRPr="001B67E1">
        <w:rPr>
          <w:lang w:val="es-ES"/>
        </w:rPr>
        <w:t xml:space="preserve"> pero el </w:t>
      </w:r>
      <w:proofErr w:type="spellStart"/>
      <w:r w:rsidRPr="001B67E1">
        <w:rPr>
          <w:lang w:val="es-ES"/>
        </w:rPr>
        <w:t>codigo</w:t>
      </w:r>
      <w:proofErr w:type="spellEnd"/>
      <w:r w:rsidRPr="001B67E1">
        <w:rPr>
          <w:lang w:val="es-ES"/>
        </w:rPr>
        <w:t xml:space="preserve"> para este </w:t>
      </w:r>
      <w:proofErr w:type="spellStart"/>
      <w:r w:rsidRPr="001B67E1">
        <w:rPr>
          <w:lang w:val="es-ES"/>
        </w:rPr>
        <w:t>plot</w:t>
      </w:r>
      <w:proofErr w:type="spellEnd"/>
      <w:r w:rsidRPr="001B67E1">
        <w:rPr>
          <w:lang w:val="es-ES"/>
        </w:rPr>
        <w:t xml:space="preserve"> no me va.</w:t>
      </w:r>
      <w:r>
        <w:rPr>
          <w:lang w:val="es-ES"/>
        </w:rPr>
        <w:t xml:space="preserve"> Podrías:</w:t>
      </w:r>
    </w:p>
    <w:p w14:paraId="09058CAF" w14:textId="77777777" w:rsidR="00797B60" w:rsidRDefault="00797B60" w:rsidP="001B67E1">
      <w:pPr>
        <w:pStyle w:val="CommentText"/>
        <w:numPr>
          <w:ilvl w:val="0"/>
          <w:numId w:val="1"/>
        </w:numPr>
        <w:rPr>
          <w:lang w:val="es-ES"/>
        </w:rPr>
      </w:pPr>
      <w:r>
        <w:rPr>
          <w:lang w:val="es-ES"/>
        </w:rPr>
        <w:t xml:space="preserve"> Añadir el pantallazo de la visual </w:t>
      </w:r>
      <w:proofErr w:type="spellStart"/>
      <w:r>
        <w:rPr>
          <w:lang w:val="es-ES"/>
        </w:rPr>
        <w:t>scene</w:t>
      </w:r>
      <w:proofErr w:type="spellEnd"/>
    </w:p>
    <w:p w14:paraId="032C4062" w14:textId="77777777" w:rsidR="00797B60" w:rsidRDefault="00797B60" w:rsidP="001B67E1">
      <w:pPr>
        <w:pStyle w:val="CommentText"/>
        <w:numPr>
          <w:ilvl w:val="0"/>
          <w:numId w:val="1"/>
        </w:numPr>
        <w:rPr>
          <w:lang w:val="es-ES"/>
        </w:rPr>
      </w:pPr>
      <w:r>
        <w:rPr>
          <w:lang w:val="es-ES"/>
        </w:rPr>
        <w:t xml:space="preserve"> Poner etiquetas a los paneles (A, B, C en </w:t>
      </w:r>
      <w:proofErr w:type="spellStart"/>
      <w:r>
        <w:rPr>
          <w:lang w:val="es-ES"/>
        </w:rPr>
        <w:t>mayuscula</w:t>
      </w:r>
      <w:proofErr w:type="spellEnd"/>
      <w:r>
        <w:rPr>
          <w:lang w:val="es-ES"/>
        </w:rPr>
        <w:t>)</w:t>
      </w:r>
    </w:p>
    <w:p w14:paraId="22DEEF9C" w14:textId="77777777" w:rsidR="00797B60" w:rsidRDefault="00797B60" w:rsidP="001B67E1">
      <w:pPr>
        <w:pStyle w:val="CommentText"/>
        <w:numPr>
          <w:ilvl w:val="0"/>
          <w:numId w:val="1"/>
        </w:numPr>
        <w:rPr>
          <w:lang w:val="es-ES"/>
        </w:rPr>
      </w:pPr>
      <w:r>
        <w:rPr>
          <w:lang w:val="es-ES"/>
        </w:rPr>
        <w:t xml:space="preserve"> Borrar el título</w:t>
      </w:r>
    </w:p>
    <w:p w14:paraId="320DB128" w14:textId="77777777" w:rsidR="00797B60" w:rsidRDefault="00797B60" w:rsidP="001B67E1">
      <w:pPr>
        <w:pStyle w:val="CommentText"/>
        <w:numPr>
          <w:ilvl w:val="0"/>
          <w:numId w:val="1"/>
        </w:numPr>
        <w:rPr>
          <w:lang w:val="es-ES"/>
        </w:rPr>
      </w:pPr>
      <w:r>
        <w:rPr>
          <w:lang w:val="es-ES"/>
        </w:rPr>
        <w:t xml:space="preserve"> Hacer la letra </w:t>
      </w:r>
      <w:proofErr w:type="spellStart"/>
      <w:r>
        <w:rPr>
          <w:lang w:val="es-ES"/>
        </w:rPr>
        <w:t>mas</w:t>
      </w:r>
      <w:proofErr w:type="spellEnd"/>
      <w:r>
        <w:rPr>
          <w:lang w:val="es-ES"/>
        </w:rPr>
        <w:t xml:space="preserve"> grande</w:t>
      </w:r>
    </w:p>
    <w:p w14:paraId="06368EBE" w14:textId="77777777" w:rsidR="00797B60" w:rsidRDefault="00797B60" w:rsidP="001B67E1">
      <w:pPr>
        <w:pStyle w:val="CommentText"/>
        <w:numPr>
          <w:ilvl w:val="0"/>
          <w:numId w:val="1"/>
        </w:numPr>
        <w:rPr>
          <w:lang w:val="es-ES"/>
        </w:rPr>
      </w:pPr>
      <w:r>
        <w:rPr>
          <w:lang w:val="es-ES"/>
        </w:rPr>
        <w:t xml:space="preserve"> Añadir la leyenda para la textura (</w:t>
      </w:r>
      <w:proofErr w:type="spellStart"/>
      <w:r>
        <w:rPr>
          <w:lang w:val="es-ES"/>
        </w:rPr>
        <w:t>tennis</w:t>
      </w:r>
      <w:proofErr w:type="spellEnd"/>
      <w:r>
        <w:rPr>
          <w:lang w:val="es-ES"/>
        </w:rPr>
        <w:t xml:space="preserve"> o </w:t>
      </w:r>
      <w:proofErr w:type="spellStart"/>
      <w:r>
        <w:rPr>
          <w:lang w:val="es-ES"/>
        </w:rPr>
        <w:t>basket</w:t>
      </w:r>
      <w:proofErr w:type="spellEnd"/>
      <w:r>
        <w:rPr>
          <w:lang w:val="es-ES"/>
        </w:rPr>
        <w:t>) en B y C</w:t>
      </w:r>
    </w:p>
    <w:p w14:paraId="2EB5E0C5" w14:textId="77777777" w:rsidR="00797B60" w:rsidRDefault="00797B60" w:rsidP="001B67E1">
      <w:pPr>
        <w:pStyle w:val="CommentText"/>
        <w:rPr>
          <w:lang w:val="es-ES"/>
        </w:rPr>
      </w:pPr>
    </w:p>
    <w:p w14:paraId="28A15653" w14:textId="28BDC21D" w:rsidR="00797B60" w:rsidRPr="001B67E1" w:rsidRDefault="00797B60" w:rsidP="001B67E1">
      <w:pPr>
        <w:pStyle w:val="CommentText"/>
        <w:rPr>
          <w:lang w:val="es-ES"/>
        </w:rPr>
      </w:pPr>
      <w:proofErr w:type="spellStart"/>
      <w:r>
        <w:rPr>
          <w:lang w:val="es-ES"/>
        </w:rPr>
        <w:t>Graciaaaas</w:t>
      </w:r>
      <w:proofErr w:type="spellEnd"/>
      <w:r>
        <w:rPr>
          <w:lang w:val="es-ES"/>
        </w:rPr>
        <w:t xml:space="preserve">! Es que estoy flipando con tus </w:t>
      </w:r>
      <w:proofErr w:type="spellStart"/>
      <w:r>
        <w:rPr>
          <w:lang w:val="es-ES"/>
        </w:rPr>
        <w:t>plotsssss</w:t>
      </w:r>
      <w:proofErr w:type="spellEnd"/>
      <w:r w:rsidRPr="001B67E1">
        <w:rPr>
          <w:lang w:val="es-E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FC33" w15:done="0"/>
  <w15:commentEx w15:paraId="275F66E0" w15:done="0"/>
  <w15:commentEx w15:paraId="7913EE9E" w15:done="0"/>
  <w15:commentEx w15:paraId="28A156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FC33" w16cid:durableId="221FF878"/>
  <w16cid:commentId w16cid:paraId="275F66E0" w16cid:durableId="221FF96A"/>
  <w16cid:commentId w16cid:paraId="7913EE9E" w16cid:durableId="221FF987"/>
  <w16cid:commentId w16cid:paraId="28A15653" w16cid:durableId="2227EF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E01CA"/>
    <w:multiLevelType w:val="hybridMultilevel"/>
    <w:tmpl w:val="4DA41748"/>
    <w:lvl w:ilvl="0" w:tplc="5BFC55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D6"/>
    <w:rsid w:val="00006E70"/>
    <w:rsid w:val="000132A7"/>
    <w:rsid w:val="000202FC"/>
    <w:rsid w:val="00044507"/>
    <w:rsid w:val="00047573"/>
    <w:rsid w:val="0006438B"/>
    <w:rsid w:val="000856B8"/>
    <w:rsid w:val="000971C8"/>
    <w:rsid w:val="000B5F57"/>
    <w:rsid w:val="000C59D9"/>
    <w:rsid w:val="000E1AC4"/>
    <w:rsid w:val="000E5B03"/>
    <w:rsid w:val="000F2606"/>
    <w:rsid w:val="00103BDD"/>
    <w:rsid w:val="001045AC"/>
    <w:rsid w:val="00122D16"/>
    <w:rsid w:val="001328CE"/>
    <w:rsid w:val="00143A8E"/>
    <w:rsid w:val="00144185"/>
    <w:rsid w:val="00147804"/>
    <w:rsid w:val="001A5466"/>
    <w:rsid w:val="001B3C08"/>
    <w:rsid w:val="001B67E1"/>
    <w:rsid w:val="001D62CA"/>
    <w:rsid w:val="00211086"/>
    <w:rsid w:val="00262789"/>
    <w:rsid w:val="0028008E"/>
    <w:rsid w:val="0028204D"/>
    <w:rsid w:val="002B09EC"/>
    <w:rsid w:val="002E6967"/>
    <w:rsid w:val="002F519B"/>
    <w:rsid w:val="0030022A"/>
    <w:rsid w:val="0031622F"/>
    <w:rsid w:val="00325883"/>
    <w:rsid w:val="00336BA5"/>
    <w:rsid w:val="00345AF4"/>
    <w:rsid w:val="00393F22"/>
    <w:rsid w:val="003A095A"/>
    <w:rsid w:val="003F248C"/>
    <w:rsid w:val="003F4A3B"/>
    <w:rsid w:val="00422259"/>
    <w:rsid w:val="00426C0D"/>
    <w:rsid w:val="0043561A"/>
    <w:rsid w:val="00454CF0"/>
    <w:rsid w:val="004609FC"/>
    <w:rsid w:val="004A25AA"/>
    <w:rsid w:val="004A71E1"/>
    <w:rsid w:val="004B4255"/>
    <w:rsid w:val="00511B44"/>
    <w:rsid w:val="00517E66"/>
    <w:rsid w:val="00576ACE"/>
    <w:rsid w:val="005914F7"/>
    <w:rsid w:val="00593887"/>
    <w:rsid w:val="005C547D"/>
    <w:rsid w:val="005D15B0"/>
    <w:rsid w:val="005D37AF"/>
    <w:rsid w:val="00622426"/>
    <w:rsid w:val="00624045"/>
    <w:rsid w:val="00652E8A"/>
    <w:rsid w:val="00665486"/>
    <w:rsid w:val="00683CFE"/>
    <w:rsid w:val="006C0E39"/>
    <w:rsid w:val="006D07B1"/>
    <w:rsid w:val="006E0C61"/>
    <w:rsid w:val="006E44AD"/>
    <w:rsid w:val="006F1E4D"/>
    <w:rsid w:val="00706A91"/>
    <w:rsid w:val="007164E4"/>
    <w:rsid w:val="0072483C"/>
    <w:rsid w:val="00737D5F"/>
    <w:rsid w:val="00745CD3"/>
    <w:rsid w:val="007651EB"/>
    <w:rsid w:val="0077135F"/>
    <w:rsid w:val="00797B60"/>
    <w:rsid w:val="007C392A"/>
    <w:rsid w:val="007C696F"/>
    <w:rsid w:val="007D065C"/>
    <w:rsid w:val="007E51E7"/>
    <w:rsid w:val="007F1585"/>
    <w:rsid w:val="00833A98"/>
    <w:rsid w:val="0083628E"/>
    <w:rsid w:val="008419DC"/>
    <w:rsid w:val="00864A40"/>
    <w:rsid w:val="00864D4C"/>
    <w:rsid w:val="008663AB"/>
    <w:rsid w:val="00883F65"/>
    <w:rsid w:val="008A7A14"/>
    <w:rsid w:val="008B6F26"/>
    <w:rsid w:val="008C6CFC"/>
    <w:rsid w:val="008F2DF0"/>
    <w:rsid w:val="0091260F"/>
    <w:rsid w:val="0092614D"/>
    <w:rsid w:val="0093283D"/>
    <w:rsid w:val="00973BEE"/>
    <w:rsid w:val="009754A8"/>
    <w:rsid w:val="00982D30"/>
    <w:rsid w:val="00990B00"/>
    <w:rsid w:val="00993195"/>
    <w:rsid w:val="0099701D"/>
    <w:rsid w:val="009B702B"/>
    <w:rsid w:val="009C404C"/>
    <w:rsid w:val="009D32B4"/>
    <w:rsid w:val="009D5335"/>
    <w:rsid w:val="009D6BC6"/>
    <w:rsid w:val="009E3B5C"/>
    <w:rsid w:val="009E536D"/>
    <w:rsid w:val="009F4A02"/>
    <w:rsid w:val="00A07C33"/>
    <w:rsid w:val="00A2275C"/>
    <w:rsid w:val="00A367D0"/>
    <w:rsid w:val="00A40624"/>
    <w:rsid w:val="00A63E27"/>
    <w:rsid w:val="00A6529B"/>
    <w:rsid w:val="00A81DFE"/>
    <w:rsid w:val="00A906F7"/>
    <w:rsid w:val="00AC21D7"/>
    <w:rsid w:val="00AC7BFB"/>
    <w:rsid w:val="00AE1848"/>
    <w:rsid w:val="00AE384F"/>
    <w:rsid w:val="00AF0CE6"/>
    <w:rsid w:val="00AF1EE1"/>
    <w:rsid w:val="00B002D0"/>
    <w:rsid w:val="00B00CD6"/>
    <w:rsid w:val="00B07FC5"/>
    <w:rsid w:val="00B13554"/>
    <w:rsid w:val="00B136E5"/>
    <w:rsid w:val="00B26A2C"/>
    <w:rsid w:val="00B4419B"/>
    <w:rsid w:val="00B47E32"/>
    <w:rsid w:val="00B76F61"/>
    <w:rsid w:val="00B807E4"/>
    <w:rsid w:val="00B83FDA"/>
    <w:rsid w:val="00B86946"/>
    <w:rsid w:val="00BB37A1"/>
    <w:rsid w:val="00BC341D"/>
    <w:rsid w:val="00BC575F"/>
    <w:rsid w:val="00BC6687"/>
    <w:rsid w:val="00BE04CF"/>
    <w:rsid w:val="00BF3F46"/>
    <w:rsid w:val="00BF42C5"/>
    <w:rsid w:val="00BF6A66"/>
    <w:rsid w:val="00C01D2C"/>
    <w:rsid w:val="00C10AA1"/>
    <w:rsid w:val="00C31C34"/>
    <w:rsid w:val="00C5078A"/>
    <w:rsid w:val="00C64662"/>
    <w:rsid w:val="00C64A62"/>
    <w:rsid w:val="00C76404"/>
    <w:rsid w:val="00C8333D"/>
    <w:rsid w:val="00C873FC"/>
    <w:rsid w:val="00C87709"/>
    <w:rsid w:val="00C92624"/>
    <w:rsid w:val="00CA45CA"/>
    <w:rsid w:val="00CC10F4"/>
    <w:rsid w:val="00CD05C5"/>
    <w:rsid w:val="00D1708A"/>
    <w:rsid w:val="00D57C5D"/>
    <w:rsid w:val="00D75621"/>
    <w:rsid w:val="00DA3054"/>
    <w:rsid w:val="00DA5A0C"/>
    <w:rsid w:val="00DB27C6"/>
    <w:rsid w:val="00DF2DEF"/>
    <w:rsid w:val="00E01F1C"/>
    <w:rsid w:val="00E07821"/>
    <w:rsid w:val="00E16F8E"/>
    <w:rsid w:val="00E24B79"/>
    <w:rsid w:val="00E30D08"/>
    <w:rsid w:val="00E522B4"/>
    <w:rsid w:val="00E641E4"/>
    <w:rsid w:val="00E7534E"/>
    <w:rsid w:val="00E8401A"/>
    <w:rsid w:val="00E854C3"/>
    <w:rsid w:val="00E86BD9"/>
    <w:rsid w:val="00EA265E"/>
    <w:rsid w:val="00EC2370"/>
    <w:rsid w:val="00EE4AFB"/>
    <w:rsid w:val="00EF60B4"/>
    <w:rsid w:val="00EF75FD"/>
    <w:rsid w:val="00F24EB9"/>
    <w:rsid w:val="00F32BAD"/>
    <w:rsid w:val="00F364B7"/>
    <w:rsid w:val="00F705C1"/>
    <w:rsid w:val="00F71CDE"/>
    <w:rsid w:val="00F82622"/>
    <w:rsid w:val="00F83CC5"/>
    <w:rsid w:val="00FA323C"/>
    <w:rsid w:val="00FA5A8D"/>
    <w:rsid w:val="00FC0059"/>
    <w:rsid w:val="00FC24F3"/>
    <w:rsid w:val="00FC367F"/>
    <w:rsid w:val="00FD122D"/>
    <w:rsid w:val="00FE00F2"/>
    <w:rsid w:val="00FE4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808"/>
  <w15:chartTrackingRefBased/>
  <w15:docId w15:val="{8FDF925D-DF5B-493B-99A4-C2514FEC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A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4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A0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A5A0C"/>
    <w:rPr>
      <w:sz w:val="16"/>
      <w:szCs w:val="16"/>
    </w:rPr>
  </w:style>
  <w:style w:type="paragraph" w:styleId="CommentText">
    <w:name w:val="annotation text"/>
    <w:basedOn w:val="Normal"/>
    <w:link w:val="CommentTextChar"/>
    <w:uiPriority w:val="99"/>
    <w:semiHidden/>
    <w:unhideWhenUsed/>
    <w:rsid w:val="00DA5A0C"/>
    <w:pPr>
      <w:spacing w:line="240" w:lineRule="auto"/>
    </w:pPr>
    <w:rPr>
      <w:sz w:val="20"/>
      <w:szCs w:val="20"/>
    </w:rPr>
  </w:style>
  <w:style w:type="character" w:customStyle="1" w:styleId="CommentTextChar">
    <w:name w:val="Comment Text Char"/>
    <w:basedOn w:val="DefaultParagraphFont"/>
    <w:link w:val="CommentText"/>
    <w:uiPriority w:val="99"/>
    <w:semiHidden/>
    <w:rsid w:val="00DA5A0C"/>
    <w:rPr>
      <w:sz w:val="20"/>
      <w:szCs w:val="20"/>
    </w:rPr>
  </w:style>
  <w:style w:type="paragraph" w:styleId="CommentSubject">
    <w:name w:val="annotation subject"/>
    <w:basedOn w:val="CommentText"/>
    <w:next w:val="CommentText"/>
    <w:link w:val="CommentSubjectChar"/>
    <w:uiPriority w:val="99"/>
    <w:semiHidden/>
    <w:unhideWhenUsed/>
    <w:rsid w:val="00DA5A0C"/>
    <w:rPr>
      <w:b/>
      <w:bCs/>
    </w:rPr>
  </w:style>
  <w:style w:type="character" w:customStyle="1" w:styleId="CommentSubjectChar">
    <w:name w:val="Comment Subject Char"/>
    <w:basedOn w:val="CommentTextChar"/>
    <w:link w:val="CommentSubject"/>
    <w:uiPriority w:val="99"/>
    <w:semiHidden/>
    <w:rsid w:val="00DA5A0C"/>
    <w:rPr>
      <w:b/>
      <w:bCs/>
      <w:sz w:val="20"/>
      <w:szCs w:val="20"/>
    </w:rPr>
  </w:style>
  <w:style w:type="paragraph" w:styleId="BalloonText">
    <w:name w:val="Balloon Text"/>
    <w:basedOn w:val="Normal"/>
    <w:link w:val="BalloonTextChar"/>
    <w:uiPriority w:val="99"/>
    <w:semiHidden/>
    <w:unhideWhenUsed/>
    <w:rsid w:val="00DA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A0C"/>
    <w:rPr>
      <w:rFonts w:ascii="Segoe UI" w:hAnsi="Segoe UI" w:cs="Segoe UI"/>
      <w:sz w:val="18"/>
      <w:szCs w:val="18"/>
    </w:rPr>
  </w:style>
  <w:style w:type="paragraph" w:styleId="Revision">
    <w:name w:val="Revision"/>
    <w:hidden/>
    <w:uiPriority w:val="99"/>
    <w:semiHidden/>
    <w:rsid w:val="00DA5A0C"/>
    <w:pPr>
      <w:spacing w:after="0" w:line="240" w:lineRule="auto"/>
    </w:pPr>
  </w:style>
  <w:style w:type="paragraph" w:customStyle="1" w:styleId="MaterialsandMethodsText">
    <w:name w:val="Materials and Methods Text"/>
    <w:basedOn w:val="Normal"/>
    <w:qFormat/>
    <w:rsid w:val="00C64A62"/>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C64A6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4A62"/>
    <w:rPr>
      <w:color w:val="0000FF"/>
      <w:u w:val="single"/>
    </w:rPr>
  </w:style>
  <w:style w:type="character" w:styleId="PlaceholderText">
    <w:name w:val="Placeholder Text"/>
    <w:basedOn w:val="DefaultParagraphFont"/>
    <w:uiPriority w:val="99"/>
    <w:semiHidden/>
    <w:rsid w:val="003F248C"/>
    <w:rPr>
      <w:color w:val="808080"/>
    </w:rPr>
  </w:style>
  <w:style w:type="character" w:customStyle="1" w:styleId="Heading3Char">
    <w:name w:val="Heading 3 Char"/>
    <w:basedOn w:val="DefaultParagraphFont"/>
    <w:link w:val="Heading3"/>
    <w:uiPriority w:val="9"/>
    <w:rsid w:val="00DF2DE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0022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jpe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EB4DFF-87CD-40A1-A9D8-71303A7AB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4730</TotalTime>
  <Pages>15</Pages>
  <Words>14930</Words>
  <Characters>85102</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Jan Joerges</dc:creator>
  <cp:keywords/>
  <dc:description/>
  <cp:lastModifiedBy>Björn Jörges</cp:lastModifiedBy>
  <cp:revision>141</cp:revision>
  <dcterms:created xsi:type="dcterms:W3CDTF">2020-03-09T22:29:00Z</dcterms:created>
  <dcterms:modified xsi:type="dcterms:W3CDTF">2020-03-27T10:38:00Z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