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r>
        <w:t>stereoblind</w:t>
      </w:r>
      <w:commentRangeEnd w:id="0"/>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m is the mass of the object (0.06 kg for the tennis ball and 0.6 kg for the basketball).</w:t>
      </w:r>
    </w:p>
    <w:p w14:paraId="5D1C1A1E" w14:textId="77777777" w:rsidR="00047573" w:rsidRDefault="00047573" w:rsidP="00047573">
      <w:pPr>
        <w:pStyle w:val="Heading2"/>
      </w:pPr>
      <w:commentRangeStart w:id="3"/>
      <w:r>
        <w:rPr>
          <w:noProof/>
        </w:rPr>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3"/>
      <w:r w:rsidR="001B67E1">
        <w:rPr>
          <w:rStyle w:val="CommentReference"/>
          <w:rFonts w:asciiTheme="minorHAnsi" w:eastAsiaTheme="minorHAnsi" w:hAnsiTheme="minorHAnsi" w:cstheme="minorBidi"/>
          <w:color w:val="auto"/>
        </w:rPr>
        <w:commentReference w:id="3"/>
      </w:r>
    </w:p>
    <w:p w14:paraId="0D7BA975" w14:textId="7BF34E60" w:rsidR="009F4A02" w:rsidRDefault="00047573" w:rsidP="00047573">
      <w:pPr>
        <w:pStyle w:val="Caption"/>
      </w:pPr>
      <w:r>
        <w:t xml:space="preserve">Figure </w:t>
      </w:r>
      <w:fldSimple w:instr=" SEQ Figure \* ARABIC ">
        <w:r w:rsidR="007E51E7">
          <w:rPr>
            <w:noProof/>
          </w:rPr>
          <w:t>1</w:t>
        </w:r>
      </w:fldSimple>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77777777" w:rsidR="00047573" w:rsidRPr="00047573" w:rsidRDefault="00047573" w:rsidP="00047573"/>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lastRenderedPageBreak/>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3BA7C451" w:rsidR="004A25AA" w:rsidRDefault="009F4A02" w:rsidP="00EC2370">
      <w:pPr>
        <w:jc w:val="both"/>
      </w:pPr>
      <w:r>
        <w:t>We then removed those trials as outliers where the temporal or the spatial error were 2.5 standard deviations below or above the mean of this metric per condition and participant</w:t>
      </w:r>
      <w:r w:rsidR="006F1E4D">
        <w:t xml:space="preserve">, which excludes 1230 out of 19200 trials overall.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p>
    <w:p w14:paraId="323DD6DB" w14:textId="27FEEC82" w:rsidR="009D5335" w:rsidRDefault="009D5335" w:rsidP="00EC2370">
      <w:pPr>
        <w:jc w:val="both"/>
      </w:pPr>
      <w:r>
        <w:t xml:space="preserve">We test each hypothesis both temporally and spatially. For </w:t>
      </w:r>
      <w:r w:rsidRPr="00C64662">
        <w:rPr>
          <w:b/>
          <w:bCs/>
        </w:rPr>
        <w:t>Hypothesis 1</w:t>
      </w:r>
      <w:r>
        <w:t>, we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In the temporal task, participants are expected to respond too late when no air drag is simulated in the visible part as the trajectory because air drag would slow the target down on its way from peak back to the initial level.</w:t>
      </w:r>
      <w:r w:rsidR="00C64662">
        <w:t xml:space="preserve"> (Prediction 1a). In the spatial task, participants should expect the ball to be slowed down by air drag, so we predict an undershoot in participant responses (i. e. they place the object too far to the left; Prediction 1b).</w:t>
      </w:r>
    </w:p>
    <w:p w14:paraId="66CFE4B8" w14:textId="385263D7" w:rsidR="00C64662" w:rsidRDefault="00C64662" w:rsidP="00EC2370">
      <w:pPr>
        <w:jc w:val="both"/>
      </w:pPr>
      <w:r>
        <w:t>For Hypothesis 2, we expect the texture of the object to affect how participants extrapolate motion. For the target with tennis ball texture, but basket ball size and mass, participants should respond too late</w:t>
      </w:r>
    </w:p>
    <w:p w14:paraId="0097C413" w14:textId="684E3657" w:rsidR="009D5335" w:rsidRPr="009D5335" w:rsidRDefault="009D5335" w:rsidP="00EC2370">
      <w:pPr>
        <w:jc w:val="both"/>
        <w:rPr>
          <w:b/>
          <w:bCs/>
        </w:rPr>
      </w:pPr>
      <w:r w:rsidRPr="009D5335">
        <w:rPr>
          <w:b/>
          <w:bCs/>
        </w:rPr>
        <w:t xml:space="preserve">Prediction 1a </w:t>
      </w:r>
      <w:r>
        <w:rPr>
          <w:b/>
          <w:bCs/>
        </w:rPr>
        <w:t xml:space="preserve">In the temporal task, </w:t>
      </w:r>
    </w:p>
    <w:p w14:paraId="3F752FB4" w14:textId="0DB3E662" w:rsidR="00C8333D" w:rsidRDefault="00C8333D" w:rsidP="0006438B">
      <w:pPr>
        <w:jc w:val="both"/>
        <w:rPr>
          <w:rFonts w:eastAsiaTheme="minorEastAsia"/>
        </w:rPr>
      </w:pPr>
    </w:p>
    <w:p w14:paraId="3C91F271" w14:textId="1C28A126" w:rsidR="000F2606" w:rsidRPr="00C8333D" w:rsidRDefault="00C8333D" w:rsidP="000F2606">
      <w:pPr>
        <w:pStyle w:val="Heading2"/>
        <w:rPr>
          <w:rFonts w:eastAsiaTheme="minorEastAsia"/>
        </w:rPr>
      </w:pPr>
      <w:r>
        <w:rPr>
          <w:rFonts w:eastAsiaTheme="minorEastAsia"/>
        </w:rPr>
        <w:t xml:space="preserve">Results - </w:t>
      </w:r>
      <w:r w:rsidR="000F2606">
        <w:t>Confirmatory Analyses</w:t>
      </w:r>
    </w:p>
    <w:p w14:paraId="77D0A381" w14:textId="666ACB9C" w:rsidR="00DF2DEF" w:rsidRDefault="00DF2DEF" w:rsidP="00DF2DEF">
      <w:pPr>
        <w:pStyle w:val="Heading3"/>
      </w:pPr>
      <w:r>
        <w:t>Hypothesis 1: Representation of Air Drag</w:t>
      </w:r>
    </w:p>
    <w:p w14:paraId="5894D6DA" w14:textId="2C46446B" w:rsidR="000F2606" w:rsidRDefault="00FA323C" w:rsidP="00EC2370">
      <w:pPr>
        <w:jc w:val="both"/>
      </w:pPr>
      <w:r>
        <w:t xml:space="preserve">First, we test the timing responses. </w:t>
      </w:r>
      <w:r>
        <w:fldChar w:fldCharType="begin"/>
      </w:r>
      <w:r>
        <w:instrText xml:space="preserve"> REF _Ref36174245 \h </w:instrText>
      </w:r>
      <w:r>
        <w:fldChar w:fldCharType="separate"/>
      </w:r>
      <w:r>
        <w:t xml:space="preserve">Figure </w:t>
      </w:r>
      <w:r>
        <w:rPr>
          <w:noProof/>
        </w:rPr>
        <w:t>2</w:t>
      </w:r>
      <w:r>
        <w:fldChar w:fldCharType="end"/>
      </w:r>
      <w:r>
        <w:t>A displays the distribution of responses for the timing task.</w:t>
      </w:r>
      <w:r>
        <w:t xml:space="preserve"> </w:t>
      </w:r>
      <w:r w:rsidR="000F2606">
        <w:t xml:space="preserve">To test </w:t>
      </w:r>
      <w:r>
        <w:t>our</w:t>
      </w:r>
      <w:r w:rsidR="000F2606">
        <w:t xml:space="preserve">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75CFB348"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xml:space="preserve">, as in both cases, responses would occur later in the Air Drag: Absent condition than in the Air Drag: Present condition. The tiebreaker to this question is which of the conditions is more accurate (i. e. an error ratio closer to 1). In our frequentist framework, we </w:t>
      </w:r>
      <w:r w:rsidR="007651EB">
        <w:lastRenderedPageBreak/>
        <w:t>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(Airdrag: Present and Airdrag: Absent), the Test Model is significantly better than the Null Model (p = 0.53 and p = 0.64</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rstan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hypothesis is whether performance for Air Drag: Present (i. e. the intercept) differs more from 1 than performance for Air Drag: Absent (i.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02D61FD0" w:rsidR="00EE4AFB" w:rsidRDefault="00EE4AFB" w:rsidP="00EC2370">
      <w:pPr>
        <w:jc w:val="both"/>
      </w:pPr>
      <w:r>
        <w:t xml:space="preserve">For the spatial task,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lastRenderedPageBreak/>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67684E0B"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3D34BAAC" w14:textId="77777777" w:rsidR="001B67E1" w:rsidRDefault="001B67E1" w:rsidP="001B67E1">
      <w:pPr>
        <w:keepNext/>
        <w:jc w:val="both"/>
      </w:pPr>
      <w:r>
        <w:rPr>
          <w:noProof/>
        </w:rPr>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4" w:name="_Ref36174245"/>
      <w:r>
        <w:t xml:space="preserve">Figure </w:t>
      </w:r>
      <w:fldSimple w:instr=" SEQ Figure \* ARABIC ">
        <w:r w:rsidR="007E51E7">
          <w:rPr>
            <w:noProof/>
          </w:rPr>
          <w:t>2</w:t>
        </w:r>
      </w:fldSimple>
      <w:bookmarkEnd w:id="4"/>
      <w:r>
        <w:t>: Distribution of responses error ratios for Airdrag and No Airdrag.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61E69183"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 Ball, Incongruent condition, we expect responses to be slightly earlier than for Basket Ball, </w:t>
      </w:r>
      <w:r w:rsidR="00FC24F3">
        <w:t>Congruent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 xml:space="preserve">A Likelihood Ratio Test (anova()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E4DC618" w:rsidR="00BF3F46" w:rsidRDefault="00833A98" w:rsidP="00EC2370">
      <w:pPr>
        <w:jc w:val="both"/>
      </w:pPr>
      <w:r>
        <w:t>We perform the same procedure for the spatial task.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47CAD6B6" w:rsidR="00FA5A8D" w:rsidRDefault="00C8333D" w:rsidP="00EC2370">
      <w:pPr>
        <w:jc w:val="both"/>
      </w:pPr>
      <w:r>
        <w:t>a</w:t>
      </w:r>
      <w:r w:rsidR="00EA265E">
        <w:t>gain with a Likelihood Ratio Test</w:t>
      </w:r>
      <w:r>
        <w:t xml:space="preserve"> (anova()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5" w:name="_Ref36173219"/>
      <w:r>
        <w:t xml:space="preserve">Figure </w:t>
      </w:r>
      <w:fldSimple w:instr=" SEQ Figure \* ARABIC ">
        <w:r w:rsidR="007E51E7">
          <w:rPr>
            <w:noProof/>
          </w:rPr>
          <w:t>3</w:t>
        </w:r>
      </w:fldSimple>
      <w:bookmarkEnd w:id="5"/>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08FC04AA" w14:textId="77777777" w:rsidR="00A81DFE" w:rsidRDefault="00A81DFE" w:rsidP="00EC2370">
      <w:pPr>
        <w:jc w:val="both"/>
      </w:pPr>
    </w:p>
    <w:p w14:paraId="56E920F6" w14:textId="655078C8" w:rsidR="00B07FC5" w:rsidRDefault="00B07FC5" w:rsidP="00BC575F">
      <w:pPr>
        <w:pStyle w:val="Heading3"/>
      </w:pPr>
      <w:r>
        <w:lastRenderedPageBreak/>
        <w:t>Is precision lower when no air drag is presented in the visible part of the trajectory?</w:t>
      </w:r>
    </w:p>
    <w:p w14:paraId="44DD75B4" w14:textId="5E6194BF" w:rsidR="00B07FC5" w:rsidRDefault="00B07FC5" w:rsidP="00B07FC5">
      <w:r>
        <w:t xml:space="preserve">Humans might pick up subtle difference in trajectories unfolding with or without air drag, which might lead to more variable responses. </w:t>
      </w:r>
      <w:r w:rsidR="00BE04CF">
        <w:t xml:space="preserve">And indeed, </w:t>
      </w:r>
      <w:r w:rsidR="00BE04CF">
        <w:fldChar w:fldCharType="begin"/>
      </w:r>
      <w:r w:rsidR="00BE04CF">
        <w:instrText xml:space="preserve"> REF _Ref36174245 \h </w:instrText>
      </w:r>
      <w:r w:rsidR="00BE04CF">
        <w:fldChar w:fldCharType="separate"/>
      </w:r>
      <w:r w:rsidR="00BE04CF">
        <w:t xml:space="preserve">Figure </w:t>
      </w:r>
      <w:r w:rsidR="00BE04CF">
        <w:rPr>
          <w:noProof/>
        </w:rPr>
        <w:t>2</w:t>
      </w:r>
      <w:r w:rsidR="00BE04CF">
        <w:fldChar w:fldCharType="end"/>
      </w:r>
      <w:r w:rsidR="00BE04CF">
        <w:t xml:space="preserve"> suggests that there might be variability</w:t>
      </w:r>
      <w:r w:rsidR="00DA3054">
        <w:t xml:space="preserve"> </w:t>
      </w:r>
      <w:r w:rsidR="00BE04CF">
        <w:t>differences between the Airdrag: Present and Air Drag: Absent conditions</w:t>
      </w:r>
      <w:r w:rsidR="00DA3054">
        <w:t>, especially in the timing task.</w:t>
      </w:r>
      <w:r w:rsidR="00BE04CF">
        <w:t xml:space="preserve"> </w:t>
      </w:r>
      <w:r>
        <w:t>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we found a Posterior Probability of nearly 1 and a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m;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4647B238" w14:textId="77777777" w:rsidR="00DA3054" w:rsidRDefault="00DA3054" w:rsidP="00DA3054">
      <w:pPr>
        <w:keepNext/>
        <w:jc w:val="both"/>
      </w:pPr>
      <w:r>
        <w:rPr>
          <w:noProof/>
        </w:rPr>
        <w:lastRenderedPageBreak/>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xml:space="preserve">: Distribution of errors for trials where the ball texture was congruent with its size and other physical properties (Congruent) and where they were incongruent (Incongruent). </w:t>
      </w:r>
      <w:r>
        <w:t>The dotted line represents an error ratio of 1, that is perfect accuracy.</w:t>
      </w:r>
      <w:r>
        <w:t xml:space="preserve"> A. Timing errors. B. Spatial errors.</w:t>
      </w:r>
    </w:p>
    <w:p w14:paraId="17E2F730" w14:textId="77777777" w:rsidR="00DA3054" w:rsidRPr="00DA3054" w:rsidRDefault="00DA3054" w:rsidP="00DA3054"/>
    <w:p w14:paraId="72E83542" w14:textId="0B4A2238" w:rsidR="00864D4C" w:rsidRDefault="00864D4C" w:rsidP="005C547D">
      <w:pPr>
        <w:pStyle w:val="Heading3"/>
      </w:pPr>
      <w:r>
        <w:t>Do different objects elicit differences in conditions?</w:t>
      </w:r>
    </w:p>
    <w:p w14:paraId="5F3E87DB" w14:textId="2B2499A5"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 especially for the spatial task.</w:t>
      </w:r>
      <w:bookmarkStart w:id="6" w:name="_GoBack"/>
      <w:bookmarkEnd w:id="6"/>
      <w:r w:rsidR="00A2275C">
        <w:t xml:space="preserve"> </w:t>
      </w:r>
      <w:r w:rsidR="00F83CC5">
        <w:t>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we found a Posterior Probability of XX and an Evidence Ratio of XXX ( s; SE = , on a log scale)</w:t>
      </w:r>
      <w:r w:rsidR="000132A7">
        <w:t>.</w:t>
      </w:r>
      <w:r w:rsidR="00A40624">
        <w:t xml:space="preserve"> </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9A2E2F">
        <w:trPr>
          <w:trHeight w:val="376"/>
        </w:trPr>
        <w:tc>
          <w:tcPr>
            <w:tcW w:w="8314" w:type="dxa"/>
            <w:shd w:val="clear" w:color="auto" w:fill="FFFFFF" w:themeFill="background1"/>
            <w:vAlign w:val="center"/>
          </w:tcPr>
          <w:p w14:paraId="63422FED" w14:textId="15501E37" w:rsidR="00A40624" w:rsidRPr="009D32B4" w:rsidRDefault="00A40624"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9A2E2F">
            <w:pPr>
              <w:pStyle w:val="MaterialsandMethodsText"/>
            </w:pPr>
            <w:r w:rsidRPr="00277A48">
              <w:t>[</w:t>
            </w:r>
            <w:r>
              <w:t>20</w:t>
            </w:r>
            <w:r w:rsidRPr="00277A48">
              <w:t>]</w:t>
            </w:r>
          </w:p>
        </w:tc>
      </w:tr>
    </w:tbl>
    <w:p w14:paraId="54CEB217" w14:textId="2A328875" w:rsidR="00A40624" w:rsidRDefault="0028204D" w:rsidP="000F2606">
      <w:r>
        <w:t>For the hypothesis that smaller balls lead to a bias in timing responses, we found a Posterior Probability fo XX and an Evidence Ratio of XXX ( m;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 xml:space="preserve">(Jokisch &amp; Troje, 2003; Lacquaniti et al., 2015; Vallortigara &amp; </w:t>
      </w:r>
      <w:r w:rsidRPr="00F83CC5">
        <w:rPr>
          <w:noProof/>
        </w:rPr>
        <w:lastRenderedPageBreak/>
        <w:t>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9A2E2F">
        <w:trPr>
          <w:trHeight w:val="376"/>
        </w:trPr>
        <w:tc>
          <w:tcPr>
            <w:tcW w:w="8314" w:type="dxa"/>
            <w:shd w:val="clear" w:color="auto" w:fill="FFFFFF" w:themeFill="background1"/>
            <w:vAlign w:val="center"/>
          </w:tcPr>
          <w:p w14:paraId="22FFF03C" w14:textId="77777777"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9A2E2F">
            <w:pPr>
              <w:pStyle w:val="MaterialsandMethodsText"/>
            </w:pPr>
            <w:r w:rsidRPr="00277A48">
              <w:t>[</w:t>
            </w:r>
            <w:r>
              <w:t>20</w:t>
            </w:r>
            <w:r w:rsidRPr="00277A48">
              <w:t>]</w:t>
            </w:r>
          </w:p>
        </w:tc>
      </w:tr>
      <w:tr w:rsidR="00A367D0" w:rsidRPr="00277A48" w14:paraId="256D5833" w14:textId="77777777" w:rsidTr="009A2E2F">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9A2E2F">
        <w:trPr>
          <w:trHeight w:val="376"/>
        </w:trPr>
        <w:tc>
          <w:tcPr>
            <w:tcW w:w="8314" w:type="dxa"/>
            <w:shd w:val="clear" w:color="auto" w:fill="FFFFFF" w:themeFill="background1"/>
            <w:vAlign w:val="center"/>
          </w:tcPr>
          <w:p w14:paraId="648D8AA6" w14:textId="5911C22E"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9A2E2F">
            <w:pPr>
              <w:pStyle w:val="MaterialsandMethodsText"/>
            </w:pPr>
            <w:r w:rsidRPr="00277A48">
              <w:t>[</w:t>
            </w:r>
            <w:r>
              <w:t>20</w:t>
            </w:r>
            <w:r w:rsidRPr="00277A48">
              <w:t>]</w:t>
            </w:r>
          </w:p>
        </w:tc>
      </w:tr>
      <w:tr w:rsidR="00A367D0" w:rsidRPr="00277A48" w14:paraId="79CECA1C" w14:textId="77777777" w:rsidTr="009A2E2F">
        <w:trPr>
          <w:trHeight w:val="376"/>
        </w:trPr>
        <w:tc>
          <w:tcPr>
            <w:tcW w:w="8314" w:type="dxa"/>
            <w:shd w:val="clear" w:color="auto" w:fill="FFFFFF" w:themeFill="background1"/>
            <w:vAlign w:val="center"/>
          </w:tcPr>
          <w:p w14:paraId="7AC34A95" w14:textId="19533508" w:rsidR="00A367D0" w:rsidRDefault="00A367D0"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9A2E2F">
            <w:pPr>
              <w:pStyle w:val="MaterialsandMethodsText"/>
            </w:pPr>
            <w:r w:rsidRPr="00277A48">
              <w:t>[</w:t>
            </w:r>
            <w:r>
              <w:t>20</w:t>
            </w:r>
            <w:r w:rsidRPr="00277A48">
              <w:t>]</w:t>
            </w:r>
          </w:p>
        </w:tc>
      </w:tr>
    </w:tbl>
    <w:p w14:paraId="14F95EF1" w14:textId="5BDC8A69" w:rsidR="00325883" w:rsidRDefault="009754A8" w:rsidP="003F4A3B">
      <w:pPr>
        <w:jc w:val="both"/>
      </w:pPr>
      <w:r>
        <w:t xml:space="preserve">We tested the Test Models against the Null Models with a Likelihood Ratio Test and found the variable “Ball Type” did not improve the model fit significantly, </w:t>
      </w:r>
      <w:r w:rsidR="00122D16">
        <w:t>nor</w:t>
      </w:r>
      <w:r>
        <w:t xml:space="preserve"> for the temporal task (p = 0.88) and </w:t>
      </w:r>
      <w:r w:rsidR="00122D16">
        <w:t xml:space="preserve">nor for </w:t>
      </w:r>
      <w:r>
        <w:t>the spatial task (p = 0.50).</w:t>
      </w:r>
    </w:p>
    <w:p w14:paraId="7BCDE400" w14:textId="60944FA8" w:rsidR="005914F7" w:rsidRDefault="005914F7" w:rsidP="003F4A3B">
      <w:pPr>
        <w:jc w:val="both"/>
      </w:pPr>
      <w:r>
        <w:t>We thus conclude …</w:t>
      </w:r>
    </w:p>
    <w:p w14:paraId="16EA4308" w14:textId="77777777" w:rsidR="007E51E7" w:rsidRDefault="007E51E7" w:rsidP="007E51E7">
      <w:pPr>
        <w:keepNext/>
        <w:jc w:val="both"/>
      </w:pPr>
      <w:r>
        <w:rPr>
          <w:noProof/>
        </w:rPr>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7" w:name="_Ref36175866"/>
      <w:r>
        <w:t xml:space="preserve">Figure </w:t>
      </w:r>
      <w:fldSimple w:instr=" SEQ Figure \* ARABIC ">
        <w:r>
          <w:rPr>
            <w:noProof/>
          </w:rPr>
          <w:t>5</w:t>
        </w:r>
      </w:fldSimple>
      <w:bookmarkEnd w:id="7"/>
      <w:r>
        <w:t xml:space="preserve">: </w:t>
      </w:r>
      <w:r>
        <w:t>Distribution of errors for trials where the</w:t>
      </w:r>
      <w:r>
        <w:t xml:space="preserve"> ball was of tennis ball size (0.033 m) and where the ball was of basketball size (0.12 m)</w:t>
      </w:r>
      <w:r>
        <w:t>.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 xml:space="preserve">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w:t>
      </w:r>
      <w:r w:rsidR="0093283D">
        <w:lastRenderedPageBreak/>
        <w:t>deviations by dividing them by the</w:t>
      </w:r>
      <w:r w:rsidR="009B702B">
        <w:t xml:space="preserve"> mean</w:t>
      </w:r>
      <w:r w:rsidR="0093283D">
        <w:t xml:space="preserve"> Occluded Time</w:t>
      </w:r>
      <w:r w:rsidR="009B702B">
        <w:t xml:space="preserve"> or the Occluded Distance</w:t>
      </w:r>
      <w:r w:rsidR="00864A40">
        <w:t>, respectively</w:t>
      </w:r>
      <w:r w:rsidR="00864A40">
        <w:t>,</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9A2E2F">
        <w:trPr>
          <w:trHeight w:val="376"/>
        </w:trPr>
        <w:tc>
          <w:tcPr>
            <w:tcW w:w="8314" w:type="dxa"/>
            <w:shd w:val="clear" w:color="auto" w:fill="FFFFFF" w:themeFill="background1"/>
            <w:vAlign w:val="center"/>
          </w:tcPr>
          <w:p w14:paraId="4A2EFFA1" w14:textId="738098A8" w:rsidR="00F32BAD" w:rsidRPr="009D32B4" w:rsidRDefault="00F32BAD"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9A2E2F">
            <w:pPr>
              <w:pStyle w:val="MaterialsandMethodsText"/>
            </w:pPr>
            <w:r w:rsidRPr="00277A48">
              <w:t>[</w:t>
            </w:r>
            <w:r>
              <w:t>20</w:t>
            </w:r>
            <w:r w:rsidRPr="00277A48">
              <w:t>]</w:t>
            </w:r>
          </w:p>
        </w:tc>
      </w:tr>
      <w:tr w:rsidR="00F32BAD" w:rsidRPr="00277A48" w14:paraId="7020D58F" w14:textId="77777777" w:rsidTr="009A2E2F">
        <w:trPr>
          <w:trHeight w:val="376"/>
        </w:trPr>
        <w:tc>
          <w:tcPr>
            <w:tcW w:w="8314" w:type="dxa"/>
            <w:shd w:val="clear" w:color="auto" w:fill="FFFFFF" w:themeFill="background1"/>
            <w:vAlign w:val="center"/>
          </w:tcPr>
          <w:p w14:paraId="3462FBE4" w14:textId="2D9D5E23" w:rsidR="00F32BAD" w:rsidRDefault="00F32BAD"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9A2E2F">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9A2E2F">
        <w:trPr>
          <w:trHeight w:val="376"/>
        </w:trPr>
        <w:tc>
          <w:tcPr>
            <w:tcW w:w="8314" w:type="dxa"/>
            <w:shd w:val="clear" w:color="auto" w:fill="FFFFFF" w:themeFill="background1"/>
            <w:vAlign w:val="center"/>
          </w:tcPr>
          <w:p w14:paraId="05614FC0" w14:textId="37CBFC60" w:rsidR="00622426" w:rsidRPr="009D32B4" w:rsidRDefault="00622426"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9A2E2F">
            <w:pPr>
              <w:pStyle w:val="MaterialsandMethodsText"/>
            </w:pPr>
            <w:r w:rsidRPr="00277A48">
              <w:t>[</w:t>
            </w:r>
            <w:r>
              <w:t>20</w:t>
            </w:r>
            <w:r w:rsidRPr="00277A48">
              <w:t>]</w:t>
            </w:r>
          </w:p>
        </w:tc>
      </w:tr>
      <w:tr w:rsidR="00622426" w:rsidRPr="00277A48" w14:paraId="3054F403" w14:textId="77777777" w:rsidTr="009A2E2F">
        <w:trPr>
          <w:trHeight w:val="376"/>
        </w:trPr>
        <w:tc>
          <w:tcPr>
            <w:tcW w:w="8314" w:type="dxa"/>
            <w:shd w:val="clear" w:color="auto" w:fill="FFFFFF" w:themeFill="background1"/>
            <w:vAlign w:val="center"/>
          </w:tcPr>
          <w:p w14:paraId="54E8C126" w14:textId="697D996B" w:rsidR="00622426" w:rsidRDefault="00622426"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9A2E2F">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9A2E2F">
        <w:trPr>
          <w:trHeight w:val="376"/>
        </w:trPr>
        <w:tc>
          <w:tcPr>
            <w:tcW w:w="8314" w:type="dxa"/>
            <w:shd w:val="clear" w:color="auto" w:fill="FFFFFF" w:themeFill="background1"/>
            <w:vAlign w:val="center"/>
          </w:tcPr>
          <w:p w14:paraId="4536CC97" w14:textId="24AADDB7" w:rsidR="00BF42C5" w:rsidRPr="009D32B4" w:rsidRDefault="00BF42C5"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9A2E2F">
            <w:pPr>
              <w:pStyle w:val="MaterialsandMethodsText"/>
            </w:pPr>
            <w:r w:rsidRPr="00277A48">
              <w:t>[</w:t>
            </w:r>
            <w:r>
              <w:t>20</w:t>
            </w:r>
            <w:r w:rsidRPr="00277A48">
              <w:t>]</w:t>
            </w:r>
          </w:p>
        </w:tc>
      </w:tr>
      <w:tr w:rsidR="00BF42C5" w:rsidRPr="00277A48" w14:paraId="03BA7F1B" w14:textId="77777777" w:rsidTr="009A2E2F">
        <w:trPr>
          <w:trHeight w:val="376"/>
        </w:trPr>
        <w:tc>
          <w:tcPr>
            <w:tcW w:w="8314" w:type="dxa"/>
            <w:shd w:val="clear" w:color="auto" w:fill="FFFFFF" w:themeFill="background1"/>
            <w:vAlign w:val="center"/>
          </w:tcPr>
          <w:p w14:paraId="516EE6D4" w14:textId="4A088414" w:rsidR="00BF42C5" w:rsidRDefault="00BF42C5"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9A2E2F">
            <w:pPr>
              <w:pStyle w:val="MaterialsandMethodsText"/>
            </w:pPr>
            <w:r w:rsidRPr="00277A48">
              <w:t>[</w:t>
            </w:r>
            <w:r>
              <w:t>20</w:t>
            </w:r>
            <w:r w:rsidRPr="00277A48">
              <w:t>]</w:t>
            </w:r>
          </w:p>
        </w:tc>
      </w:tr>
    </w:tbl>
    <w:p w14:paraId="4E5589D5" w14:textId="627B8F52" w:rsidR="00325883" w:rsidRDefault="000971C8" w:rsidP="003F4A3B">
      <w:pPr>
        <w:jc w:val="both"/>
      </w:pPr>
      <w:r>
        <w:t xml:space="preserve">We found both Test Models to be significantly better than the Null Models. For the timing task, we found a regression coefficient for SD Ratio Timing of 0.088 s (SE = 0.038 s; p = 0.021). For the spatial task, we found a regression coefficient for SD Ratio Distance of 0.57 m (SE = 0.052; </w:t>
      </w:r>
      <w:r>
        <w:t>p </w:t>
      </w:r>
      <w:r>
        <w:rPr>
          <w:lang w:val="en-CA"/>
        </w:rPr>
        <w:t>&lt;</w:t>
      </w:r>
      <w:r>
        <w:t> 2*10^16</w:t>
      </w:r>
      <w:r>
        <w:t>).</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airdrag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9A2E2F">
        <w:trPr>
          <w:trHeight w:val="376"/>
        </w:trPr>
        <w:tc>
          <w:tcPr>
            <w:tcW w:w="8314" w:type="dxa"/>
            <w:shd w:val="clear" w:color="auto" w:fill="FFFFFF" w:themeFill="background1"/>
            <w:vAlign w:val="center"/>
          </w:tcPr>
          <w:p w14:paraId="3E286793" w14:textId="489862D6" w:rsidR="004A71E1" w:rsidRPr="009D32B4" w:rsidRDefault="004A71E1"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9A2E2F">
            <w:pPr>
              <w:pStyle w:val="MaterialsandMethodsText"/>
            </w:pPr>
            <w:r w:rsidRPr="00277A48">
              <w:t>[</w:t>
            </w:r>
            <w:r>
              <w:t>20</w:t>
            </w:r>
            <w:r w:rsidRPr="00277A48">
              <w:t>]</w:t>
            </w:r>
          </w:p>
        </w:tc>
      </w:tr>
      <w:tr w:rsidR="004A71E1" w:rsidRPr="00277A48" w14:paraId="10E7CC97" w14:textId="77777777" w:rsidTr="009A2E2F">
        <w:trPr>
          <w:trHeight w:val="376"/>
        </w:trPr>
        <w:tc>
          <w:tcPr>
            <w:tcW w:w="8314" w:type="dxa"/>
            <w:shd w:val="clear" w:color="auto" w:fill="FFFFFF" w:themeFill="background1"/>
            <w:vAlign w:val="center"/>
          </w:tcPr>
          <w:p w14:paraId="26B337B2" w14:textId="496BB45A" w:rsidR="004A71E1" w:rsidRDefault="004A71E1"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oMath>
            </m:oMathPara>
          </w:p>
        </w:tc>
        <w:tc>
          <w:tcPr>
            <w:tcW w:w="783" w:type="dxa"/>
            <w:shd w:val="clear" w:color="auto" w:fill="FFFFFF" w:themeFill="background1"/>
            <w:vAlign w:val="center"/>
          </w:tcPr>
          <w:p w14:paraId="446C7C42" w14:textId="77777777" w:rsidR="004A71E1" w:rsidRPr="00277A48" w:rsidRDefault="004A71E1" w:rsidP="009A2E2F">
            <w:pPr>
              <w:pStyle w:val="MaterialsandMethodsText"/>
            </w:pPr>
            <w:r w:rsidRPr="00277A48">
              <w:t>[</w:t>
            </w:r>
            <w:r>
              <w:t>20</w:t>
            </w:r>
            <w:r w:rsidRPr="00277A48">
              <w:t>]</w:t>
            </w:r>
          </w:p>
        </w:tc>
      </w:tr>
    </w:tbl>
    <w:p w14:paraId="318F281B" w14:textId="22500512" w:rsidR="004A71E1" w:rsidRDefault="00FC367F" w:rsidP="003F4A3B">
      <w:pPr>
        <w:jc w:val="both"/>
      </w:pPr>
      <w:r>
        <w:lastRenderedPageBreak/>
        <w:t>Using the hypothesis()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drawing>
          <wp:inline distT="0" distB="0" distL="0" distR="0" wp14:anchorId="507EEA8F" wp14:editId="15C019D3">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8" w:name="_Ref36169278"/>
      <w:bookmarkStart w:id="9" w:name="_Ref36169284"/>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9"/>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8"/>
    </w:p>
    <w:p w14:paraId="5AE7B51B" w14:textId="061BAFCB" w:rsidR="00143A8E" w:rsidRPr="0030022A" w:rsidRDefault="00143A8E" w:rsidP="003F4A3B">
      <w:pPr>
        <w:jc w:val="both"/>
      </w:pPr>
    </w:p>
    <w:p w14:paraId="6F33B032" w14:textId="2CFB69DF" w:rsidR="00143A8E" w:rsidRPr="0030022A" w:rsidRDefault="00143A8E" w:rsidP="003F4A3B">
      <w:pPr>
        <w:jc w:val="both"/>
      </w:pPr>
    </w:p>
    <w:p w14:paraId="441965A8" w14:textId="24B81CF5" w:rsidR="00143A8E" w:rsidRPr="0030022A" w:rsidRDefault="00143A8E" w:rsidP="00143A8E">
      <w:pPr>
        <w:pStyle w:val="Heading2"/>
        <w:rPr>
          <w:lang w:val="es-ES"/>
        </w:rPr>
      </w:pPr>
      <w:r w:rsidRPr="0030022A">
        <w:rPr>
          <w:lang w:val="es-ES"/>
        </w:rPr>
        <w:t>References</w:t>
      </w:r>
    </w:p>
    <w:p w14:paraId="3A744F10" w14:textId="4F74CDD6"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3A8E">
        <w:rPr>
          <w:rFonts w:ascii="Calibri" w:hAnsi="Calibri" w:cs="Calibri"/>
          <w:noProof/>
          <w:szCs w:val="24"/>
        </w:rPr>
        <w:t xml:space="preserve">Bates, D., Mächler, M., Bolker, B. M., &amp; Walker, S. C. (2015). Fitting linear mixed-effects models using lme4. </w:t>
      </w:r>
      <w:r w:rsidRPr="00143A8E">
        <w:rPr>
          <w:rFonts w:ascii="Calibri" w:hAnsi="Calibri" w:cs="Calibri"/>
          <w:i/>
          <w:iCs/>
          <w:noProof/>
          <w:szCs w:val="24"/>
        </w:rPr>
        <w:t>Journal of Statistical Software</w:t>
      </w:r>
      <w:r w:rsidRPr="00143A8E">
        <w:rPr>
          <w:rFonts w:ascii="Calibri" w:hAnsi="Calibri" w:cs="Calibri"/>
          <w:noProof/>
          <w:szCs w:val="24"/>
        </w:rPr>
        <w:t xml:space="preserve">, </w:t>
      </w:r>
      <w:r w:rsidRPr="00143A8E">
        <w:rPr>
          <w:rFonts w:ascii="Calibri" w:hAnsi="Calibri" w:cs="Calibri"/>
          <w:i/>
          <w:iCs/>
          <w:noProof/>
          <w:szCs w:val="24"/>
        </w:rPr>
        <w:t>67</w:t>
      </w:r>
      <w:r w:rsidRPr="00143A8E">
        <w:rPr>
          <w:rFonts w:ascii="Calibri" w:hAnsi="Calibri" w:cs="Calibri"/>
          <w:noProof/>
          <w:szCs w:val="24"/>
        </w:rPr>
        <w:t>(1). https://doi.org/10.18637/jss.v067.i01</w:t>
      </w:r>
    </w:p>
    <w:p w14:paraId="1B09E88A"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Bosco, G., Delle Monache, S., Gravano, S., Indovina, I., La Scaleia, B., Maffei, V., … Lacquaniti, F. (2015). Filling gaps in visual motion for target capture. </w:t>
      </w:r>
      <w:r w:rsidRPr="00143A8E">
        <w:rPr>
          <w:rFonts w:ascii="Calibri" w:hAnsi="Calibri" w:cs="Calibri"/>
          <w:i/>
          <w:iCs/>
          <w:noProof/>
          <w:szCs w:val="24"/>
        </w:rPr>
        <w:t>Frontiers in Integrative Neuroscience</w:t>
      </w:r>
      <w:r w:rsidRPr="00143A8E">
        <w:rPr>
          <w:rFonts w:ascii="Calibri" w:hAnsi="Calibri" w:cs="Calibri"/>
          <w:noProof/>
          <w:szCs w:val="24"/>
        </w:rPr>
        <w:t xml:space="preserve">, </w:t>
      </w:r>
      <w:r w:rsidRPr="00143A8E">
        <w:rPr>
          <w:rFonts w:ascii="Calibri" w:hAnsi="Calibri" w:cs="Calibri"/>
          <w:i/>
          <w:iCs/>
          <w:noProof/>
          <w:szCs w:val="24"/>
        </w:rPr>
        <w:t>9</w:t>
      </w:r>
      <w:r w:rsidRPr="00143A8E">
        <w:rPr>
          <w:rFonts w:ascii="Calibri" w:hAnsi="Calibri" w:cs="Calibri"/>
          <w:noProof/>
          <w:szCs w:val="24"/>
        </w:rPr>
        <w:t>. https://doi.org/10.3389/fnint.2015.00013</w:t>
      </w:r>
    </w:p>
    <w:p w14:paraId="662AB3CC"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Bürkner, P. C. (2018). Advanced Bayesian multilevel modeling with the R package brms. </w:t>
      </w:r>
      <w:r w:rsidRPr="00143A8E">
        <w:rPr>
          <w:rFonts w:ascii="Calibri" w:hAnsi="Calibri" w:cs="Calibri"/>
          <w:i/>
          <w:iCs/>
          <w:noProof/>
          <w:szCs w:val="24"/>
        </w:rPr>
        <w:t>R Journal</w:t>
      </w:r>
      <w:r w:rsidRPr="00143A8E">
        <w:rPr>
          <w:rFonts w:ascii="Calibri" w:hAnsi="Calibri" w:cs="Calibri"/>
          <w:noProof/>
          <w:szCs w:val="24"/>
        </w:rPr>
        <w:t xml:space="preserve">, </w:t>
      </w:r>
      <w:r w:rsidRPr="00143A8E">
        <w:rPr>
          <w:rFonts w:ascii="Calibri" w:hAnsi="Calibri" w:cs="Calibri"/>
          <w:i/>
          <w:iCs/>
          <w:noProof/>
          <w:szCs w:val="24"/>
        </w:rPr>
        <w:t>10</w:t>
      </w:r>
      <w:r w:rsidRPr="00143A8E">
        <w:rPr>
          <w:rFonts w:ascii="Calibri" w:hAnsi="Calibri" w:cs="Calibri"/>
          <w:noProof/>
          <w:szCs w:val="24"/>
        </w:rPr>
        <w:t>(1), 395–411. https://doi.org/10.32614/rj-2018-017</w:t>
      </w:r>
    </w:p>
    <w:p w14:paraId="0F4085C2"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Gómez, J., &amp; López-Moliner, J. (2013). Synergies between optical and physical variables in intercepting parabolic targets. </w:t>
      </w:r>
      <w:r w:rsidRPr="00143A8E">
        <w:rPr>
          <w:rFonts w:ascii="Calibri" w:hAnsi="Calibri" w:cs="Calibri"/>
          <w:i/>
          <w:iCs/>
          <w:noProof/>
          <w:szCs w:val="24"/>
        </w:rPr>
        <w:t>Frontiers in Behavioral Neuroscience</w:t>
      </w:r>
      <w:r w:rsidRPr="00143A8E">
        <w:rPr>
          <w:rFonts w:ascii="Calibri" w:hAnsi="Calibri" w:cs="Calibri"/>
          <w:noProof/>
          <w:szCs w:val="24"/>
        </w:rPr>
        <w:t xml:space="preserve">, </w:t>
      </w:r>
      <w:r w:rsidRPr="00143A8E">
        <w:rPr>
          <w:rFonts w:ascii="Calibri" w:hAnsi="Calibri" w:cs="Calibri"/>
          <w:i/>
          <w:iCs/>
          <w:noProof/>
          <w:szCs w:val="24"/>
        </w:rPr>
        <w:t>7</w:t>
      </w:r>
      <w:r w:rsidRPr="00143A8E">
        <w:rPr>
          <w:rFonts w:ascii="Calibri" w:hAnsi="Calibri" w:cs="Calibri"/>
          <w:noProof/>
          <w:szCs w:val="24"/>
        </w:rPr>
        <w:t>(May), 46. https://doi.org/10.3389/fnbeh.2013.00046</w:t>
      </w:r>
    </w:p>
    <w:p w14:paraId="3958257D"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Hosking, S. G., &amp; Crassini, B. (2010). The effects of familiar size and object trajectories on time-to-contact judgements. </w:t>
      </w:r>
      <w:r w:rsidRPr="00143A8E">
        <w:rPr>
          <w:rFonts w:ascii="Calibri" w:hAnsi="Calibri" w:cs="Calibri"/>
          <w:i/>
          <w:iCs/>
          <w:noProof/>
          <w:szCs w:val="24"/>
        </w:rPr>
        <w:t>Experimental Brain Research</w:t>
      </w:r>
      <w:r w:rsidRPr="00143A8E">
        <w:rPr>
          <w:rFonts w:ascii="Calibri" w:hAnsi="Calibri" w:cs="Calibri"/>
          <w:noProof/>
          <w:szCs w:val="24"/>
        </w:rPr>
        <w:t xml:space="preserve">, </w:t>
      </w:r>
      <w:r w:rsidRPr="00143A8E">
        <w:rPr>
          <w:rFonts w:ascii="Calibri" w:hAnsi="Calibri" w:cs="Calibri"/>
          <w:i/>
          <w:iCs/>
          <w:noProof/>
          <w:szCs w:val="24"/>
        </w:rPr>
        <w:t>203</w:t>
      </w:r>
      <w:r w:rsidRPr="00143A8E">
        <w:rPr>
          <w:rFonts w:ascii="Calibri" w:hAnsi="Calibri" w:cs="Calibri"/>
          <w:noProof/>
          <w:szCs w:val="24"/>
        </w:rPr>
        <w:t xml:space="preserve">(3), 541–552. </w:t>
      </w:r>
      <w:r w:rsidRPr="00143A8E">
        <w:rPr>
          <w:rFonts w:ascii="Calibri" w:hAnsi="Calibri" w:cs="Calibri"/>
          <w:noProof/>
          <w:szCs w:val="24"/>
        </w:rPr>
        <w:lastRenderedPageBreak/>
        <w:t>https://doi.org/10.1007/s00221-010-2258-7</w:t>
      </w:r>
    </w:p>
    <w:p w14:paraId="05A3073A"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Indovina, I., Maffei, V., Bosco, G., Zago, M., Macaluso, E., &amp; Lacquaniti, F. (2005). Representation of visual gravitational motion in the human vestibular cortex. </w:t>
      </w:r>
      <w:r w:rsidRPr="00143A8E">
        <w:rPr>
          <w:rFonts w:ascii="Calibri" w:hAnsi="Calibri" w:cs="Calibri"/>
          <w:i/>
          <w:iCs/>
          <w:noProof/>
          <w:szCs w:val="24"/>
        </w:rPr>
        <w:t>Science (New York, N.Y.)</w:t>
      </w:r>
      <w:r w:rsidRPr="00143A8E">
        <w:rPr>
          <w:rFonts w:ascii="Calibri" w:hAnsi="Calibri" w:cs="Calibri"/>
          <w:noProof/>
          <w:szCs w:val="24"/>
        </w:rPr>
        <w:t xml:space="preserve">, </w:t>
      </w:r>
      <w:r w:rsidRPr="00143A8E">
        <w:rPr>
          <w:rFonts w:ascii="Calibri" w:hAnsi="Calibri" w:cs="Calibri"/>
          <w:i/>
          <w:iCs/>
          <w:noProof/>
          <w:szCs w:val="24"/>
        </w:rPr>
        <w:t>308</w:t>
      </w:r>
      <w:r w:rsidRPr="00143A8E">
        <w:rPr>
          <w:rFonts w:ascii="Calibri" w:hAnsi="Calibri" w:cs="Calibri"/>
          <w:noProof/>
          <w:szCs w:val="24"/>
        </w:rPr>
        <w:t>(April), 416–419. https://doi.org/10.1126/science.1107961</w:t>
      </w:r>
    </w:p>
    <w:p w14:paraId="5A58F53D"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Jokisch, D., &amp; Troje, N. F. (2003). Biological motion as a cue for the perception of size. </w:t>
      </w:r>
      <w:r w:rsidRPr="00143A8E">
        <w:rPr>
          <w:rFonts w:ascii="Calibri" w:hAnsi="Calibri" w:cs="Calibri"/>
          <w:i/>
          <w:iCs/>
          <w:noProof/>
          <w:szCs w:val="24"/>
        </w:rPr>
        <w:t>Journal of Vision</w:t>
      </w:r>
      <w:r w:rsidRPr="00143A8E">
        <w:rPr>
          <w:rFonts w:ascii="Calibri" w:hAnsi="Calibri" w:cs="Calibri"/>
          <w:noProof/>
          <w:szCs w:val="24"/>
        </w:rPr>
        <w:t xml:space="preserve">, </w:t>
      </w:r>
      <w:r w:rsidRPr="00143A8E">
        <w:rPr>
          <w:rFonts w:ascii="Calibri" w:hAnsi="Calibri" w:cs="Calibri"/>
          <w:i/>
          <w:iCs/>
          <w:noProof/>
          <w:szCs w:val="24"/>
        </w:rPr>
        <w:t>3</w:t>
      </w:r>
      <w:r w:rsidRPr="00143A8E">
        <w:rPr>
          <w:rFonts w:ascii="Calibri" w:hAnsi="Calibri" w:cs="Calibri"/>
          <w:noProof/>
          <w:szCs w:val="24"/>
        </w:rPr>
        <w:t>(4), 252–264. https://doi.org/10.1167/3.4.1</w:t>
      </w:r>
    </w:p>
    <w:p w14:paraId="21C515B4"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Jörges, B., &amp; López-Moliner, J. (2019). Earth-Gravity Congruent Motion Facilitates Ocular Control for Pursuit of Parabolic Trajectories. </w:t>
      </w:r>
      <w:r w:rsidRPr="00143A8E">
        <w:rPr>
          <w:rFonts w:ascii="Calibri" w:hAnsi="Calibri" w:cs="Calibri"/>
          <w:i/>
          <w:iCs/>
          <w:noProof/>
          <w:szCs w:val="24"/>
        </w:rPr>
        <w:t>Scientific Reports</w:t>
      </w:r>
      <w:r w:rsidRPr="00143A8E">
        <w:rPr>
          <w:rFonts w:ascii="Calibri" w:hAnsi="Calibri" w:cs="Calibri"/>
          <w:noProof/>
          <w:szCs w:val="24"/>
        </w:rPr>
        <w:t xml:space="preserve">, </w:t>
      </w:r>
      <w:r w:rsidRPr="00143A8E">
        <w:rPr>
          <w:rFonts w:ascii="Calibri" w:hAnsi="Calibri" w:cs="Calibri"/>
          <w:i/>
          <w:iCs/>
          <w:noProof/>
          <w:szCs w:val="24"/>
        </w:rPr>
        <w:t>9</w:t>
      </w:r>
      <w:r w:rsidRPr="00143A8E">
        <w:rPr>
          <w:rFonts w:ascii="Calibri" w:hAnsi="Calibri" w:cs="Calibri"/>
          <w:noProof/>
          <w:szCs w:val="24"/>
        </w:rPr>
        <w:t>(1). https://doi.org/10.1038/s41598-019-50512-6</w:t>
      </w:r>
    </w:p>
    <w:p w14:paraId="20DE6D7D"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Jörges, Björn, &amp; López-Moliner, J. (2017). Gravity as a strong prior: Implications for perception and action. </w:t>
      </w:r>
      <w:r w:rsidRPr="00143A8E">
        <w:rPr>
          <w:rFonts w:ascii="Calibri" w:hAnsi="Calibri" w:cs="Calibri"/>
          <w:i/>
          <w:iCs/>
          <w:noProof/>
          <w:szCs w:val="24"/>
        </w:rPr>
        <w:t>Frontiers in Human Neuroscience</w:t>
      </w:r>
      <w:r w:rsidRPr="00143A8E">
        <w:rPr>
          <w:rFonts w:ascii="Calibri" w:hAnsi="Calibri" w:cs="Calibri"/>
          <w:noProof/>
          <w:szCs w:val="24"/>
        </w:rPr>
        <w:t>, Vol. 11. https://doi.org/10.3389/fnhum.2017.00203</w:t>
      </w:r>
    </w:p>
    <w:p w14:paraId="101B18BF"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Jörges, Björn, &amp; López-Moliner, J. (2020). Characterizing the Strong Earth Gravity Prior. </w:t>
      </w:r>
      <w:r w:rsidRPr="00143A8E">
        <w:rPr>
          <w:rFonts w:ascii="Calibri" w:hAnsi="Calibri" w:cs="Calibri"/>
          <w:i/>
          <w:iCs/>
          <w:noProof/>
          <w:szCs w:val="24"/>
        </w:rPr>
        <w:t>PsyArXive</w:t>
      </w:r>
      <w:r w:rsidRPr="00143A8E">
        <w:rPr>
          <w:rFonts w:ascii="Calibri" w:hAnsi="Calibri" w:cs="Calibri"/>
          <w:noProof/>
          <w:szCs w:val="24"/>
        </w:rPr>
        <w:t>, 1–19. https://doi.org/10.31234/osf.io/exp93</w:t>
      </w:r>
    </w:p>
    <w:p w14:paraId="7A912409"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La Scaleia, B., Zago, M., Moscatelli, A., Lacquaniti, F., &amp; Viviani, P. (2014). Implied dynamics biases the visual perception of velocity. </w:t>
      </w:r>
      <w:r w:rsidRPr="00143A8E">
        <w:rPr>
          <w:rFonts w:ascii="Calibri" w:hAnsi="Calibri" w:cs="Calibri"/>
          <w:i/>
          <w:iCs/>
          <w:noProof/>
          <w:szCs w:val="24"/>
        </w:rPr>
        <w:t>PLoS ONE</w:t>
      </w:r>
      <w:r w:rsidRPr="00143A8E">
        <w:rPr>
          <w:rFonts w:ascii="Calibri" w:hAnsi="Calibri" w:cs="Calibri"/>
          <w:noProof/>
          <w:szCs w:val="24"/>
        </w:rPr>
        <w:t xml:space="preserve">, </w:t>
      </w:r>
      <w:r w:rsidRPr="00143A8E">
        <w:rPr>
          <w:rFonts w:ascii="Calibri" w:hAnsi="Calibri" w:cs="Calibri"/>
          <w:i/>
          <w:iCs/>
          <w:noProof/>
          <w:szCs w:val="24"/>
        </w:rPr>
        <w:t>9</w:t>
      </w:r>
      <w:r w:rsidRPr="00143A8E">
        <w:rPr>
          <w:rFonts w:ascii="Calibri" w:hAnsi="Calibri" w:cs="Calibri"/>
          <w:noProof/>
          <w:szCs w:val="24"/>
        </w:rPr>
        <w:t>(3). https://doi.org/10.1371/journal.pone.0093020</w:t>
      </w:r>
    </w:p>
    <w:p w14:paraId="2D206681"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Lacquaniti, F., Bosco, G., Gravano, S., Indovina, I., La Scaleia, B., Maffei, V., &amp; Zago, M. (2015). Gravity in the Brain as a Reference for Space and Time Perception. </w:t>
      </w:r>
      <w:r w:rsidRPr="00143A8E">
        <w:rPr>
          <w:rFonts w:ascii="Calibri" w:hAnsi="Calibri" w:cs="Calibri"/>
          <w:i/>
          <w:iCs/>
          <w:noProof/>
          <w:szCs w:val="24"/>
        </w:rPr>
        <w:t>Multisensory Research</w:t>
      </w:r>
      <w:r w:rsidRPr="00143A8E">
        <w:rPr>
          <w:rFonts w:ascii="Calibri" w:hAnsi="Calibri" w:cs="Calibri"/>
          <w:noProof/>
          <w:szCs w:val="24"/>
        </w:rPr>
        <w:t xml:space="preserve">, </w:t>
      </w:r>
      <w:r w:rsidRPr="00143A8E">
        <w:rPr>
          <w:rFonts w:ascii="Calibri" w:hAnsi="Calibri" w:cs="Calibri"/>
          <w:i/>
          <w:iCs/>
          <w:noProof/>
          <w:szCs w:val="24"/>
        </w:rPr>
        <w:t>28</w:t>
      </w:r>
      <w:r w:rsidRPr="00143A8E">
        <w:rPr>
          <w:rFonts w:ascii="Calibri" w:hAnsi="Calibri" w:cs="Calibri"/>
          <w:noProof/>
          <w:szCs w:val="24"/>
        </w:rPr>
        <w:t>(5–6), 397–426. https://doi.org/10.1163/22134808-00002471</w:t>
      </w:r>
    </w:p>
    <w:p w14:paraId="4F0938CE"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Lacquaniti, F., Bosco, G., Indovina, I., La Scaleia, B., Maffei, V., Moscatelli, A., &amp; Zago, M. (2013). Visual gravitational motion and the vestibular system in humans. </w:t>
      </w:r>
      <w:r w:rsidRPr="00143A8E">
        <w:rPr>
          <w:rFonts w:ascii="Calibri" w:hAnsi="Calibri" w:cs="Calibri"/>
          <w:i/>
          <w:iCs/>
          <w:noProof/>
          <w:szCs w:val="24"/>
        </w:rPr>
        <w:t>Frontiers in Integrative Neuroscience</w:t>
      </w:r>
      <w:r w:rsidRPr="00143A8E">
        <w:rPr>
          <w:rFonts w:ascii="Calibri" w:hAnsi="Calibri" w:cs="Calibri"/>
          <w:noProof/>
          <w:szCs w:val="24"/>
        </w:rPr>
        <w:t xml:space="preserve">, </w:t>
      </w:r>
      <w:r w:rsidRPr="00143A8E">
        <w:rPr>
          <w:rFonts w:ascii="Calibri" w:hAnsi="Calibri" w:cs="Calibri"/>
          <w:i/>
          <w:iCs/>
          <w:noProof/>
          <w:szCs w:val="24"/>
        </w:rPr>
        <w:t>7</w:t>
      </w:r>
      <w:r w:rsidRPr="00143A8E">
        <w:rPr>
          <w:rFonts w:ascii="Calibri" w:hAnsi="Calibri" w:cs="Calibri"/>
          <w:noProof/>
          <w:szCs w:val="24"/>
        </w:rPr>
        <w:t>(December), 101. https://doi.org/10.3389/fnint.2013.00101</w:t>
      </w:r>
    </w:p>
    <w:p w14:paraId="2FD51DCA"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López-Moliner, J., Field, D. T., &amp; Wann, J. P. (2007). Interceptive timing: prior knowledge matters. </w:t>
      </w:r>
      <w:r w:rsidRPr="00143A8E">
        <w:rPr>
          <w:rFonts w:ascii="Calibri" w:hAnsi="Calibri" w:cs="Calibri"/>
          <w:i/>
          <w:iCs/>
          <w:noProof/>
          <w:szCs w:val="24"/>
        </w:rPr>
        <w:t>Journal of Vision</w:t>
      </w:r>
      <w:r w:rsidRPr="00143A8E">
        <w:rPr>
          <w:rFonts w:ascii="Calibri" w:hAnsi="Calibri" w:cs="Calibri"/>
          <w:noProof/>
          <w:szCs w:val="24"/>
        </w:rPr>
        <w:t xml:space="preserve">, </w:t>
      </w:r>
      <w:r w:rsidRPr="00143A8E">
        <w:rPr>
          <w:rFonts w:ascii="Calibri" w:hAnsi="Calibri" w:cs="Calibri"/>
          <w:i/>
          <w:iCs/>
          <w:noProof/>
          <w:szCs w:val="24"/>
        </w:rPr>
        <w:t>7</w:t>
      </w:r>
      <w:r w:rsidRPr="00143A8E">
        <w:rPr>
          <w:rFonts w:ascii="Calibri" w:hAnsi="Calibri" w:cs="Calibri"/>
          <w:noProof/>
          <w:szCs w:val="24"/>
        </w:rPr>
        <w:t>, 1–8. https://doi.org/10.1167/7.13.11</w:t>
      </w:r>
    </w:p>
    <w:p w14:paraId="1DE497E4"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McIntyre, J, Zago, M., &amp; Berthoz, A. (2001). Does the Brain Model Newton’s Laws. </w:t>
      </w:r>
      <w:r w:rsidRPr="00143A8E">
        <w:rPr>
          <w:rFonts w:ascii="Calibri" w:hAnsi="Calibri" w:cs="Calibri"/>
          <w:i/>
          <w:iCs/>
          <w:noProof/>
          <w:szCs w:val="24"/>
        </w:rPr>
        <w:t>Nature Neuroscience</w:t>
      </w:r>
      <w:r w:rsidRPr="00143A8E">
        <w:rPr>
          <w:rFonts w:ascii="Calibri" w:hAnsi="Calibri" w:cs="Calibri"/>
          <w:noProof/>
          <w:szCs w:val="24"/>
        </w:rPr>
        <w:t xml:space="preserve">, </w:t>
      </w:r>
      <w:r w:rsidRPr="00143A8E">
        <w:rPr>
          <w:rFonts w:ascii="Calibri" w:hAnsi="Calibri" w:cs="Calibri"/>
          <w:i/>
          <w:iCs/>
          <w:noProof/>
          <w:szCs w:val="24"/>
        </w:rPr>
        <w:t>12</w:t>
      </w:r>
      <w:r w:rsidRPr="00143A8E">
        <w:rPr>
          <w:rFonts w:ascii="Calibri" w:hAnsi="Calibri" w:cs="Calibri"/>
          <w:noProof/>
          <w:szCs w:val="24"/>
        </w:rPr>
        <w:t>(17), 109–110. https://doi.org/10.1097/00001756-200112040-00004</w:t>
      </w:r>
    </w:p>
    <w:p w14:paraId="65A3C092"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McIntyre, Joseph, Zago, M., Berthoz, A., &amp; Lacquaniti, F. (2003). The Brain as a Predictor: On Catching Flying Balls in Zero-G. In J. C. Buckey &amp; J. L. Homick (Eds.), </w:t>
      </w:r>
      <w:r w:rsidRPr="00143A8E">
        <w:rPr>
          <w:rFonts w:ascii="Calibri" w:hAnsi="Calibri" w:cs="Calibri"/>
          <w:i/>
          <w:iCs/>
          <w:noProof/>
          <w:szCs w:val="24"/>
        </w:rPr>
        <w:t>The Neurolab Spacelab Mission: Neuroscience Research in Space</w:t>
      </w:r>
      <w:r w:rsidRPr="00143A8E">
        <w:rPr>
          <w:rFonts w:ascii="Calibri" w:hAnsi="Calibri" w:cs="Calibri"/>
          <w:noProof/>
          <w:szCs w:val="24"/>
        </w:rPr>
        <w:t xml:space="preserve"> (pp. 55–61). National Aeronautics and Space Administration, Lyndon B. Johnson Space Center.</w:t>
      </w:r>
    </w:p>
    <w:p w14:paraId="561F8A76"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143A8E">
        <w:rPr>
          <w:rFonts w:ascii="Calibri" w:hAnsi="Calibri" w:cs="Calibri"/>
          <w:i/>
          <w:iCs/>
          <w:noProof/>
          <w:szCs w:val="24"/>
        </w:rPr>
        <w:t>Experimental Brain Research</w:t>
      </w:r>
      <w:r w:rsidRPr="00143A8E">
        <w:rPr>
          <w:rFonts w:ascii="Calibri" w:hAnsi="Calibri" w:cs="Calibri"/>
          <w:noProof/>
          <w:szCs w:val="24"/>
        </w:rPr>
        <w:t xml:space="preserve">, </w:t>
      </w:r>
      <w:r w:rsidRPr="00143A8E">
        <w:rPr>
          <w:rFonts w:ascii="Calibri" w:hAnsi="Calibri" w:cs="Calibri"/>
          <w:i/>
          <w:iCs/>
          <w:noProof/>
          <w:szCs w:val="24"/>
        </w:rPr>
        <w:t>232</w:t>
      </w:r>
      <w:r w:rsidRPr="00143A8E">
        <w:rPr>
          <w:rFonts w:ascii="Calibri" w:hAnsi="Calibri" w:cs="Calibri"/>
          <w:noProof/>
          <w:szCs w:val="24"/>
        </w:rPr>
        <w:t>(12), 3803–3811. https://doi.org/10.1007/s00221-014-4050-6</w:t>
      </w:r>
    </w:p>
    <w:p w14:paraId="130FC083"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Neupärtl, N., Tatai, F., &amp; Rothkopf, C. A. (2020). Intuitive physical reasoning about objects ’ masses transfers to a visuomotor decision task consistent with Newtonian physics Author summary. </w:t>
      </w:r>
      <w:r w:rsidRPr="00143A8E">
        <w:rPr>
          <w:rFonts w:ascii="Calibri" w:hAnsi="Calibri" w:cs="Calibri"/>
          <w:i/>
          <w:iCs/>
          <w:noProof/>
          <w:szCs w:val="24"/>
        </w:rPr>
        <w:t>BioRxiv</w:t>
      </w:r>
      <w:r w:rsidRPr="00143A8E">
        <w:rPr>
          <w:rFonts w:ascii="Calibri" w:hAnsi="Calibri" w:cs="Calibri"/>
          <w:noProof/>
          <w:szCs w:val="24"/>
        </w:rPr>
        <w:t>, 1–32.</w:t>
      </w:r>
    </w:p>
    <w:p w14:paraId="5E592DCA"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R Core Team. (2017). </w:t>
      </w:r>
      <w:r w:rsidRPr="00143A8E">
        <w:rPr>
          <w:rFonts w:ascii="Calibri" w:hAnsi="Calibri" w:cs="Calibri"/>
          <w:i/>
          <w:iCs/>
          <w:noProof/>
          <w:szCs w:val="24"/>
        </w:rPr>
        <w:t>A Language and Environment for Statistical Computing. R Foundation for Statistical Computing,</w:t>
      </w:r>
      <w:r w:rsidRPr="00143A8E">
        <w:rPr>
          <w:rFonts w:ascii="Calibri" w:hAnsi="Calibri" w:cs="Calibri"/>
          <w:noProof/>
          <w:szCs w:val="24"/>
        </w:rPr>
        <w:t>. Retrieved from http://www.r-project.org/.</w:t>
      </w:r>
    </w:p>
    <w:p w14:paraId="1E3E942C"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143A8E">
        <w:rPr>
          <w:rFonts w:ascii="Calibri" w:hAnsi="Calibri" w:cs="Calibri"/>
          <w:i/>
          <w:iCs/>
          <w:noProof/>
          <w:szCs w:val="24"/>
        </w:rPr>
        <w:t xml:space="preserve">Journal of </w:t>
      </w:r>
      <w:r w:rsidRPr="00143A8E">
        <w:rPr>
          <w:rFonts w:ascii="Calibri" w:hAnsi="Calibri" w:cs="Calibri"/>
          <w:i/>
          <w:iCs/>
          <w:noProof/>
          <w:szCs w:val="24"/>
        </w:rPr>
        <w:lastRenderedPageBreak/>
        <w:t>Neurophysiology</w:t>
      </w:r>
      <w:r w:rsidRPr="00143A8E">
        <w:rPr>
          <w:rFonts w:ascii="Calibri" w:hAnsi="Calibri" w:cs="Calibri"/>
          <w:noProof/>
          <w:szCs w:val="24"/>
        </w:rPr>
        <w:t xml:space="preserve">, </w:t>
      </w:r>
      <w:r w:rsidRPr="00143A8E">
        <w:rPr>
          <w:rFonts w:ascii="Calibri" w:hAnsi="Calibri" w:cs="Calibri"/>
          <w:i/>
          <w:iCs/>
          <w:noProof/>
          <w:szCs w:val="24"/>
        </w:rPr>
        <w:t>94</w:t>
      </w:r>
      <w:r w:rsidRPr="00143A8E">
        <w:rPr>
          <w:rFonts w:ascii="Calibri" w:hAnsi="Calibri" w:cs="Calibri"/>
          <w:noProof/>
          <w:szCs w:val="24"/>
        </w:rPr>
        <w:t>(6), 4471–4480. https://doi.org/10.1152/jn.00527.2005</w:t>
      </w:r>
    </w:p>
    <w:p w14:paraId="61C72423"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143A8E">
        <w:rPr>
          <w:rFonts w:ascii="Calibri" w:hAnsi="Calibri" w:cs="Calibri"/>
          <w:i/>
          <w:iCs/>
          <w:noProof/>
          <w:szCs w:val="24"/>
        </w:rPr>
        <w:t>Journal of Neuroscience</w:t>
      </w:r>
      <w:r w:rsidRPr="00143A8E">
        <w:rPr>
          <w:rFonts w:ascii="Calibri" w:hAnsi="Calibri" w:cs="Calibri"/>
          <w:noProof/>
          <w:szCs w:val="24"/>
        </w:rPr>
        <w:t xml:space="preserve">, </w:t>
      </w:r>
      <w:r w:rsidRPr="00143A8E">
        <w:rPr>
          <w:rFonts w:ascii="Calibri" w:hAnsi="Calibri" w:cs="Calibri"/>
          <w:i/>
          <w:iCs/>
          <w:noProof/>
          <w:szCs w:val="24"/>
        </w:rPr>
        <w:t>32</w:t>
      </w:r>
      <w:r w:rsidRPr="00143A8E">
        <w:rPr>
          <w:rFonts w:ascii="Calibri" w:hAnsi="Calibri" w:cs="Calibri"/>
          <w:noProof/>
          <w:szCs w:val="24"/>
        </w:rPr>
        <w:t>(6), 1969–1973. https://doi.org/10.1523/JNEUROSCI.3886-11.2012</w:t>
      </w:r>
    </w:p>
    <w:p w14:paraId="2FC24FD9"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Stan Development Team. (2016). </w:t>
      </w:r>
      <w:r w:rsidRPr="00143A8E">
        <w:rPr>
          <w:rFonts w:ascii="Calibri" w:hAnsi="Calibri" w:cs="Calibri"/>
          <w:i/>
          <w:iCs/>
          <w:noProof/>
          <w:szCs w:val="24"/>
        </w:rPr>
        <w:t>Stan: the R interface to Stan. R package version 2.14.1</w:t>
      </w:r>
      <w:r w:rsidRPr="00143A8E">
        <w:rPr>
          <w:rFonts w:ascii="Calibri" w:hAnsi="Calibri" w:cs="Calibri"/>
          <w:noProof/>
          <w:szCs w:val="24"/>
        </w:rPr>
        <w:t>. 1–23. Retrieved from http://mc-stan.org</w:t>
      </w:r>
    </w:p>
    <w:p w14:paraId="4C7DF858"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Vallortigara, G., &amp; Regolin, L. (2007). Gravity bias in the interpretation of biological motion by inexperienced chicks. </w:t>
      </w:r>
      <w:r w:rsidRPr="00143A8E">
        <w:rPr>
          <w:rFonts w:ascii="Calibri" w:hAnsi="Calibri" w:cs="Calibri"/>
          <w:i/>
          <w:iCs/>
          <w:noProof/>
          <w:szCs w:val="24"/>
        </w:rPr>
        <w:t>Current Biology</w:t>
      </w:r>
      <w:r w:rsidRPr="00143A8E">
        <w:rPr>
          <w:rFonts w:ascii="Calibri" w:hAnsi="Calibri" w:cs="Calibri"/>
          <w:noProof/>
          <w:szCs w:val="24"/>
        </w:rPr>
        <w:t xml:space="preserve">, </w:t>
      </w:r>
      <w:r w:rsidRPr="00143A8E">
        <w:rPr>
          <w:rFonts w:ascii="Calibri" w:hAnsi="Calibri" w:cs="Calibri"/>
          <w:i/>
          <w:iCs/>
          <w:noProof/>
          <w:szCs w:val="24"/>
        </w:rPr>
        <w:t>16</w:t>
      </w:r>
      <w:r w:rsidRPr="00143A8E">
        <w:rPr>
          <w:rFonts w:ascii="Calibri" w:hAnsi="Calibri" w:cs="Calibri"/>
          <w:noProof/>
          <w:szCs w:val="24"/>
        </w:rPr>
        <w:t>(September), R279–R280.</w:t>
      </w:r>
    </w:p>
    <w:p w14:paraId="17AD30DF"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szCs w:val="24"/>
        </w:rPr>
      </w:pPr>
      <w:r w:rsidRPr="00143A8E">
        <w:rPr>
          <w:rFonts w:ascii="Calibri" w:hAnsi="Calibri" w:cs="Calibri"/>
          <w:noProof/>
          <w:szCs w:val="24"/>
        </w:rPr>
        <w:t xml:space="preserve">Wei, X. X., &amp; Stocker, A. A. (2017). Lawful relation between perceptual bias and discriminability. </w:t>
      </w:r>
      <w:r w:rsidRPr="00143A8E">
        <w:rPr>
          <w:rFonts w:ascii="Calibri" w:hAnsi="Calibri" w:cs="Calibri"/>
          <w:i/>
          <w:iCs/>
          <w:noProof/>
          <w:szCs w:val="24"/>
        </w:rPr>
        <w:t>Proceedings of the National Academy of Sciences of the United States of America</w:t>
      </w:r>
      <w:r w:rsidRPr="00143A8E">
        <w:rPr>
          <w:rFonts w:ascii="Calibri" w:hAnsi="Calibri" w:cs="Calibri"/>
          <w:noProof/>
          <w:szCs w:val="24"/>
        </w:rPr>
        <w:t xml:space="preserve">, </w:t>
      </w:r>
      <w:r w:rsidRPr="00143A8E">
        <w:rPr>
          <w:rFonts w:ascii="Calibri" w:hAnsi="Calibri" w:cs="Calibri"/>
          <w:i/>
          <w:iCs/>
          <w:noProof/>
          <w:szCs w:val="24"/>
        </w:rPr>
        <w:t>114</w:t>
      </w:r>
      <w:r w:rsidRPr="00143A8E">
        <w:rPr>
          <w:rFonts w:ascii="Calibri" w:hAnsi="Calibri" w:cs="Calibri"/>
          <w:noProof/>
          <w:szCs w:val="24"/>
        </w:rPr>
        <w:t>(38), 10244–10249. https://doi.org/10.1073/pnas.1619153114</w:t>
      </w:r>
    </w:p>
    <w:p w14:paraId="6A3899E0" w14:textId="77777777" w:rsidR="00143A8E" w:rsidRPr="00143A8E" w:rsidRDefault="00143A8E" w:rsidP="00143A8E">
      <w:pPr>
        <w:widowControl w:val="0"/>
        <w:autoSpaceDE w:val="0"/>
        <w:autoSpaceDN w:val="0"/>
        <w:adjustRightInd w:val="0"/>
        <w:spacing w:line="240" w:lineRule="auto"/>
        <w:ind w:left="480" w:hanging="480"/>
        <w:rPr>
          <w:rFonts w:ascii="Calibri" w:hAnsi="Calibri" w:cs="Calibri"/>
          <w:noProof/>
        </w:rPr>
      </w:pPr>
      <w:r w:rsidRPr="00143A8E">
        <w:rPr>
          <w:rFonts w:ascii="Calibri" w:hAnsi="Calibri" w:cs="Calibri"/>
          <w:noProof/>
          <w:szCs w:val="24"/>
        </w:rPr>
        <w:t xml:space="preserve">Zago, M., La Scaleia, B., Miller, W. L., &amp; Lacquaniti, F. (2011). Coherence of structural visual cues and pictorial gravity paves the way for interceptive actions. </w:t>
      </w:r>
      <w:r w:rsidRPr="00143A8E">
        <w:rPr>
          <w:rFonts w:ascii="Calibri" w:hAnsi="Calibri" w:cs="Calibri"/>
          <w:i/>
          <w:iCs/>
          <w:noProof/>
          <w:szCs w:val="24"/>
        </w:rPr>
        <w:t>Journal of Vision</w:t>
      </w:r>
      <w:r w:rsidRPr="00143A8E">
        <w:rPr>
          <w:rFonts w:ascii="Calibri" w:hAnsi="Calibri" w:cs="Calibri"/>
          <w:noProof/>
          <w:szCs w:val="24"/>
        </w:rPr>
        <w:t xml:space="preserve">, </w:t>
      </w:r>
      <w:r w:rsidRPr="00143A8E">
        <w:rPr>
          <w:rFonts w:ascii="Calibri" w:hAnsi="Calibri" w:cs="Calibri"/>
          <w:i/>
          <w:iCs/>
          <w:noProof/>
          <w:szCs w:val="24"/>
        </w:rPr>
        <w:t>11</w:t>
      </w:r>
      <w:r w:rsidRPr="00143A8E">
        <w:rPr>
          <w:rFonts w:ascii="Calibri" w:hAnsi="Calibri" w:cs="Calibri"/>
          <w:noProof/>
          <w:szCs w:val="24"/>
        </w:rPr>
        <w:t>(10), 1–10. https://doi.org/10.1167/11.10.13.Introduction</w:t>
      </w:r>
    </w:p>
    <w:p w14:paraId="2D2D712A" w14:textId="5AF04ADC" w:rsidR="00143A8E" w:rsidRDefault="00143A8E"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D065C" w:rsidRDefault="007D065C">
      <w:pPr>
        <w:pStyle w:val="CommentText"/>
      </w:pPr>
      <w:r>
        <w:rPr>
          <w:rStyle w:val="CommentReference"/>
        </w:rPr>
        <w:annotationRef/>
      </w:r>
      <w:r>
        <w:t>Los hemos testado?</w:t>
      </w:r>
    </w:p>
  </w:comment>
  <w:comment w:id="1" w:author="Björn Jörges" w:date="2020-03-21T02:24:00Z" w:initials="BJ">
    <w:p w14:paraId="275F66E0" w14:textId="2A594DCB" w:rsidR="007D065C" w:rsidRDefault="007D065C">
      <w:pPr>
        <w:pStyle w:val="CommentText"/>
      </w:pPr>
      <w:r>
        <w:rPr>
          <w:rStyle w:val="CommentReference"/>
        </w:rPr>
        <w:annotationRef/>
      </w:r>
      <w:r>
        <w:t>?</w:t>
      </w:r>
    </w:p>
  </w:comment>
  <w:comment w:id="2" w:author="Björn Jörges" w:date="2020-03-21T02:25:00Z" w:initials="BJ">
    <w:p w14:paraId="7913EE9E" w14:textId="714DF70C" w:rsidR="007D065C" w:rsidRDefault="007D065C">
      <w:pPr>
        <w:pStyle w:val="CommentText"/>
      </w:pPr>
      <w:r>
        <w:rPr>
          <w:rStyle w:val="CommentReference"/>
        </w:rPr>
        <w:annotationRef/>
      </w:r>
      <w:r>
        <w:t>?</w:t>
      </w:r>
    </w:p>
  </w:comment>
  <w:comment w:id="3" w:author="Björn Jörges" w:date="2020-03-27T03:22:00Z" w:initials="BJ">
    <w:p w14:paraId="1893F84F" w14:textId="77777777" w:rsidR="001B67E1" w:rsidRDefault="001B67E1">
      <w:pPr>
        <w:pStyle w:val="CommentText"/>
        <w:rPr>
          <w:lang w:val="es-ES"/>
        </w:rPr>
      </w:pPr>
      <w:r>
        <w:rPr>
          <w:rStyle w:val="CommentReference"/>
        </w:rPr>
        <w:annotationRef/>
      </w:r>
      <w:r w:rsidRPr="001B67E1">
        <w:rPr>
          <w:lang w:val="es-ES"/>
        </w:rPr>
        <w:t>No sé porque pero el codigo para este plot no me va.</w:t>
      </w:r>
      <w:r>
        <w:rPr>
          <w:lang w:val="es-ES"/>
        </w:rPr>
        <w:t xml:space="preserve"> Podrías:</w:t>
      </w:r>
    </w:p>
    <w:p w14:paraId="09058CAF" w14:textId="77777777" w:rsidR="001B67E1" w:rsidRDefault="001B67E1" w:rsidP="001B67E1">
      <w:pPr>
        <w:pStyle w:val="CommentText"/>
        <w:numPr>
          <w:ilvl w:val="0"/>
          <w:numId w:val="1"/>
        </w:numPr>
        <w:rPr>
          <w:lang w:val="es-ES"/>
        </w:rPr>
      </w:pPr>
      <w:r>
        <w:rPr>
          <w:lang w:val="es-ES"/>
        </w:rPr>
        <w:t xml:space="preserve"> Añadir el pantallazo de la visual scene</w:t>
      </w:r>
    </w:p>
    <w:p w14:paraId="032C4062" w14:textId="77777777" w:rsidR="001B67E1" w:rsidRDefault="001B67E1" w:rsidP="001B67E1">
      <w:pPr>
        <w:pStyle w:val="CommentText"/>
        <w:numPr>
          <w:ilvl w:val="0"/>
          <w:numId w:val="1"/>
        </w:numPr>
        <w:rPr>
          <w:lang w:val="es-ES"/>
        </w:rPr>
      </w:pPr>
      <w:r>
        <w:rPr>
          <w:lang w:val="es-ES"/>
        </w:rPr>
        <w:t xml:space="preserve"> Poner etiquetas a los paneles (A, B, C en mayuscula)</w:t>
      </w:r>
    </w:p>
    <w:p w14:paraId="22DEEF9C" w14:textId="77777777" w:rsidR="001B67E1" w:rsidRDefault="001B67E1" w:rsidP="001B67E1">
      <w:pPr>
        <w:pStyle w:val="CommentText"/>
        <w:numPr>
          <w:ilvl w:val="0"/>
          <w:numId w:val="1"/>
        </w:numPr>
        <w:rPr>
          <w:lang w:val="es-ES"/>
        </w:rPr>
      </w:pPr>
      <w:r>
        <w:rPr>
          <w:lang w:val="es-ES"/>
        </w:rPr>
        <w:t xml:space="preserve"> Borrar el título</w:t>
      </w:r>
    </w:p>
    <w:p w14:paraId="320DB128" w14:textId="77777777" w:rsidR="001B67E1" w:rsidRDefault="001B67E1" w:rsidP="001B67E1">
      <w:pPr>
        <w:pStyle w:val="CommentText"/>
        <w:numPr>
          <w:ilvl w:val="0"/>
          <w:numId w:val="1"/>
        </w:numPr>
        <w:rPr>
          <w:lang w:val="es-ES"/>
        </w:rPr>
      </w:pPr>
      <w:r>
        <w:rPr>
          <w:lang w:val="es-ES"/>
        </w:rPr>
        <w:t xml:space="preserve"> Hacer la letra mas grande</w:t>
      </w:r>
    </w:p>
    <w:p w14:paraId="06368EBE" w14:textId="77777777" w:rsidR="001B67E1" w:rsidRDefault="001B67E1" w:rsidP="001B67E1">
      <w:pPr>
        <w:pStyle w:val="CommentText"/>
        <w:numPr>
          <w:ilvl w:val="0"/>
          <w:numId w:val="1"/>
        </w:numPr>
        <w:rPr>
          <w:lang w:val="es-ES"/>
        </w:rPr>
      </w:pPr>
      <w:r>
        <w:rPr>
          <w:lang w:val="es-ES"/>
        </w:rPr>
        <w:t xml:space="preserve"> Añadir la leyenda para la textura (tennis o basket) en B y C</w:t>
      </w:r>
    </w:p>
    <w:p w14:paraId="2EB5E0C5" w14:textId="77777777" w:rsidR="001B67E1" w:rsidRDefault="001B67E1" w:rsidP="001B67E1">
      <w:pPr>
        <w:pStyle w:val="CommentText"/>
        <w:rPr>
          <w:lang w:val="es-ES"/>
        </w:rPr>
      </w:pPr>
    </w:p>
    <w:p w14:paraId="28A15653" w14:textId="28BDC21D" w:rsidR="001B67E1" w:rsidRPr="001B67E1" w:rsidRDefault="001B67E1" w:rsidP="001B67E1">
      <w:pPr>
        <w:pStyle w:val="CommentText"/>
        <w:rPr>
          <w:lang w:val="es-ES"/>
        </w:rPr>
      </w:pPr>
      <w:r>
        <w:rPr>
          <w:lang w:val="es-ES"/>
        </w:rPr>
        <w:t>Graciaaaas! Es que estoy flipando con tus plotsssss</w:t>
      </w:r>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44507"/>
    <w:rsid w:val="00047573"/>
    <w:rsid w:val="0006438B"/>
    <w:rsid w:val="000856B8"/>
    <w:rsid w:val="000971C8"/>
    <w:rsid w:val="000B5F57"/>
    <w:rsid w:val="000E1AC4"/>
    <w:rsid w:val="000F2606"/>
    <w:rsid w:val="001045AC"/>
    <w:rsid w:val="00122D16"/>
    <w:rsid w:val="001328CE"/>
    <w:rsid w:val="00143A8E"/>
    <w:rsid w:val="00144185"/>
    <w:rsid w:val="001A5466"/>
    <w:rsid w:val="001B3C08"/>
    <w:rsid w:val="001B67E1"/>
    <w:rsid w:val="001D62CA"/>
    <w:rsid w:val="00211086"/>
    <w:rsid w:val="00262789"/>
    <w:rsid w:val="0028008E"/>
    <w:rsid w:val="0028204D"/>
    <w:rsid w:val="002B09EC"/>
    <w:rsid w:val="002E6967"/>
    <w:rsid w:val="002F519B"/>
    <w:rsid w:val="0030022A"/>
    <w:rsid w:val="0031622F"/>
    <w:rsid w:val="00325883"/>
    <w:rsid w:val="00336BA5"/>
    <w:rsid w:val="00345AF4"/>
    <w:rsid w:val="00393F22"/>
    <w:rsid w:val="003A095A"/>
    <w:rsid w:val="003F248C"/>
    <w:rsid w:val="003F4A3B"/>
    <w:rsid w:val="00422259"/>
    <w:rsid w:val="00426C0D"/>
    <w:rsid w:val="0043561A"/>
    <w:rsid w:val="00454CF0"/>
    <w:rsid w:val="004609FC"/>
    <w:rsid w:val="004A25AA"/>
    <w:rsid w:val="004A71E1"/>
    <w:rsid w:val="004B4255"/>
    <w:rsid w:val="00511B44"/>
    <w:rsid w:val="00517E66"/>
    <w:rsid w:val="00576ACE"/>
    <w:rsid w:val="005914F7"/>
    <w:rsid w:val="00593887"/>
    <w:rsid w:val="005C547D"/>
    <w:rsid w:val="005D15B0"/>
    <w:rsid w:val="005D37AF"/>
    <w:rsid w:val="00622426"/>
    <w:rsid w:val="00624045"/>
    <w:rsid w:val="00652E8A"/>
    <w:rsid w:val="00665486"/>
    <w:rsid w:val="00683CFE"/>
    <w:rsid w:val="006C0E39"/>
    <w:rsid w:val="006D07B1"/>
    <w:rsid w:val="006E0C61"/>
    <w:rsid w:val="006E44AD"/>
    <w:rsid w:val="006F1E4D"/>
    <w:rsid w:val="00706A91"/>
    <w:rsid w:val="007164E4"/>
    <w:rsid w:val="0072483C"/>
    <w:rsid w:val="00737D5F"/>
    <w:rsid w:val="00745CD3"/>
    <w:rsid w:val="007651EB"/>
    <w:rsid w:val="0077135F"/>
    <w:rsid w:val="007C392A"/>
    <w:rsid w:val="007C696F"/>
    <w:rsid w:val="007D065C"/>
    <w:rsid w:val="007E51E7"/>
    <w:rsid w:val="007F1585"/>
    <w:rsid w:val="00833A98"/>
    <w:rsid w:val="008419DC"/>
    <w:rsid w:val="00864A40"/>
    <w:rsid w:val="00864D4C"/>
    <w:rsid w:val="008663AB"/>
    <w:rsid w:val="00883F65"/>
    <w:rsid w:val="008A7A14"/>
    <w:rsid w:val="008C6CFC"/>
    <w:rsid w:val="008F2DF0"/>
    <w:rsid w:val="0091260F"/>
    <w:rsid w:val="0092614D"/>
    <w:rsid w:val="0093283D"/>
    <w:rsid w:val="00973BEE"/>
    <w:rsid w:val="009754A8"/>
    <w:rsid w:val="00982D30"/>
    <w:rsid w:val="00990B00"/>
    <w:rsid w:val="00993195"/>
    <w:rsid w:val="0099701D"/>
    <w:rsid w:val="009B702B"/>
    <w:rsid w:val="009C404C"/>
    <w:rsid w:val="009D32B4"/>
    <w:rsid w:val="009D5335"/>
    <w:rsid w:val="009D6BC6"/>
    <w:rsid w:val="009E3B5C"/>
    <w:rsid w:val="009E536D"/>
    <w:rsid w:val="009F4A02"/>
    <w:rsid w:val="00A07C33"/>
    <w:rsid w:val="00A2275C"/>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76F61"/>
    <w:rsid w:val="00B807E4"/>
    <w:rsid w:val="00B83FDA"/>
    <w:rsid w:val="00BB37A1"/>
    <w:rsid w:val="00BC341D"/>
    <w:rsid w:val="00BC575F"/>
    <w:rsid w:val="00BE04CF"/>
    <w:rsid w:val="00BF3F46"/>
    <w:rsid w:val="00BF42C5"/>
    <w:rsid w:val="00BF6A66"/>
    <w:rsid w:val="00C01D2C"/>
    <w:rsid w:val="00C10AA1"/>
    <w:rsid w:val="00C31C34"/>
    <w:rsid w:val="00C64662"/>
    <w:rsid w:val="00C64A62"/>
    <w:rsid w:val="00C76404"/>
    <w:rsid w:val="00C8333D"/>
    <w:rsid w:val="00C873FC"/>
    <w:rsid w:val="00C87709"/>
    <w:rsid w:val="00C92624"/>
    <w:rsid w:val="00CA45CA"/>
    <w:rsid w:val="00CC10F4"/>
    <w:rsid w:val="00CD05C5"/>
    <w:rsid w:val="00D75621"/>
    <w:rsid w:val="00DA3054"/>
    <w:rsid w:val="00DA5A0C"/>
    <w:rsid w:val="00DB27C6"/>
    <w:rsid w:val="00DF2DEF"/>
    <w:rsid w:val="00E01F1C"/>
    <w:rsid w:val="00E24B79"/>
    <w:rsid w:val="00E30D08"/>
    <w:rsid w:val="00E522B4"/>
    <w:rsid w:val="00E7534E"/>
    <w:rsid w:val="00E8401A"/>
    <w:rsid w:val="00E86BD9"/>
    <w:rsid w:val="00EA265E"/>
    <w:rsid w:val="00EC2370"/>
    <w:rsid w:val="00EE4AFB"/>
    <w:rsid w:val="00EF60B4"/>
    <w:rsid w:val="00EF75FD"/>
    <w:rsid w:val="00F24EB9"/>
    <w:rsid w:val="00F32BAD"/>
    <w:rsid w:val="00F364B7"/>
    <w:rsid w:val="00F705C1"/>
    <w:rsid w:val="00F71CDE"/>
    <w:rsid w:val="00F82622"/>
    <w:rsid w:val="00F83CC5"/>
    <w:rsid w:val="00FA323C"/>
    <w:rsid w:val="00FA5A8D"/>
    <w:rsid w:val="00FC0059"/>
    <w:rsid w:val="00FC24F3"/>
    <w:rsid w:val="00FC367F"/>
    <w:rsid w:val="00FD122D"/>
    <w:rsid w:val="00FE00F2"/>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9ADC0-B8E2-47BB-A239-A8BDFD53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4603</TotalTime>
  <Pages>14</Pages>
  <Words>14410</Words>
  <Characters>82142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128</cp:revision>
  <dcterms:created xsi:type="dcterms:W3CDTF">2020-03-09T22:29:00Z</dcterms:created>
  <dcterms:modified xsi:type="dcterms:W3CDTF">2020-03-27T08:31:00Z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