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0F117" w14:textId="60AF65EE" w:rsidR="00D24A75" w:rsidRDefault="00D24A75" w:rsidP="00EB272E">
      <w:pPr>
        <w:pStyle w:val="Heading1"/>
      </w:pPr>
      <w:r>
        <w:t>Introduction</w:t>
      </w:r>
    </w:p>
    <w:p w14:paraId="2F9B1BF1" w14:textId="1EB8EBE4" w:rsidR="00751559" w:rsidRDefault="00217D90">
      <w:r w:rsidRPr="00217D90">
        <w:t>The Aubert-</w:t>
      </w:r>
      <w:proofErr w:type="spellStart"/>
      <w:r w:rsidRPr="00217D90">
        <w:t>Fleischl</w:t>
      </w:r>
      <w:proofErr w:type="spellEnd"/>
      <w:r w:rsidRPr="00217D90">
        <w:t xml:space="preserve"> phenomenon consists i</w:t>
      </w:r>
      <w:r>
        <w:t xml:space="preserve">n </w:t>
      </w:r>
      <w:r w:rsidR="005A7347">
        <w:t>a misestimation of the speed of a target when the observer pursues this target with their gaze</w:t>
      </w:r>
      <w:r w:rsidR="00064486">
        <w:t xml:space="preserve"> </w:t>
      </w:r>
      <w:r w:rsidR="006D6A8A">
        <w:fldChar w:fldCharType="begin" w:fldLock="1"/>
      </w:r>
      <w:r w:rsidR="006D6A8A">
        <w:instrText>ADDIN CSL_CITATION {"citationItems":[{"id":"ITEM-1","itemData":{"DOI":"10.1007/BF01612710","ISSN":"00316768","author":[{"dropping-particle":"","family":"Aubert","given":"Hermann","non-dropping-particle":"","parse-names":false,"suffix":""}],"container-title":"Pflüger, Archiv für die Gesammte Physiologie des Menschen und der Thiere","id":"ITEM-1","issue":"1","issued":{"date-parts":[["1887","12"]]},"page":"459-480","publisher":"Springer-Verlag","title":"Die Bewegungsempfindung","type":"article-journal","volume":"40"},"uris":["http://www.mendeley.com/documents/?uuid=8909db35-7e47-32e8-998c-20fd4f11db43"]},{"id":"ITEM-2","itemData":{"abstract":"von Fleischl, E. (1882). Physiologisch-optische Notizen. Sitzungsberichte der Akademie der Wissenschaften Wien, 3, 7–25.","author":[{"dropping-particle":"","family":"Fleischl","given":"Von","non-dropping-particle":"","parse-names":false,"suffix":""}],"container-title":"Sitzungsberichte der Akademie der Wissenschaften Wien","id":"ITEM-2","issue":"3","issued":{"date-parts":[["1882"]]},"page":"7-25","title":"Physiologisch-optische Notizen","type":"article-journal"},"uris":["http://www.mendeley.com/documents/?uuid=eaa07795-4081-46d6-994a-4e678a06c13c"]}],"mendeley":{"formattedCitation":"(Aubert, 1887; Fleischl, 1882)","plainTextFormattedCitation":"(Aubert, 1887; Fleischl, 1882)","previouslyFormattedCitation":"(Aubert, 1887; Fleischl, 1882)"},"properties":{"noteIndex":0},"schema":"https://github.com/citation-style-language/schema/raw/master/csl-citation.json"}</w:instrText>
      </w:r>
      <w:r w:rsidR="006D6A8A">
        <w:fldChar w:fldCharType="separate"/>
      </w:r>
      <w:r w:rsidR="006D6A8A" w:rsidRPr="006D6A8A">
        <w:rPr>
          <w:noProof/>
        </w:rPr>
        <w:t>(Aubert, 1887; Fleischl, 1882)</w:t>
      </w:r>
      <w:r w:rsidR="006D6A8A">
        <w:fldChar w:fldCharType="end"/>
      </w:r>
      <w:r w:rsidR="005A7347">
        <w:t>. Differences between speed perception during pursuit and speed perception during fixation arise from differences in the speed cues at play: while retinal cues are sufficient to estimate target speed during fixation, the observer has to take into account both retinal cues que oculo-motor cues to speed during pursuit</w:t>
      </w:r>
      <w:r w:rsidR="006D6A8A">
        <w:t xml:space="preserve"> </w:t>
      </w:r>
      <w:r w:rsidR="006D6A8A">
        <w:fldChar w:fldCharType="begin" w:fldLock="1"/>
      </w:r>
      <w:r w:rsidR="006D6A8A">
        <w:instrText>ADDIN CSL_CITATION {"citationItems":[{"id":"ITEM-1","itemData":{"DOI":"10.1167/18.13.9","ISSN":"15347362","abstract":"To estimate object speed with respect to the self, retinal signals must be summed with extraretinal signals that encode the speed of eye and head movement. Prior work has shown that differences in perceptual estimates of object speed based on retinal and oculomotor signals lead to biased percepts such as the Aubert-Fleischl phenomenon (AF), in which moving targets appear slower when pursued. During wholebody movement, additional extraretinal signals, such as those from the vestibular system, may be used to transform object speed estimates from a head-centered to a world-centered reference frame. Here we demonstrate that whole-body pursuit in the form of passive yaw rotation, which stimulates the semicircular canals of the vestibular system, leads to a slowing of perceived object speed similar to the classic oculomotor AF. We find that the magnitude of the vestibular and oculomotor AF is comparable across a range of speeds, despite the different types of input signal involved. This covariation might hint at a common modality-independent mechanism underlying the AF in both cases.","author":[{"dropping-particle":"","family":"Garzorz","given":"Isabelle T.","non-dropping-particle":"","parse-names":false,"suffix":""},{"dropping-particle":"","family":"Freeman","given":"Tom C.A.","non-dropping-particle":"","parse-names":false,"suffix":""},{"dropping-particle":"","family":"Ernst","given":"Marc O.","non-dropping-particle":"","parse-names":false,"suffix":""},{"dropping-particle":"","family":"MacNeilage","given":"Paul R.","non-dropping-particle":"","parse-names":false,"suffix":""}],"container-title":"Journal of Vision","id":"ITEM-1","issue":"13","issued":{"date-parts":[["2018"]]},"page":"1-9","title":"Insufficient compensation for self-motion during perception of object speed: The vestibular Aubert-Fleischl phenomenon","type":"article-journal","volume":"18"},"uris":["http://www.mendeley.com/documents/?uuid=b4ae205d-a232-46e2-8f58-a1d37d8ca654"]}],"mendeley":{"formattedCitation":"(Garzorz, Freeman, Ernst, &amp; MacNeilage, 2018)","plainTextFormattedCitation":"(Garzorz, Freeman, Ernst, &amp; MacNeilage, 2018)","previouslyFormattedCitation":"(Garzorz, Freeman, Ernst, &amp; MacNeilage, 2018)"},"properties":{"noteIndex":0},"schema":"https://github.com/citation-style-language/schema/raw/master/csl-citation.json"}</w:instrText>
      </w:r>
      <w:r w:rsidR="006D6A8A">
        <w:fldChar w:fldCharType="separate"/>
      </w:r>
      <w:r w:rsidR="006D6A8A" w:rsidRPr="006D6A8A">
        <w:rPr>
          <w:noProof/>
        </w:rPr>
        <w:t>(Garzorz, Freeman, Ernst, &amp; MacNeilage, 2018)</w:t>
      </w:r>
      <w:r w:rsidR="006D6A8A">
        <w:fldChar w:fldCharType="end"/>
      </w:r>
      <w:r w:rsidR="005A7347">
        <w:t xml:space="preserve">. It is </w:t>
      </w:r>
      <w:r w:rsidR="006D6A8A">
        <w:t>sometimes</w:t>
      </w:r>
      <w:r w:rsidR="005A7347">
        <w:t xml:space="preserve"> assumed that the Aubert-</w:t>
      </w:r>
      <w:proofErr w:type="spellStart"/>
      <w:r w:rsidR="005A7347">
        <w:t>Fleischl</w:t>
      </w:r>
      <w:proofErr w:type="spellEnd"/>
      <w:r w:rsidR="005A7347">
        <w:t xml:space="preserve"> phenomenon always leads to an underestimation of target speed. However, it has been shown that </w:t>
      </w:r>
      <w:r w:rsidR="0087644E">
        <w:t xml:space="preserve">when the retinal slip of the </w:t>
      </w:r>
      <w:r w:rsidR="00C80C3C">
        <w:t xml:space="preserve">background </w:t>
      </w:r>
      <w:r w:rsidR="0087644E">
        <w:t xml:space="preserve">caused by eye-movements goes in the opposite direction of the </w:t>
      </w:r>
      <w:r w:rsidR="00C80C3C">
        <w:t xml:space="preserve">stimulus </w:t>
      </w:r>
      <w:r w:rsidR="00C80C3C">
        <w:fldChar w:fldCharType="begin" w:fldLock="1"/>
      </w:r>
      <w:r w:rsidR="0087644E">
        <w:instrText>ADDIN CSL_CITATION {"citationItems":[{"id":"ITEM-1","itemData":{"DOI":"10.1068/p190471","ISSN":"0301-0066","PMID":"2096365","abstract":"When the eyes pursue a fixation point that sweeps across a moving background pattern, and the fixation point is suddenly made to stop, the ongoing motion of the background pattern seems to accelerate to a higher velocity. Experiment I showed that this acceleration illusion is not caused by the sudden change in (i) the relative velocity between background and fixation point, (ii) the velocity of the retinal image of the background pattern, or (iii) the motion of the retinal image of the rims of the CRT screen on which the experiment was carried out. In experiment II the magnitude of the illusion was quantified. It is strongest when background and eyes move in the same direction. When they move in opposite directions it becomes less pronounced (and may disappear) with higher background velocities. The findings are explained in terms of a model proposed by the first author, in which the perception of object motion and velocity derives from the interaction between retinal slip velocity information and the brain's 'estimate' of eye velocity in space. They illustrate that the classic Aubert-Fleischl phenomenon (a stimulus seems to be moving slower when pursued with the eyes than when moving in front of stationary eyes) is a special case of a more general phenomenon: whenever we make a pursuit eye movement we underestimate the velocity of all stimuli in our visual field which happen to move in the same direction as our eyes, or which move slowly in the direction opposite to our eyes.","author":[{"dropping-particle":"","family":"Wertheim","given":"A H","non-dropping-particle":"","parse-names":false,"suffix":""},{"dropping-particle":"","family":"Gelder","given":"P","non-dropping-particle":"Van","parse-names":false,"suffix":""}],"container-title":"Perception","id":"ITEM-1","issue":"4","issued":{"date-parts":[["1990"]]},"page":"471-82","title":"An acceleration illusion caused by underestimation of stimulus velocity during pursuit eye movements: Aubert-Fleischl revisited.","type":"article-journal","volume":"19"},"uris":["http://www.mendeley.com/documents/?uuid=0f48ffa1-6cec-36d4-8c39-089d73c00d9b"]}],"mendeley":{"formattedCitation":"(Wertheim &amp; Van Gelder, 1990)","plainTextFormattedCitation":"(Wertheim &amp; Van Gelder, 1990)","previouslyFormattedCitation":"(Wertheim &amp; Van Gelder, 1990)"},"properties":{"noteIndex":0},"schema":"https://github.com/citation-style-language/schema/raw/master/csl-citation.json"}</w:instrText>
      </w:r>
      <w:r w:rsidR="00C80C3C">
        <w:fldChar w:fldCharType="separate"/>
      </w:r>
      <w:r w:rsidR="00C80C3C" w:rsidRPr="00C80C3C">
        <w:rPr>
          <w:noProof/>
        </w:rPr>
        <w:t>(Wertheim &amp; Van Gelder, 1990)</w:t>
      </w:r>
      <w:r w:rsidR="00C80C3C">
        <w:fldChar w:fldCharType="end"/>
      </w:r>
      <w:r w:rsidR="0087644E">
        <w:t xml:space="preserve"> the effect can be diminished or eve</w:t>
      </w:r>
      <w:r w:rsidR="00661250">
        <w:t>n eliminated;</w:t>
      </w:r>
      <w:r w:rsidR="00C80C3C">
        <w:t xml:space="preserve"> and depending on </w:t>
      </w:r>
      <w:r w:rsidR="00937E8D">
        <w:t>the spatial frequency of the stimulus, the effect can even be reversed; i.e., an overestimation of target speed can be achieved</w:t>
      </w:r>
      <w:r w:rsidR="00661250">
        <w:t xml:space="preserve"> </w:t>
      </w:r>
      <w:r w:rsidR="00661250" w:rsidRPr="00661250">
        <w:fldChar w:fldCharType="begin" w:fldLock="1"/>
      </w:r>
      <w:r w:rsidR="006D6A8A">
        <w:instrText>ADDIN CSL_CITATION {"citationItems":[{"id":"ITEM-1","itemData":{"DOI":"10.1007/BF00234920","ISSN":"00144819","PMID":"1204695","abstract":"Apparent velocities of moving visual stimuli are known to be different depending on whether the subject pursues the stimulus (efferently controlled motion perception) or whether the eye is stationary and the image moves across the retina (afferent motion perception). Afferent motion perception of a periodic pattern or a moving single object causes overestimation of velocity (magnitude estimations) as compared to smooth pursuit. This socalled Aubert-Fleischl phenomenon is shown to depend on local temporal frequency stimulation on the retina caused by the repetitive passage of contrast borders of the moving periodic pattern. This is evidenced by the fact that for a given stimulus speed the amount of overestimation is a function of the spatial frequency of the pattern (or the angular subtend of a single moving object) and that the Aubert-Fleischl phenomenon is not observed if a single edge moves. Background characteristics seem not to influence the apparent velocity during smooth pursuit. © 1975 Springer-Verlag.","author":[{"dropping-particle":"","family":"Dichgans","given":"J.","non-dropping-particle":"","parse-names":false,"suffix":""},{"dropping-particle":"","family":"Wist","given":"E.","non-dropping-particle":"","parse-names":false,"suffix":""},{"dropping-particle":"","family":"Diener","given":"H. C.","non-dropping-particle":"","parse-names":false,"suffix":""},{"dropping-particle":"","family":"Brandt","given":"Th","non-dropping-particle":"","parse-names":false,"suffix":""}],"container-title":"Experimental Brain Research","id":"ITEM-1","issue":"5","issued":{"date-parts":[["1975","11"]]},"page":"529-533","publisher":"Springer-Verlag","title":"The Aubert-Fleischl phenomenon: A temporal frequency effect on perceived velocity in afferent motion perception","type":"article-journal","volume":"23"},"uris":["http://www.mendeley.com/documents/?uuid=49e3eaf7-3b2a-38a6-8add-ee2b4f881be7"]}],"mendeley":{"formattedCitation":"(Dichgans, Wist, Diener, &amp; Brandt, 1975)","plainTextFormattedCitation":"(Dichgans, Wist, Diener, &amp; Brandt, 1975)","previouslyFormattedCitation":"(Dichgans, Wist, Diener, &amp; Brandt, 1975)"},"properties":{"noteIndex":0},"schema":"https://github.com/citation-style-language/schema/raw/master/csl-citation.json"}</w:instrText>
      </w:r>
      <w:r w:rsidR="00661250" w:rsidRPr="00661250">
        <w:fldChar w:fldCharType="separate"/>
      </w:r>
      <w:r w:rsidR="00661250" w:rsidRPr="00661250">
        <w:rPr>
          <w:noProof/>
        </w:rPr>
        <w:t>(Dichgans, Wist, Diener, &amp; Brandt, 1975)</w:t>
      </w:r>
      <w:r w:rsidR="00661250" w:rsidRPr="00661250">
        <w:fldChar w:fldCharType="end"/>
      </w:r>
      <w:r w:rsidR="00937E8D">
        <w:t>.</w:t>
      </w:r>
    </w:p>
    <w:p w14:paraId="2CBCB03E" w14:textId="576B267F" w:rsidR="006D6A8A" w:rsidRDefault="00751559">
      <w:r>
        <w:t>The Aubert-</w:t>
      </w:r>
      <w:proofErr w:type="spellStart"/>
      <w:r>
        <w:t>Fleischl</w:t>
      </w:r>
      <w:proofErr w:type="spellEnd"/>
      <w:r>
        <w:t xml:space="preserve"> phenomenon is part of the reason why </w:t>
      </w:r>
      <w:r w:rsidR="006D6A8A">
        <w:t>experiments</w:t>
      </w:r>
      <w:r>
        <w:t xml:space="preserve"> </w:t>
      </w:r>
      <w:r w:rsidR="006D6A8A">
        <w:t>on</w:t>
      </w:r>
      <w:r>
        <w:t xml:space="preserve"> speed perception and time-to-contact estimation </w:t>
      </w:r>
      <w:r w:rsidR="006D6A8A">
        <w:t xml:space="preserve">often </w:t>
      </w:r>
      <w:r>
        <w:t>require observers to keep their gaze on a fixation cross</w:t>
      </w:r>
      <w:r w:rsidR="006D6A8A">
        <w:t xml:space="preserve"> </w:t>
      </w:r>
      <w:r w:rsidR="006D6A8A">
        <w:fldChar w:fldCharType="begin" w:fldLock="1"/>
      </w:r>
      <w:r w:rsidR="00D7003A">
        <w:instrText>ADDIN CSL_CITATION {"citationItems":[{"id":"ITEM-1","itemData":{"DOI":"10.3758/s13414-021-02372-4","ISSN":"1943393X","PMID":"34704212","abstract":"Judging object speed during observer self-motion requires disambiguating retinal stimulation from two sources: self-motion and object motion. According to the Flow Parsing hypothesis, observers estimate their own motion, then subtract the retinal corresponding motion from the total retinal stimulation and interpret the remaining stimulation as pertaining to object motion. Subtracting noisier self-motion information from retinal input should lead to a decrease in precision. Furthermore, when self-motion is only simulated visually, self-motion is likely to be underestimated, yielding an overestimation of target speed when target and observer move in opposite directions and an underestimation when they move in the same direction. We tested this hypothesis with a two-alternative forced-choice task in which participants judged which of two motions, presented in an immersive 3D environment, was faster. One motion interval contained a ball cloud whose speed was selected dynamically according to a PEST staircase, while the other contained one big target travelling laterally at a fixed speed. While viewing the big target, participants were either static or experienced visually simulated lateral self-motion in the same or opposite direction of the target. Participants were not significantly biased in either motion profile, and precision was only significantly lower when participants moved visually in the direction opposite to the target. We conclude that, when immersed in an ecologically valid 3D environment with rich self-motion cues, participants perceive an object’s speed accurately at a small precision cost, even when self-motion is simulated only visually.","author":[{"dropping-particle":"","family":"Jörges","given":"Björn","non-dropping-particle":"","parse-names":false,"suffix":""},{"dropping-particle":"","family":"Harris","given":"Laurence R.","non-dropping-particle":"","parse-names":false,"suffix":""}],"container-title":"Attention, Perception, and Psychophysics","id":"ITEM-1","issue":"1","issued":{"date-parts":[["2022"]]},"page":"25-46","publisher":"Attention, Perception, &amp; Psychophysics","title":"Object speed perception during lateral visual self-motion","type":"article-journal","volume":"84"},"uris":["http://www.mendeley.com/documents/?uuid=2cfdcfa2-85c1-45e0-ab15-5d57c49a03f4"]}],"mendeley":{"formattedCitation":"(Jörges &amp; Harris, 2022)","manualFormatting":"(e.g., Jörges &amp; Harris, 2022)","plainTextFormattedCitation":"(Jörges &amp; Harris, 2022)","previouslyFormattedCitation":"(Jörges &amp; Harris, 2022)"},"properties":{"noteIndex":0},"schema":"https://github.com/citation-style-language/schema/raw/master/csl-citation.json"}</w:instrText>
      </w:r>
      <w:r w:rsidR="006D6A8A">
        <w:fldChar w:fldCharType="separate"/>
      </w:r>
      <w:r w:rsidR="006D6A8A" w:rsidRPr="006D6A8A">
        <w:rPr>
          <w:noProof/>
        </w:rPr>
        <w:t>(</w:t>
      </w:r>
      <w:r w:rsidR="006D6A8A">
        <w:rPr>
          <w:noProof/>
        </w:rPr>
        <w:t xml:space="preserve">e.g., </w:t>
      </w:r>
      <w:r w:rsidR="006D6A8A" w:rsidRPr="006D6A8A">
        <w:rPr>
          <w:noProof/>
        </w:rPr>
        <w:t>Jörges &amp; Harris, 2022)</w:t>
      </w:r>
      <w:r w:rsidR="006D6A8A">
        <w:fldChar w:fldCharType="end"/>
      </w:r>
      <w:r>
        <w:t>. However, embedding a target into a visual scene</w:t>
      </w:r>
      <w:r w:rsidR="00697A15">
        <w:t xml:space="preserve"> might provide additional cues </w:t>
      </w:r>
      <w:r w:rsidR="00666345">
        <w:t>to</w:t>
      </w:r>
      <w:r w:rsidR="00697A15">
        <w:t xml:space="preserve"> the speed of the eye, and with that, making it easier to estimate the speed of an object accurately even during smooth pursuit.</w:t>
      </w:r>
      <w:r w:rsidR="006D6A8A">
        <w:t xml:space="preserve"> This in turn would provide researchers with more flexibility in choosing to allow their participants to pursue targets, have them keep their gaze on a fixation cross, or allow natural free viewing.</w:t>
      </w:r>
      <w:r w:rsidR="00697A15">
        <w:t xml:space="preserve"> </w:t>
      </w:r>
    </w:p>
    <w:p w14:paraId="2B393E30" w14:textId="0855ED05" w:rsidR="00F60E41" w:rsidRDefault="00F60E41">
      <w:r>
        <w:t xml:space="preserve">Our hypothesis is </w:t>
      </w:r>
      <w:r w:rsidR="00697A15">
        <w:t xml:space="preserve">thus </w:t>
      </w:r>
      <w:r w:rsidR="00144154">
        <w:t xml:space="preserve">specifically </w:t>
      </w:r>
      <w:r w:rsidR="00697A15">
        <w:t>that</w:t>
      </w:r>
      <w:r w:rsidR="00E80321">
        <w:t>,</w:t>
      </w:r>
      <w:r w:rsidR="00697A15">
        <w:t xml:space="preserve"> </w:t>
      </w:r>
      <w:r>
        <w:t xml:space="preserve">in a rich environment, biases </w:t>
      </w:r>
      <w:r w:rsidR="00666345">
        <w:t xml:space="preserve">in perceived speed </w:t>
      </w:r>
      <w:r>
        <w:t>due to the Aubert-</w:t>
      </w:r>
      <w:proofErr w:type="spellStart"/>
      <w:r>
        <w:t>Fleischl</w:t>
      </w:r>
      <w:proofErr w:type="spellEnd"/>
      <w:r>
        <w:t xml:space="preserve"> phenomenon are negligible.</w:t>
      </w:r>
    </w:p>
    <w:p w14:paraId="73B9C412" w14:textId="7EDFF179" w:rsidR="00D24A75" w:rsidRDefault="00D24A75"/>
    <w:p w14:paraId="703FBD78" w14:textId="1AF8FA4D" w:rsidR="00D24A75" w:rsidRDefault="00D24A75" w:rsidP="00EB272E">
      <w:pPr>
        <w:pStyle w:val="Heading1"/>
      </w:pPr>
      <w:r>
        <w:t>Methods</w:t>
      </w:r>
    </w:p>
    <w:p w14:paraId="006AF4B5" w14:textId="0F7434D3" w:rsidR="00D24A75" w:rsidRDefault="00D24A75" w:rsidP="00EB272E">
      <w:pPr>
        <w:pStyle w:val="Heading2"/>
      </w:pPr>
      <w:r>
        <w:t>Participants</w:t>
      </w:r>
    </w:p>
    <w:p w14:paraId="781B365A" w14:textId="51E20AB9" w:rsidR="004E5A68" w:rsidRDefault="004E5A68">
      <w:r>
        <w:t>We will collect data from XX participants, half of this number will be women and half will be men. We will further test any non-binary participant who signs up. Participants will be recruited from the York University undergraduate participant pool and will be rewarded with course credit.</w:t>
      </w:r>
      <w:r w:rsidR="00EA211E">
        <w:t xml:space="preserve"> The study has been approved by the local ethics committee and will be</w:t>
      </w:r>
      <w:r w:rsidR="00357B2A">
        <w:t xml:space="preserve"> conducted in accordance with the Declaration of Helsinki.</w:t>
      </w:r>
    </w:p>
    <w:p w14:paraId="348ADEB6" w14:textId="4E8EBDB7" w:rsidR="004E5A68" w:rsidRDefault="004E5A68"/>
    <w:p w14:paraId="5510E7E7" w14:textId="3B5F4808" w:rsidR="004E5A68" w:rsidRDefault="002F6C56" w:rsidP="00EB272E">
      <w:pPr>
        <w:pStyle w:val="Heading2"/>
      </w:pPr>
      <w:r>
        <w:t>Apparatus</w:t>
      </w:r>
    </w:p>
    <w:p w14:paraId="521E3DBF" w14:textId="1669BFCB" w:rsidR="004E5A68" w:rsidRDefault="004E5A68">
      <w:r>
        <w:t xml:space="preserve">Our stimuli </w:t>
      </w:r>
      <w:r w:rsidR="00D7003A">
        <w:t>are</w:t>
      </w:r>
      <w:r>
        <w:t xml:space="preserve"> presented </w:t>
      </w:r>
      <w:r w:rsidR="00EA211E">
        <w:t>in</w:t>
      </w:r>
      <w:r>
        <w:t xml:space="preserve"> an HTC </w:t>
      </w:r>
      <w:r w:rsidR="00AD01AC">
        <w:t>VIVE</w:t>
      </w:r>
      <w:r>
        <w:t xml:space="preserve"> Pro Eye head-mounted device.</w:t>
      </w:r>
      <w:r w:rsidR="00EA211E">
        <w:t xml:space="preserve"> Participants respond with </w:t>
      </w:r>
      <w:r w:rsidR="00357B2A">
        <w:t xml:space="preserve">the HTC </w:t>
      </w:r>
      <w:r w:rsidR="00AD01AC">
        <w:t>VIVE</w:t>
      </w:r>
      <w:r w:rsidR="00357B2A">
        <w:t xml:space="preserve"> Pro Eye controllers. The </w:t>
      </w:r>
      <w:r w:rsidR="00AD01AC">
        <w:t>VIVE</w:t>
      </w:r>
      <w:r w:rsidR="00357B2A">
        <w:t xml:space="preserve"> Pro Eye records eye-movements at 60 Hz.</w:t>
      </w:r>
      <w:r w:rsidR="002F6C56">
        <w:t xml:space="preserve"> The program used to collect data was built in Unity (v. 2021.3.14f).</w:t>
      </w:r>
    </w:p>
    <w:p w14:paraId="4ECBD93E" w14:textId="7D5A0DE4" w:rsidR="00357B2A" w:rsidRDefault="00357B2A"/>
    <w:p w14:paraId="02D3D307" w14:textId="474D8C15" w:rsidR="00357B2A" w:rsidRDefault="00357B2A" w:rsidP="00EB272E">
      <w:pPr>
        <w:pStyle w:val="Heading2"/>
      </w:pPr>
      <w:r>
        <w:lastRenderedPageBreak/>
        <w:t>Stimulus</w:t>
      </w:r>
    </w:p>
    <w:p w14:paraId="58C56A70" w14:textId="13343A18" w:rsidR="004F7BB6" w:rsidRDefault="00C54FDB" w:rsidP="00B42F46">
      <w:r>
        <w:t>In a two-alternative forced-choice task, participants will judge the speed of a red target sphere that moves from either left to right or from right to left against the speed of a ball cloud that moves in the same direction as the target. The sphere is presented 7.5 m in front of the observer</w:t>
      </w:r>
      <w:r w:rsidR="001C4701">
        <w:t xml:space="preserve"> and</w:t>
      </w:r>
      <w:r>
        <w:t xml:space="preserve"> has a diameter of </w:t>
      </w:r>
      <w:r w:rsidR="00B42F46">
        <w:t>0.2 m</w:t>
      </w:r>
      <w:r w:rsidR="001C4701">
        <w:t xml:space="preserve">. It is visible for </w:t>
      </w:r>
      <w:r w:rsidR="00093EEC">
        <w:t>1.1</w:t>
      </w:r>
      <w:r w:rsidR="001C4701">
        <w:t> s</w:t>
      </w:r>
      <w:r w:rsidR="004F7BB6">
        <w:t>, which are</w:t>
      </w:r>
      <w:r w:rsidR="001C4701">
        <w:t xml:space="preserve"> </w:t>
      </w:r>
      <w:r w:rsidR="004F7BB6">
        <w:t xml:space="preserve">divided in three phases: an acceleration phase (0.3 s), a constant speed phase (0.5 s) and a deceleration phase (0.3s). </w:t>
      </w:r>
      <w:r w:rsidR="00921121">
        <w:t>Given that the Aubert-</w:t>
      </w:r>
      <w:proofErr w:type="spellStart"/>
      <w:r w:rsidR="00921121">
        <w:t>Fleischl</w:t>
      </w:r>
      <w:proofErr w:type="spellEnd"/>
      <w:r w:rsidR="00921121">
        <w:t xml:space="preserve"> phenomenon only occurs during smooth pursuit eye-movements, w</w:t>
      </w:r>
      <w:r w:rsidR="004F7BB6">
        <w:t xml:space="preserve">e added the initial acceleration phase to </w:t>
      </w:r>
      <w:r w:rsidR="00921121">
        <w:t xml:space="preserve">make sure that, in the pursuit condition, no catch-up saccades were executed during the constant speed phase. </w:t>
      </w:r>
    </w:p>
    <w:p w14:paraId="0D383B1D" w14:textId="188B960C" w:rsidR="00921121" w:rsidRDefault="00921121" w:rsidP="00B42F46">
      <w:r>
        <w:t xml:space="preserve">The sphere appears </w:t>
      </w:r>
      <w:r w:rsidR="001C4701">
        <w:t xml:space="preserve">either to the left or to the right of the </w:t>
      </w:r>
      <w:proofErr w:type="gramStart"/>
      <w:r w:rsidR="001C4701">
        <w:t>observer’s</w:t>
      </w:r>
      <w:proofErr w:type="gramEnd"/>
      <w:r w:rsidR="001C4701">
        <w:t xml:space="preserve"> straight-ahead</w:t>
      </w:r>
      <w:r>
        <w:t>. The initial position was chosen such that the trajectory was centered in front of the observer</w:t>
      </w:r>
      <w:r w:rsidR="007C6153">
        <w:t xml:space="preserve">. It was further given by the acceleration phase, which always lasted 0.3 s. The acceleration was chosen such that the sphere accelerated to its final speed </w:t>
      </w:r>
      <w:r w:rsidR="00663ECA">
        <w:t xml:space="preserve">(2, 4, or 6 m/s) </w:t>
      </w:r>
      <w:r w:rsidR="007C6153">
        <w:t>over 0.3 s.</w:t>
      </w:r>
    </w:p>
    <w:tbl>
      <w:tblPr>
        <w:tblStyle w:val="TableGrid"/>
        <w:tblW w:w="0" w:type="auto"/>
        <w:tblLook w:val="04A0" w:firstRow="1" w:lastRow="0" w:firstColumn="1" w:lastColumn="0" w:noHBand="0" w:noVBand="1"/>
      </w:tblPr>
      <w:tblGrid>
        <w:gridCol w:w="8635"/>
        <w:gridCol w:w="715"/>
      </w:tblGrid>
      <w:tr w:rsidR="00555CA0" w14:paraId="13E22A01" w14:textId="77777777" w:rsidTr="00D201A4">
        <w:tc>
          <w:tcPr>
            <w:tcW w:w="8635" w:type="dxa"/>
          </w:tcPr>
          <w:p w14:paraId="56CF33F7" w14:textId="0C01101B" w:rsidR="00555CA0" w:rsidRDefault="00555CA0" w:rsidP="00B42F46">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x</m:t>
                    </m:r>
                  </m:e>
                  <m:sub>
                    <m:r>
                      <w:rPr>
                        <w:rFonts w:ascii="Cambria Math" w:hAnsi="Cambria Math"/>
                      </w:rPr>
                      <m:t>acc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cons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dec</m:t>
                    </m:r>
                  </m:sub>
                </m:sSub>
                <m:r>
                  <w:rPr>
                    <w:rFonts w:ascii="Cambria Math" w:hAnsi="Cambria Math"/>
                  </w:rPr>
                  <m:t>)/2</m:t>
                </m:r>
              </m:oMath>
            </m:oMathPara>
          </w:p>
        </w:tc>
        <w:tc>
          <w:tcPr>
            <w:tcW w:w="715" w:type="dxa"/>
          </w:tcPr>
          <w:p w14:paraId="66097534" w14:textId="7E6419FC" w:rsidR="00555CA0" w:rsidRDefault="00D201A4" w:rsidP="00B42F46">
            <w:r>
              <w:t>(1)</w:t>
            </w:r>
          </w:p>
        </w:tc>
      </w:tr>
      <w:tr w:rsidR="00555CA0" w14:paraId="0030EBD0" w14:textId="77777777" w:rsidTr="00D201A4">
        <w:tc>
          <w:tcPr>
            <w:tcW w:w="8635" w:type="dxa"/>
          </w:tcPr>
          <w:p w14:paraId="6672213B" w14:textId="222C34D4" w:rsidR="00555CA0" w:rsidRDefault="00555CA0" w:rsidP="00B42F46">
            <m:oMathPara>
              <m:oMath>
                <m:sSub>
                  <m:sSubPr>
                    <m:ctrlPr>
                      <w:rPr>
                        <w:rFonts w:ascii="Cambria Math" w:hAnsi="Cambria Math"/>
                        <w:i/>
                      </w:rPr>
                    </m:ctrlPr>
                  </m:sSubPr>
                  <m:e>
                    <m:r>
                      <w:rPr>
                        <w:rFonts w:ascii="Cambria Math" w:hAnsi="Cambria Math"/>
                      </w:rPr>
                      <m:t>x</m:t>
                    </m:r>
                  </m:e>
                  <m:sub>
                    <m:r>
                      <w:rPr>
                        <w:rFonts w:ascii="Cambria Math" w:hAnsi="Cambria Math"/>
                      </w:rPr>
                      <m:t>acc</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acc</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acc</m:t>
                            </m:r>
                          </m:sub>
                          <m:sup>
                            <m:r>
                              <w:rPr>
                                <w:rFonts w:ascii="Cambria Math" w:hAnsi="Cambria Math"/>
                              </w:rPr>
                              <m:t>2</m:t>
                            </m:r>
                          </m:sup>
                        </m:sSubSup>
                      </m:e>
                    </m:d>
                  </m:num>
                  <m:den>
                    <m:r>
                      <w:rPr>
                        <w:rFonts w:ascii="Cambria Math" w:hAnsi="Cambria Math"/>
                      </w:rPr>
                      <m:t>2</m:t>
                    </m:r>
                  </m:den>
                </m:f>
              </m:oMath>
            </m:oMathPara>
          </w:p>
        </w:tc>
        <w:tc>
          <w:tcPr>
            <w:tcW w:w="715" w:type="dxa"/>
          </w:tcPr>
          <w:p w14:paraId="4371CF77" w14:textId="6A7A6349" w:rsidR="00555CA0" w:rsidRDefault="00D201A4" w:rsidP="00B42F46">
            <w:r>
              <w:t>(2)</w:t>
            </w:r>
          </w:p>
        </w:tc>
      </w:tr>
      <w:tr w:rsidR="00555CA0" w14:paraId="61567EC5" w14:textId="77777777" w:rsidTr="00D201A4">
        <w:tc>
          <w:tcPr>
            <w:tcW w:w="8635" w:type="dxa"/>
          </w:tcPr>
          <w:p w14:paraId="6FD34D65" w14:textId="66DEBD9A" w:rsidR="00555CA0" w:rsidRDefault="00D201A4" w:rsidP="00B42F46">
            <m:oMathPara>
              <m:oMath>
                <m:sSub>
                  <m:sSubPr>
                    <m:ctrlPr>
                      <w:rPr>
                        <w:rFonts w:ascii="Cambria Math" w:hAnsi="Cambria Math"/>
                        <w:i/>
                      </w:rPr>
                    </m:ctrlPr>
                  </m:sSubPr>
                  <m:e>
                    <m:r>
                      <w:rPr>
                        <w:rFonts w:ascii="Cambria Math" w:hAnsi="Cambria Math"/>
                      </w:rPr>
                      <m:t>x</m:t>
                    </m:r>
                  </m:e>
                  <m:sub>
                    <m:r>
                      <w:rPr>
                        <w:rFonts w:ascii="Cambria Math" w:hAnsi="Cambria Math"/>
                      </w:rPr>
                      <m:t>cons</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const</m:t>
                    </m:r>
                  </m:sub>
                </m:sSub>
              </m:oMath>
            </m:oMathPara>
          </w:p>
        </w:tc>
        <w:tc>
          <w:tcPr>
            <w:tcW w:w="715" w:type="dxa"/>
          </w:tcPr>
          <w:p w14:paraId="184D1CCC" w14:textId="3BA5477D" w:rsidR="00555CA0" w:rsidRDefault="00555CA0" w:rsidP="00B42F46"/>
        </w:tc>
      </w:tr>
      <w:tr w:rsidR="00D201A4" w14:paraId="30B3C738" w14:textId="77777777" w:rsidTr="00D201A4">
        <w:tc>
          <w:tcPr>
            <w:tcW w:w="8635" w:type="dxa"/>
          </w:tcPr>
          <w:p w14:paraId="4E4A4267" w14:textId="501404EF" w:rsidR="00D201A4" w:rsidRDefault="00D201A4" w:rsidP="00D201A4">
            <m:oMathPara>
              <m:oMath>
                <m:sSub>
                  <m:sSubPr>
                    <m:ctrlPr>
                      <w:rPr>
                        <w:rFonts w:ascii="Cambria Math" w:hAnsi="Cambria Math"/>
                        <w:i/>
                      </w:rPr>
                    </m:ctrlPr>
                  </m:sSubPr>
                  <m:e>
                    <m:r>
                      <w:rPr>
                        <w:rFonts w:ascii="Cambria Math" w:hAnsi="Cambria Math"/>
                      </w:rPr>
                      <m:t>x</m:t>
                    </m:r>
                  </m:e>
                  <m:sub>
                    <m:r>
                      <w:rPr>
                        <w:rFonts w:ascii="Cambria Math" w:hAnsi="Cambria Math"/>
                      </w:rPr>
                      <m:t>dec</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acc</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acc</m:t>
                            </m:r>
                          </m:sub>
                          <m:sup>
                            <m:r>
                              <w:rPr>
                                <w:rFonts w:ascii="Cambria Math" w:hAnsi="Cambria Math"/>
                              </w:rPr>
                              <m:t>2</m:t>
                            </m:r>
                          </m:sup>
                        </m:sSubSup>
                      </m:e>
                    </m:d>
                  </m:num>
                  <m:den>
                    <m:r>
                      <w:rPr>
                        <w:rFonts w:ascii="Cambria Math" w:hAnsi="Cambria Math"/>
                      </w:rPr>
                      <m:t>2</m:t>
                    </m:r>
                  </m:den>
                </m:f>
              </m:oMath>
            </m:oMathPara>
          </w:p>
        </w:tc>
        <w:tc>
          <w:tcPr>
            <w:tcW w:w="715" w:type="dxa"/>
          </w:tcPr>
          <w:p w14:paraId="11E24668" w14:textId="469AD432" w:rsidR="00D201A4" w:rsidRDefault="00D201A4" w:rsidP="00D201A4"/>
        </w:tc>
      </w:tr>
      <w:tr w:rsidR="00D201A4" w14:paraId="423068A0" w14:textId="77777777" w:rsidTr="00D201A4">
        <w:tc>
          <w:tcPr>
            <w:tcW w:w="8635" w:type="dxa"/>
          </w:tcPr>
          <w:p w14:paraId="2F54D58F" w14:textId="149A30ED" w:rsidR="00D201A4" w:rsidRDefault="00D201A4" w:rsidP="00D201A4">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=a*t</m:t>
                </m:r>
              </m:oMath>
            </m:oMathPara>
          </w:p>
        </w:tc>
        <w:tc>
          <w:tcPr>
            <w:tcW w:w="715" w:type="dxa"/>
          </w:tcPr>
          <w:p w14:paraId="6491A33E" w14:textId="7A53AEFD" w:rsidR="00D201A4" w:rsidRDefault="00D201A4" w:rsidP="00D201A4">
            <w:r>
              <w:t>(3)</w:t>
            </w:r>
          </w:p>
        </w:tc>
      </w:tr>
      <w:tr w:rsidR="00D201A4" w14:paraId="35E52549" w14:textId="77777777" w:rsidTr="00D201A4">
        <w:tc>
          <w:tcPr>
            <w:tcW w:w="8635" w:type="dxa"/>
          </w:tcPr>
          <w:p w14:paraId="64BC5819" w14:textId="776D1745" w:rsidR="00D201A4" w:rsidRDefault="00D201A4" w:rsidP="00D201A4">
            <w:pP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acc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m:t>
                        </m:r>
                      </m:sub>
                    </m:sSub>
                  </m:num>
                  <m:den>
                    <m:r>
                      <w:rPr>
                        <w:rFonts w:ascii="Cambria Math" w:hAnsi="Cambria Math"/>
                      </w:rPr>
                      <m:t>t</m:t>
                    </m:r>
                  </m:den>
                </m:f>
              </m:oMath>
            </m:oMathPara>
          </w:p>
        </w:tc>
        <w:tc>
          <w:tcPr>
            <w:tcW w:w="715" w:type="dxa"/>
          </w:tcPr>
          <w:p w14:paraId="288CA00F" w14:textId="2F22998B" w:rsidR="00D201A4" w:rsidRDefault="00D201A4" w:rsidP="00D201A4">
            <w:r>
              <w:t>(4)</w:t>
            </w:r>
          </w:p>
        </w:tc>
      </w:tr>
      <w:tr w:rsidR="00D201A4" w14:paraId="1D3F233B" w14:textId="77777777" w:rsidTr="00D201A4">
        <w:tc>
          <w:tcPr>
            <w:tcW w:w="8635" w:type="dxa"/>
          </w:tcPr>
          <w:p w14:paraId="0A9F26B7" w14:textId="5D693D7D" w:rsidR="00D201A4" w:rsidRDefault="00D201A4" w:rsidP="00D201A4">
            <w:pPr>
              <w:rPr>
                <w:rFonts w:ascii="Calibri" w:eastAsia="Calibri" w:hAnsi="Calibri" w:cs="Times New Roman"/>
              </w:rPr>
            </w:pPr>
            <w:r>
              <w:rPr>
                <w:rFonts w:ascii="Calibri" w:eastAsia="Calibri" w:hAnsi="Calibri" w:cs="Times New Roman"/>
              </w:rPr>
              <w:t xml:space="preserve">With </w:t>
            </w:r>
            <m:oMath>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acc</m:t>
                  </m:r>
                </m:sub>
              </m:sSub>
              <m:r>
                <w:rPr>
                  <w:rFonts w:ascii="Cambria Math" w:eastAsia="Calibri" w:hAnsi="Cambria Math" w:cs="Times New Roman"/>
                </w:rPr>
                <m:t>=0.3s</m:t>
              </m:r>
            </m:oMath>
            <w:r>
              <w:rPr>
                <w:rFonts w:ascii="Calibri" w:eastAsia="Calibri" w:hAnsi="Calibri"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max</m:t>
                  </m:r>
                </m:sub>
              </m:sSub>
              <m:r>
                <w:rPr>
                  <w:rFonts w:ascii="Cambria Math" w:eastAsia="Calibri" w:hAnsi="Cambria Math" w:cs="Times New Roman"/>
                </w:rPr>
                <m:t>=v</m:t>
              </m:r>
            </m:oMath>
          </w:p>
        </w:tc>
        <w:tc>
          <w:tcPr>
            <w:tcW w:w="715" w:type="dxa"/>
          </w:tcPr>
          <w:p w14:paraId="169CED0F" w14:textId="7868E2F6" w:rsidR="00D201A4" w:rsidRDefault="00D201A4" w:rsidP="00D201A4"/>
        </w:tc>
      </w:tr>
      <w:tr w:rsidR="00D201A4" w14:paraId="48DC5CB2" w14:textId="77777777" w:rsidTr="00D201A4">
        <w:tc>
          <w:tcPr>
            <w:tcW w:w="8635" w:type="dxa"/>
          </w:tcPr>
          <w:p w14:paraId="49C47699" w14:textId="2968D601" w:rsidR="00D201A4" w:rsidRDefault="00D201A4" w:rsidP="00D201A4">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dec</m:t>
                    </m:r>
                  </m:sub>
                </m:sSub>
                <m:r>
                  <w:rPr>
                    <w:rFonts w:ascii="Cambria Math" w:eastAsia="Calibri" w:hAnsi="Cambria Math" w:cs="Times New Roman"/>
                  </w:rPr>
                  <m:t>= -</m:t>
                </m:r>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acc</m:t>
                    </m:r>
                  </m:sub>
                </m:sSub>
              </m:oMath>
            </m:oMathPara>
          </w:p>
        </w:tc>
        <w:tc>
          <w:tcPr>
            <w:tcW w:w="715" w:type="dxa"/>
          </w:tcPr>
          <w:p w14:paraId="1106B1B6" w14:textId="35E6A5ED" w:rsidR="00D201A4" w:rsidRDefault="00D201A4" w:rsidP="00D201A4">
            <w:r>
              <w:t>(5)</w:t>
            </w:r>
          </w:p>
        </w:tc>
      </w:tr>
    </w:tbl>
    <w:p w14:paraId="0503DD45" w14:textId="4CAB212F" w:rsidR="00357B2A" w:rsidRDefault="00E80321" w:rsidP="00B42F46">
      <w:r>
        <w:t xml:space="preserve">The ball cloud was presented at the same depth and had a width of 2.5 m. Each element of the cloud has the same size, </w:t>
      </w:r>
      <w:proofErr w:type="gramStart"/>
      <w:r>
        <w:t>shape</w:t>
      </w:r>
      <w:proofErr w:type="gramEnd"/>
      <w:r>
        <w:t xml:space="preserve"> and color as the single sphere, and around 20 balls are visible at any given moment. The ball cloud’s speed was governed</w:t>
      </w:r>
      <w:r w:rsidR="005E62A0">
        <w:t xml:space="preserve"> </w:t>
      </w:r>
      <w:r>
        <w:t xml:space="preserve">by a PEST staircase </w:t>
      </w:r>
      <w:r>
        <w:fldChar w:fldCharType="begin" w:fldLock="1"/>
      </w:r>
      <w:r w:rsidR="000C185A">
        <w:instrText>ADDIN CSL_CITATION {"citationItems":[{"id":"ITEM-1","itemData":{"DOI":"10.1121/1.1910407","ISSN":"0001-4966","abstract":"An adaptive procedure for rapid and efficient psychophysical testing is described. PEST (Parameter Estimation by Sequential Testing) was designed with maximally efficient trial-by-trial sequential decisions at each stimulus level, in a sequence which tends to converge on a selected target level. An appendix introduces an approach to measuring test efficiency as applied to psychophysical testing problems.","author":[{"dropping-particle":"","family":"Taylor","given":"M. M.","non-dropping-particle":"","parse-names":false,"suffix":""},{"dropping-particle":"","family":"Creelman","given":"C. Douglas","non-dropping-particle":"","parse-names":false,"suffix":""}],"container-title":"The Journal of the Acoustical Society of America","id":"ITEM-1","issue":"4A","issued":{"date-parts":[["1967"]]},"page":"782-787","title":"PEST: Efficient Estimates on Probability Functions","type":"article-journal","volume":"41"},"uris":["http://www.mendeley.com/documents/?uuid=a2a840e0-f469-40b9-8d13-13b98b340e49"]}],"mendeley":{"formattedCitation":"(Taylor &amp; Creelman, 1967)","plainTextFormattedCitation":"(Taylor &amp; Creelman, 1967)","previouslyFormattedCitation":"(Taylor &amp; Creelman, 1967)"},"properties":{"noteIndex":0},"schema":"https://github.com/citation-style-language/schema/raw/master/csl-citation.json"}</w:instrText>
      </w:r>
      <w:r>
        <w:fldChar w:fldCharType="separate"/>
      </w:r>
      <w:r w:rsidRPr="00E80321">
        <w:rPr>
          <w:noProof/>
        </w:rPr>
        <w:t>(Taylor &amp; Creelman, 1967)</w:t>
      </w:r>
      <w:r>
        <w:fldChar w:fldCharType="end"/>
      </w:r>
      <w:r>
        <w:t>.</w:t>
      </w:r>
      <w:r w:rsidR="005E62A0">
        <w:t xml:space="preserve"> </w:t>
      </w:r>
      <w:r w:rsidR="003906E8">
        <w:t xml:space="preserve">A staircase is terminated either when the participant completes </w:t>
      </w:r>
      <w:r w:rsidR="00260138">
        <w:t>3</w:t>
      </w:r>
      <w:r w:rsidR="003906E8">
        <w:t xml:space="preserve">7 trials, or when they complete at least </w:t>
      </w:r>
      <w:r w:rsidR="00260138">
        <w:t>3</w:t>
      </w:r>
      <w:r w:rsidR="003906E8">
        <w:t xml:space="preserve">0 </w:t>
      </w:r>
      <w:proofErr w:type="gramStart"/>
      <w:r w:rsidR="003906E8">
        <w:t>trials</w:t>
      </w:r>
      <w:proofErr w:type="gramEnd"/>
      <w:r w:rsidR="003906E8">
        <w:t xml:space="preserve"> and the step size drops below 0.1 m/s.</w:t>
      </w:r>
    </w:p>
    <w:p w14:paraId="4D12F883" w14:textId="4EF8E98A" w:rsidR="00123144" w:rsidRDefault="00E80321">
      <w:r>
        <w:t>Participants are asked to either</w:t>
      </w:r>
      <w:r w:rsidR="00850FB4">
        <w:t>:</w:t>
      </w:r>
    </w:p>
    <w:p w14:paraId="23E4AC6B" w14:textId="49D78C5B" w:rsidR="00123144" w:rsidRDefault="00E80321" w:rsidP="00123144">
      <w:pPr>
        <w:pStyle w:val="ListParagraph"/>
        <w:numPr>
          <w:ilvl w:val="0"/>
          <w:numId w:val="1"/>
        </w:numPr>
      </w:pPr>
      <w:r>
        <w:t>fixate a fixation cross presented 0.5 m below the height at which the sphere is</w:t>
      </w:r>
      <w:r w:rsidR="00123144">
        <w:t xml:space="preserve"> presented (Fixation condition), </w:t>
      </w:r>
    </w:p>
    <w:p w14:paraId="66108FED" w14:textId="64D55252" w:rsidR="00123144" w:rsidRDefault="00123144" w:rsidP="00123144">
      <w:pPr>
        <w:pStyle w:val="ListParagraph"/>
        <w:numPr>
          <w:ilvl w:val="0"/>
          <w:numId w:val="1"/>
        </w:numPr>
      </w:pPr>
      <w:r>
        <w:t>or follow the sphere with their gaze (Pursuit condition).</w:t>
      </w:r>
    </w:p>
    <w:p w14:paraId="03A5760A" w14:textId="3E243404" w:rsidR="00E80321" w:rsidRDefault="00123144" w:rsidP="00123144">
      <w:r>
        <w:t>Participants are always asked to keep their gaze on the fixation cross during presentation of the ball cloud. Furthermore, the stimulus is presented either</w:t>
      </w:r>
      <w:r w:rsidR="00850FB4">
        <w:t>:</w:t>
      </w:r>
    </w:p>
    <w:p w14:paraId="4DB93F99" w14:textId="5CC42406" w:rsidR="00123144" w:rsidRDefault="00123144" w:rsidP="00DB02F2">
      <w:pPr>
        <w:pStyle w:val="ListParagraph"/>
        <w:numPr>
          <w:ilvl w:val="0"/>
          <w:numId w:val="2"/>
        </w:numPr>
      </w:pPr>
      <w:r>
        <w:t>embedded in a virtual 3D environment (Environment condition, see Figure XX),</w:t>
      </w:r>
    </w:p>
    <w:p w14:paraId="231376DE" w14:textId="58668638" w:rsidR="00123144" w:rsidRDefault="00123144" w:rsidP="00DB02F2">
      <w:pPr>
        <w:pStyle w:val="ListParagraph"/>
        <w:numPr>
          <w:ilvl w:val="0"/>
          <w:numId w:val="2"/>
        </w:numPr>
      </w:pPr>
      <w:r>
        <w:t>in a uniformly grey scene that does not provide any additional background cues to eye speed but with stereoscopic cues to depth (No Environment-Stereoscopic condition),</w:t>
      </w:r>
    </w:p>
    <w:p w14:paraId="307CECE9" w14:textId="6CEFC133" w:rsidR="00123144" w:rsidRDefault="00123144" w:rsidP="00DB02F2">
      <w:pPr>
        <w:pStyle w:val="ListParagraph"/>
        <w:numPr>
          <w:ilvl w:val="0"/>
          <w:numId w:val="2"/>
        </w:numPr>
      </w:pPr>
      <w:r>
        <w:t>in a uniformly grey scene presented monoscopically (No Environment-</w:t>
      </w:r>
      <w:proofErr w:type="spellStart"/>
      <w:r>
        <w:t>Monoscopic</w:t>
      </w:r>
      <w:proofErr w:type="spellEnd"/>
      <w:r>
        <w:t>).</w:t>
      </w:r>
    </w:p>
    <w:p w14:paraId="44D3B5D1" w14:textId="43451786" w:rsidR="00123144" w:rsidRDefault="005E62A0" w:rsidP="00123144">
      <w:r>
        <w:t>Each combination of these experimental conditions is presented in blocks; the experiment thus consist</w:t>
      </w:r>
      <w:r w:rsidR="00850FB4">
        <w:t>s</w:t>
      </w:r>
      <w:r>
        <w:t xml:space="preserve"> of 6 blocks whose order is drawn randomly for each participant.</w:t>
      </w:r>
      <w:r w:rsidR="001B5860">
        <w:t xml:space="preserve"> Overall, the experiment takes about an hour to complete.</w:t>
      </w:r>
    </w:p>
    <w:p w14:paraId="036E3E7F" w14:textId="6112714D" w:rsidR="0040137A" w:rsidRDefault="001B5860" w:rsidP="00123144">
      <w:r>
        <w:lastRenderedPageBreak/>
        <w:t xml:space="preserve">We record the participants’ eye-movements while either the sphere or the sphere cloud </w:t>
      </w:r>
      <w:r w:rsidR="00457128">
        <w:t>is</w:t>
      </w:r>
      <w:r w:rsidR="00085EB9">
        <w:t xml:space="preserve"> </w:t>
      </w:r>
      <w:r>
        <w:t>visible.</w:t>
      </w:r>
      <w:r w:rsidR="0040137A">
        <w:t xml:space="preserve"> Trials </w:t>
      </w:r>
      <w:r w:rsidR="00457128">
        <w:t xml:space="preserve">are </w:t>
      </w:r>
      <w:r w:rsidR="0040137A">
        <w:t xml:space="preserve">repeated when the gaze behavior </w:t>
      </w:r>
      <w:r w:rsidR="00457128">
        <w:t xml:space="preserve">does not </w:t>
      </w:r>
      <w:r w:rsidR="0040137A">
        <w:t>match the instructions:</w:t>
      </w:r>
    </w:p>
    <w:p w14:paraId="745402A5" w14:textId="4E42A968" w:rsidR="0040137A" w:rsidRDefault="0040137A" w:rsidP="0040137A">
      <w:pPr>
        <w:pStyle w:val="ListParagraph"/>
        <w:numPr>
          <w:ilvl w:val="0"/>
          <w:numId w:val="3"/>
        </w:numPr>
      </w:pPr>
      <w:r>
        <w:t>While the sphere is visible in the pursuit condition,</w:t>
      </w:r>
      <w:r w:rsidR="00085EB9">
        <w:t xml:space="preserve"> </w:t>
      </w:r>
      <w:r w:rsidRPr="0040137A">
        <w:t xml:space="preserve">the </w:t>
      </w:r>
      <w:r w:rsidR="003206B8">
        <w:t xml:space="preserve">absolute mean speed of the eyes (in depth) </w:t>
      </w:r>
      <w:proofErr w:type="gramStart"/>
      <w:r w:rsidR="003206B8">
        <w:t>has to</w:t>
      </w:r>
      <w:proofErr w:type="gramEnd"/>
      <w:r w:rsidR="003206B8">
        <w:t xml:space="preserve"> be </w:t>
      </w:r>
      <w:r w:rsidR="003206B8">
        <w:rPr>
          <w:lang w:val="en-CA"/>
        </w:rPr>
        <w:t>&gt;</w:t>
      </w:r>
      <w:r w:rsidR="003206B8" w:rsidRPr="003206B8">
        <w:t>=</w:t>
      </w:r>
      <w:r w:rsidR="003206B8">
        <w:t xml:space="preserve"> 50% of the target speed across the 0.5 s during which the stimulus travels at constant speed, and the e</w:t>
      </w:r>
      <w:r w:rsidR="003206B8" w:rsidRPr="003206B8">
        <w:t>y</w:t>
      </w:r>
      <w:r w:rsidR="003206B8">
        <w:t>es have to move in the same direction as the target.</w:t>
      </w:r>
    </w:p>
    <w:p w14:paraId="7ECF8C22" w14:textId="6BB5A759" w:rsidR="003906E8" w:rsidRDefault="0040137A" w:rsidP="0040137A">
      <w:pPr>
        <w:pStyle w:val="ListParagraph"/>
        <w:numPr>
          <w:ilvl w:val="0"/>
          <w:numId w:val="3"/>
        </w:numPr>
      </w:pPr>
      <w:r>
        <w:t xml:space="preserve">While the sphere is visible in the fixation condition, </w:t>
      </w:r>
      <w:r w:rsidR="003206B8">
        <w:t xml:space="preserve">the absolute mean speed of the eyes (in depth) </w:t>
      </w:r>
      <w:proofErr w:type="gramStart"/>
      <w:r w:rsidR="003206B8">
        <w:t>has to</w:t>
      </w:r>
      <w:proofErr w:type="gramEnd"/>
      <w:r w:rsidR="003206B8">
        <w:t xml:space="preserve"> be below 25% of the target speed.</w:t>
      </w:r>
    </w:p>
    <w:p w14:paraId="3DD4E457" w14:textId="6EA4D2CD" w:rsidR="0040137A" w:rsidRDefault="0040137A" w:rsidP="0040137A">
      <w:pPr>
        <w:pStyle w:val="ListParagraph"/>
        <w:numPr>
          <w:ilvl w:val="0"/>
          <w:numId w:val="3"/>
        </w:numPr>
      </w:pPr>
      <w:r>
        <w:t xml:space="preserve">While the sphere cloud is visible, </w:t>
      </w:r>
      <w:r w:rsidR="003206B8">
        <w:t xml:space="preserve">the absolute mean speed of the eyes (in depth) </w:t>
      </w:r>
      <w:proofErr w:type="gramStart"/>
      <w:r w:rsidR="003206B8">
        <w:t>has to</w:t>
      </w:r>
      <w:proofErr w:type="gramEnd"/>
      <w:r w:rsidR="003206B8">
        <w:t xml:space="preserve"> be below 25% of the target speed.</w:t>
      </w:r>
    </w:p>
    <w:p w14:paraId="52E76D43" w14:textId="6CA6984C" w:rsidR="003906E8" w:rsidRDefault="009D1DFE" w:rsidP="00123144">
      <w:r>
        <w:t xml:space="preserve">While computing the </w:t>
      </w:r>
      <w:r w:rsidR="003206B8">
        <w:t>gaze speed</w:t>
      </w:r>
      <w:r>
        <w:t>, we account for the 50 ms it takes the VIVE Pro Eye to make the eye-tracking data available to the system</w:t>
      </w:r>
      <w:r w:rsidR="00D7003A">
        <w:t xml:space="preserve"> </w:t>
      </w:r>
      <w:r w:rsidR="00D7003A">
        <w:fldChar w:fldCharType="begin" w:fldLock="1"/>
      </w:r>
      <w:r w:rsidR="00D7003A">
        <w:instrText>ADDIN CSL_CITATION {"citationItems":[{"id":"ITEM-1","itemData":{"DOI":"10.1177/2041669520983338","ISSN":"20416695","abstract":"A number of virtual reality head-mounted displays (HMDs) with integrated eye trackers have recently become commercially available. If their eye tracking latency is low and reliable enough for gaze-contingent rendering, this may open up many interesting opportunities for researchers. We measured eye tracking latencies for the Fove-0, the Varjo VR-1, and the High Tech Computer Corporation (HTC) Vive Pro Eye using simultaneous electrooculography measurements. We determined the time from the occurrence of an eye position change to its availability as a data sample from the eye tracker (delay) and the time from an eye position change to the earliest possible change of the display content (latency). For each test and each device, participants performed 60 saccades between two targets 20° of visual angle apart. The targets were continuously visible in the HMD, and the saccades were instructed by an auditory cue. Data collection and eye tracking calibration were done using the recommended scripts for each device in Unity3D. The Vive Pro Eye was recorded twice, once using the SteamVR SDK and once using the Tobii XR SDK. Our results show clear differences between the HMDs. Delays ranged from 15 ms to 52 ms, and the latencies ranged from 45 ms to 81 ms. The Fove-0 appears to be the fastest device and best suited for gaze-contingent rendering.","author":[{"dropping-particle":"","family":"Stein","given":"Niklas","non-dropping-particle":"","parse-names":false,"suffix":""},{"dropping-particle":"","family":"Niehorster","given":"Diederick C.","non-dropping-particle":"","parse-names":false,"suffix":""},{"dropping-particle":"","family":"Watson","given":"Tamara","non-dropping-particle":"","parse-names":false,"suffix":""},{"dropping-particle":"","family":"Steinicke","given":"Frank","non-dropping-particle":"","parse-names":false,"suffix":""},{"dropping-particle":"","family":"Rifai","given":"Katharina","non-dropping-particle":"","parse-names":false,"suffix":""},{"dropping-particle":"","family":"Wahl","given":"Siegfried","non-dropping-particle":"","parse-names":false,"suffix":""},{"dropping-particle":"","family":"Lappe","given":"Markus","non-dropping-particle":"","parse-names":false,"suffix":""}],"container-title":"i-Perception","id":"ITEM-1","issue":"1","issued":{"date-parts":[["2021"]]},"title":"A Comparison of Eye Tracking Latencies Among Several Commercial Head-Mounted Displays","type":"article-journal","volume":"12"},"uris":["http://www.mendeley.com/documents/?uuid=55e87851-9465-4f3e-b725-4eca88e5cd2a"]}],"mendeley":{"formattedCitation":"(Stein et al., 2021)","plainTextFormattedCitation":"(Stein et al., 2021)"},"properties":{"noteIndex":0},"schema":"https://github.com/citation-style-language/schema/raw/master/csl-citation.json"}</w:instrText>
      </w:r>
      <w:r w:rsidR="00D7003A">
        <w:fldChar w:fldCharType="separate"/>
      </w:r>
      <w:r w:rsidR="00D7003A" w:rsidRPr="00D7003A">
        <w:rPr>
          <w:noProof/>
        </w:rPr>
        <w:t>(Stein et al., 2021)</w:t>
      </w:r>
      <w:r w:rsidR="00D7003A">
        <w:fldChar w:fldCharType="end"/>
      </w:r>
      <w:r>
        <w:t>.</w:t>
      </w:r>
      <w:r w:rsidR="005B2C86">
        <w:t xml:space="preserve"> The eye-tracking data is further used to light up the fixation cross – when</w:t>
      </w:r>
      <w:r w:rsidR="00D70FE1">
        <w:t>ever</w:t>
      </w:r>
      <w:r w:rsidR="005B2C86">
        <w:t xml:space="preserve"> present – when the participant’s gaze is within the 0.3 m tolerance of its center</w:t>
      </w:r>
      <w:r w:rsidR="00265713">
        <w:t xml:space="preserve"> to indicate that they are fixating as instructed.</w:t>
      </w:r>
    </w:p>
    <w:p w14:paraId="55AB04BB" w14:textId="66E23650" w:rsidR="00850FB4" w:rsidRDefault="00850FB4" w:rsidP="00123144">
      <w:r>
        <w:t>The program used to present stimuli can be downloaded here (XXXX, on OSF), and the Unity project can be downloaded here (XXXX, on OSF).</w:t>
      </w:r>
    </w:p>
    <w:p w14:paraId="05BD88CD" w14:textId="77777777" w:rsidR="009D1DFE" w:rsidRDefault="009D1DFE" w:rsidP="00123144"/>
    <w:p w14:paraId="5F1FE2B5" w14:textId="746966A8" w:rsidR="003906E8" w:rsidRDefault="003906E8" w:rsidP="00EB272E">
      <w:pPr>
        <w:pStyle w:val="Heading2"/>
      </w:pPr>
      <w:r>
        <w:t>Predictions</w:t>
      </w:r>
    </w:p>
    <w:p w14:paraId="0A94323F" w14:textId="5A9274A1" w:rsidR="003906E8" w:rsidRDefault="003906E8" w:rsidP="00123144">
      <w:r>
        <w:t xml:space="preserve">We expect the speed of the sphere to be estimated </w:t>
      </w:r>
      <w:r w:rsidR="000C185A">
        <w:t xml:space="preserve">accurately </w:t>
      </w:r>
      <w:r>
        <w:t xml:space="preserve">when the participant </w:t>
      </w:r>
      <w:r w:rsidR="000C185A">
        <w:t>maintains fixation, and we expect it to be underestimated when they pursue the sphere with their gaze. We expect this effect to be absent when a virtual environment is provided, that is, participants should estimate the sphere’s speed accurately in a virtual environment even when they follow it with their gaze.</w:t>
      </w:r>
    </w:p>
    <w:p w14:paraId="3F913DF3" w14:textId="4202579D" w:rsidR="000C185A" w:rsidRDefault="000C185A" w:rsidP="00123144"/>
    <w:p w14:paraId="6EE7EEAF" w14:textId="4A375649" w:rsidR="000C185A" w:rsidRDefault="000C185A" w:rsidP="00EB272E">
      <w:pPr>
        <w:pStyle w:val="Heading2"/>
      </w:pPr>
      <w:r>
        <w:t>Data Analysis</w:t>
      </w:r>
    </w:p>
    <w:p w14:paraId="47F60C7B" w14:textId="672EF75F" w:rsidR="000C185A" w:rsidRDefault="00CF76AF" w:rsidP="00123144">
      <w:r>
        <w:t>We first</w:t>
      </w:r>
      <w:r w:rsidR="000C185A">
        <w:t xml:space="preserve"> fit cumulative Gaussian functions </w:t>
      </w:r>
      <w:r>
        <w:t xml:space="preserve">separately for each target speed and experimental condition </w:t>
      </w:r>
      <w:r w:rsidR="000C185A">
        <w:t>by means of</w:t>
      </w:r>
      <w:r>
        <w:t xml:space="preserve"> direct </w:t>
      </w:r>
      <w:r w:rsidR="000C185A">
        <w:t>likelihood maximization</w:t>
      </w:r>
      <w:r>
        <w:t xml:space="preserve"> </w:t>
      </w:r>
      <w:r>
        <w:fldChar w:fldCharType="begin" w:fldLock="1"/>
      </w:r>
      <w:r w:rsidR="00CC4505">
        <w:instrText>ADDIN CSL_CITATION {"citationItems":[{"id":"ITEM-1","itemData":{"ISBN":"9781461444749","author":[{"dropping-particle":"","family":"Knoblauch","given":"Kenneth","non-dropping-particle":"","parse-names":false,"suffix":""},{"dropping-particle":"","family":"Maloney","given":"Laurence T.","non-dropping-particle":"","parse-names":false,"suffix":""}],"id":"ITEM-1","issued":{"date-parts":[["2012"]]},"number-of-pages":"375","publisher":"Springer","publisher-place":"New York","title":"Modelling psychophysical data in R","type":"book"},"uris":["http://www.mendeley.com/documents/?uuid=0ea6b55d-c24f-4860-a5ca-3bb9df6a6fcb"]}],"mendeley":{"formattedCitation":"(Knoblauch &amp; Maloney, 2012)","plainTextFormattedCitation":"(Knoblauch &amp; Maloney, 2012)","previouslyFormattedCitation":"(Knoblauch &amp; Maloney, 2012)"},"properties":{"noteIndex":0},"schema":"https://github.com/citation-style-language/schema/raw/master/csl-citation.json"}</w:instrText>
      </w:r>
      <w:r>
        <w:fldChar w:fldCharType="separate"/>
      </w:r>
      <w:r w:rsidRPr="00CF76AF">
        <w:rPr>
          <w:noProof/>
        </w:rPr>
        <w:t>(Knoblauch &amp; Maloney, 2012)</w:t>
      </w:r>
      <w:r>
        <w:fldChar w:fldCharType="end"/>
      </w:r>
      <w:r w:rsidR="000C185A">
        <w:t xml:space="preserve"> as implemented in the </w:t>
      </w:r>
      <w:proofErr w:type="spellStart"/>
      <w:r w:rsidR="000C185A">
        <w:t>quickpsy</w:t>
      </w:r>
      <w:proofErr w:type="spellEnd"/>
      <w:r w:rsidR="000C185A">
        <w:t xml:space="preserve"> package </w:t>
      </w:r>
      <w:r w:rsidR="000C185A">
        <w:fldChar w:fldCharType="begin" w:fldLock="1"/>
      </w:r>
      <w:r w:rsidR="000C185A">
        <w:instrText>ADDIN CSL_CITATION {"citationItems":[{"id":"ITEM-1","itemData":{"ISSN":"20734859","abstract":"quickpsy is a package to parametrically fit psychometric functions. In comparison with previous R packages, quickpsy was built to easily fit and plot data for multiple groups. Here, we describe the standard parametric model used to fit psychometric functions and the standard estimation of its parameters using maximum likelihood. We also provide examples of usage of quickpsy, including how allowing the lapse rate to vary can sometimes eliminate the bias in parameter estimation, but not in general. Finally, we describe some implementation details, such as how to avoid the problems associated to round-off errors in the maximisation of the likelihood or the use of closures and non-standard evaluation functions.","author":[{"dropping-particle":"","family":"Linares","given":"Daniel","non-dropping-particle":"","parse-names":false,"suffix":""},{"dropping-particle":"","family":"López-Moliner","given":"Joan","non-dropping-particle":"","parse-names":false,"suffix":""}],"container-title":"The R Journal","id":"ITEM-1","issue":"1","issued":{"date-parts":[["2016"]]},"page":"122-131","title":"quickpsy: An R Package to Fit Psychometric Functions for Multiple Groups","type":"article-journal","volume":"8"},"uris":["http://www.mendeley.com/documents/?uuid=8a485358-cf3c-4642-ac6d-7cd189612ad9"]}],"mendeley":{"formattedCitation":"(Linares &amp; López-Moliner, 2016)","plainTextFormattedCitation":"(Linares &amp; López-Moliner, 2016)","previouslyFormattedCitation":"(Linares &amp; López-Moliner, 2016)"},"properties":{"noteIndex":0},"schema":"https://github.com/citation-style-language/schema/raw/master/csl-citation.json"}</w:instrText>
      </w:r>
      <w:r w:rsidR="000C185A">
        <w:fldChar w:fldCharType="separate"/>
      </w:r>
      <w:r w:rsidR="000C185A" w:rsidRPr="000C185A">
        <w:rPr>
          <w:noProof/>
        </w:rPr>
        <w:t>(Linares &amp; López-Moliner, 2016)</w:t>
      </w:r>
      <w:r w:rsidR="000C185A">
        <w:fldChar w:fldCharType="end"/>
      </w:r>
      <w:r w:rsidR="000C185A">
        <w:t xml:space="preserve"> for R </w:t>
      </w:r>
      <w:r w:rsidR="000C185A">
        <w:fldChar w:fldCharType="begin" w:fldLock="1"/>
      </w:r>
      <w:r>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0C185A">
        <w:fldChar w:fldCharType="separate"/>
      </w:r>
      <w:r w:rsidR="000C185A" w:rsidRPr="000C185A">
        <w:rPr>
          <w:noProof/>
        </w:rPr>
        <w:t>(R Core Team, 2017)</w:t>
      </w:r>
      <w:r w:rsidR="000C185A">
        <w:fldChar w:fldCharType="end"/>
      </w:r>
      <w:r>
        <w:t xml:space="preserve">. We then </w:t>
      </w:r>
      <w:r w:rsidR="009748EC">
        <w:t xml:space="preserve">extract </w:t>
      </w:r>
      <w:r>
        <w:t xml:space="preserve">the PSEs (i.e., the 50% thresholds) </w:t>
      </w:r>
      <w:r w:rsidR="009748EC">
        <w:t xml:space="preserve">and use them </w:t>
      </w:r>
      <w:r>
        <w:t>as a measure of accuracy.</w:t>
      </w:r>
    </w:p>
    <w:p w14:paraId="707426DF" w14:textId="23600636" w:rsidR="00CF76AF" w:rsidRDefault="009748EC" w:rsidP="00123144">
      <w:r>
        <w:t>We use linear mixed modelling to test for statistical differences between the experimental conditions.</w:t>
      </w:r>
      <w:r w:rsidR="00DB02F2">
        <w:t xml:space="preserve"> We first fit a model with the PSEs as dependent variable, the fixation condition (Fixation vs. Pursuit), the environment condition (Environment vs. No Environment-Stereoscopic vs. No Environment-</w:t>
      </w:r>
      <w:proofErr w:type="spellStart"/>
      <w:r w:rsidR="00DB02F2">
        <w:t>Monoscopic</w:t>
      </w:r>
      <w:proofErr w:type="spellEnd"/>
      <w:r w:rsidR="00DB02F2">
        <w:t>), and the interaction between fixation condition and environment condition as fixed effects, as well as random intercepts and random slopes for target speed for the grouping variable Participant</w:t>
      </w:r>
      <w:r w:rsidR="006B4080">
        <w:t>.</w:t>
      </w:r>
      <w:r w:rsidR="00CC4505">
        <w:t xml:space="preserve"> In Wilkinson &amp; Rogers notation </w:t>
      </w:r>
      <w:r w:rsidR="00CC4505">
        <w:fldChar w:fldCharType="begin" w:fldLock="1"/>
      </w:r>
      <w:r w:rsidR="00945CB4">
        <w:instrText>ADDIN CSL_CITATION {"citationItems":[{"id":"ITEM-1","itemData":{"author":[{"dropping-particle":"","family":"Wilkinson","given":"G. N.","non-dropping-particle":"","parse-names":false,"suffix":""},{"dropping-particle":"","family":"Rogers","given":"C. E.","non-dropping-particle":"","parse-names":false,"suffix":""}],"container-title":"Journal of the Royal Statistical Society","id":"ITEM-1","issue":"3","issued":{"date-parts":[["1973"]]},"page":"392-399","title":"Symbolic Description of Factorial Models for Analysis of Variance","type":"article-journal","volume":"22"},"uris":["http://www.mendeley.com/documents/?uuid=7eb6e010-59a8-40fc-9c79-291402058d15"]}],"mendeley":{"formattedCitation":"(Wilkinson &amp; Rogers, 1973)","plainTextFormattedCitation":"(Wilkinson &amp; Rogers, 1973)","previouslyFormattedCitation":"(Wilkinson &amp; Rogers, 1973)"},"properties":{"noteIndex":0},"schema":"https://github.com/citation-style-language/schema/raw/master/csl-citation.json"}</w:instrText>
      </w:r>
      <w:r w:rsidR="00CC4505">
        <w:fldChar w:fldCharType="separate"/>
      </w:r>
      <w:r w:rsidR="00CC4505" w:rsidRPr="00CC4505">
        <w:rPr>
          <w:noProof/>
        </w:rPr>
        <w:t>(Wilkinson &amp; Rogers, 1973)</w:t>
      </w:r>
      <w:r w:rsidR="00CC4505">
        <w:fldChar w:fldCharType="end"/>
      </w:r>
      <w:r w:rsidR="00CC4505">
        <w:t>, this model reads as follow: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BE3ED8" w:rsidRPr="00BE3ED8" w14:paraId="09BC34B1" w14:textId="77777777" w:rsidTr="00D41DF2">
        <w:tc>
          <w:tcPr>
            <w:tcW w:w="8365" w:type="dxa"/>
          </w:tcPr>
          <w:p w14:paraId="35351CC1" w14:textId="1E38D359" w:rsidR="00BE3ED8" w:rsidRPr="00BE3ED8" w:rsidRDefault="00BE3ED8" w:rsidP="00BE3ED8">
            <w:pPr>
              <w:spacing w:after="160" w:line="259" w:lineRule="auto"/>
            </w:pPr>
            <m:oMathPara>
              <m:oMath>
                <m:r>
                  <w:rPr>
                    <w:rFonts w:ascii="Cambria Math" w:hAnsi="Cambria Math"/>
                  </w:rPr>
                  <m:t>PSE ~ Fixation*Environment+</m:t>
                </m:r>
                <m:d>
                  <m:dPr>
                    <m:endChr m:val="|"/>
                    <m:ctrlPr>
                      <w:rPr>
                        <w:rFonts w:ascii="Cambria Math" w:hAnsi="Cambria Math"/>
                        <w:i/>
                      </w:rPr>
                    </m:ctrlPr>
                  </m:dPr>
                  <m:e>
                    <m:r>
                      <w:rPr>
                        <w:rFonts w:ascii="Cambria Math" w:hAnsi="Cambria Math"/>
                      </w:rPr>
                      <m:t>Spee</m:t>
                    </m:r>
                    <m:sSub>
                      <m:sSubPr>
                        <m:ctrlPr>
                          <w:rPr>
                            <w:rFonts w:ascii="Cambria Math" w:hAnsi="Cambria Math"/>
                            <w:i/>
                          </w:rPr>
                        </m:ctrlPr>
                      </m:sSubPr>
                      <m:e>
                        <m:r>
                          <w:rPr>
                            <w:rFonts w:ascii="Cambria Math" w:hAnsi="Cambria Math"/>
                          </w:rPr>
                          <m:t>d</m:t>
                        </m:r>
                      </m:e>
                      <m:sub>
                        <m:r>
                          <w:rPr>
                            <w:rFonts w:ascii="Cambria Math" w:hAnsi="Cambria Math"/>
                          </w:rPr>
                          <m:t>Sphere</m:t>
                        </m:r>
                      </m:sub>
                    </m:sSub>
                    <m:r>
                      <w:rPr>
                        <w:rFonts w:ascii="Cambria Math" w:hAnsi="Cambria Math"/>
                      </w:rPr>
                      <m:t xml:space="preserve"> </m:t>
                    </m:r>
                  </m:e>
                </m:d>
                <m:r>
                  <w:rPr>
                    <w:rFonts w:ascii="Cambria Math" w:hAnsi="Cambria Math"/>
                  </w:rPr>
                  <m:t xml:space="preserve"> </m:t>
                </m:r>
                <m:r>
                  <w:rPr>
                    <w:rFonts w:ascii="Cambria Math" w:hAnsi="Cambria Math"/>
                    <w:lang w:val="es-ES"/>
                  </w:rPr>
                  <m:t>Participant</m:t>
                </m:r>
                <m:r>
                  <w:rPr>
                    <w:rFonts w:ascii="Cambria Math" w:hAnsi="Cambria Math"/>
                  </w:rPr>
                  <m:t>)</m:t>
                </m:r>
              </m:oMath>
            </m:oMathPara>
          </w:p>
        </w:tc>
        <w:tc>
          <w:tcPr>
            <w:tcW w:w="985" w:type="dxa"/>
          </w:tcPr>
          <w:p w14:paraId="519CDC4C" w14:textId="77777777" w:rsidR="00BE3ED8" w:rsidRPr="00BE3ED8" w:rsidRDefault="00BE3ED8" w:rsidP="00BE3ED8">
            <w:pPr>
              <w:spacing w:after="160" w:line="259" w:lineRule="auto"/>
            </w:pPr>
            <w:r w:rsidRPr="00BE3ED8">
              <w:t xml:space="preserve">(5) </w:t>
            </w:r>
          </w:p>
        </w:tc>
      </w:tr>
    </w:tbl>
    <w:p w14:paraId="46B20063" w14:textId="072F91EA" w:rsidR="003906E8" w:rsidRDefault="005131C7" w:rsidP="00123144">
      <w:r w:rsidRPr="005131C7">
        <w:t xml:space="preserve">To assess statistical significance, we </w:t>
      </w:r>
      <w:r>
        <w:t xml:space="preserve">use the </w:t>
      </w:r>
      <w:proofErr w:type="spellStart"/>
      <w:r w:rsidRPr="002A46C3">
        <w:rPr>
          <w:rFonts w:ascii="Courier New" w:hAnsi="Courier New" w:cs="Courier New"/>
        </w:rPr>
        <w:t>confint</w:t>
      </w:r>
      <w:proofErr w:type="spellEnd"/>
      <w:r>
        <w:t xml:space="preserve"> function from base R to compute bootstrapped 95% confidence intervals on the regression coefficients pertaining to the fixed effects.</w:t>
      </w:r>
    </w:p>
    <w:p w14:paraId="6AA4E15B" w14:textId="38B96462" w:rsidR="007050AA" w:rsidRDefault="007050AA" w:rsidP="00123144">
      <w:r>
        <w:t xml:space="preserve">If we don’t find significant differences between the Fixation and Pursuit conditions, we will further employ Bayesian linear mixed modelling </w:t>
      </w:r>
      <w:r w:rsidR="00945CB4">
        <w:t xml:space="preserve">as implemented in the brms package </w:t>
      </w:r>
      <w:r w:rsidR="00945CB4">
        <w:fldChar w:fldCharType="begin" w:fldLock="1"/>
      </w:r>
      <w:r w:rsidR="00D8358E">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brms","type":"article-journal","volume":"10"},"uris":["http://www.mendeley.com/documents/?uuid=cada382b-57a6-46f5-b4f3-cb35d401778f"]}],"mendeley":{"formattedCitation":"(Bürkner, 2018)","plainTextFormattedCitation":"(Bürkner, 2018)","previouslyFormattedCitation":"(Bürkner, 2018)"},"properties":{"noteIndex":0},"schema":"https://github.com/citation-style-language/schema/raw/master/csl-citation.json"}</w:instrText>
      </w:r>
      <w:r w:rsidR="00945CB4">
        <w:fldChar w:fldCharType="separate"/>
      </w:r>
      <w:r w:rsidR="00945CB4" w:rsidRPr="00945CB4">
        <w:rPr>
          <w:noProof/>
        </w:rPr>
        <w:t>(Bürkner, 2018)</w:t>
      </w:r>
      <w:r w:rsidR="00945CB4">
        <w:fldChar w:fldCharType="end"/>
      </w:r>
      <w:r w:rsidR="00945CB4">
        <w:t xml:space="preserve"> for R </w:t>
      </w:r>
      <w:r>
        <w:t xml:space="preserve">to </w:t>
      </w:r>
      <w:r>
        <w:lastRenderedPageBreak/>
        <w:t xml:space="preserve">determine whether we can find support in favor of the null hypothesis. We will do this separately for each </w:t>
      </w:r>
      <w:r w:rsidR="002514F3">
        <w:t>environment condition.</w:t>
      </w:r>
    </w:p>
    <w:p w14:paraId="6071F25E" w14:textId="74EDF84C" w:rsidR="002514F3" w:rsidRDefault="002514F3" w:rsidP="00123144">
      <w:r>
        <w:t>To this end, we fit for each environment condition separately a model with the PSE as dependent variable, the fixation condition as fixed effect, and random intercepts as well as random slopes per target speed for the grouping variable Participant as a test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2514F3" w:rsidRPr="002514F3" w14:paraId="7D888319" w14:textId="77777777" w:rsidTr="00296047">
        <w:tc>
          <w:tcPr>
            <w:tcW w:w="8365" w:type="dxa"/>
          </w:tcPr>
          <w:p w14:paraId="614F634F" w14:textId="4A924972" w:rsidR="002514F3" w:rsidRPr="002514F3" w:rsidRDefault="002514F3" w:rsidP="002514F3">
            <w:pPr>
              <w:spacing w:after="160" w:line="259" w:lineRule="auto"/>
            </w:pPr>
            <m:oMathPara>
              <m:oMath>
                <m:r>
                  <w:rPr>
                    <w:rFonts w:ascii="Cambria Math" w:hAnsi="Cambria Math"/>
                  </w:rPr>
                  <m:t>PSE ~ Fixation+</m:t>
                </m:r>
                <m:d>
                  <m:dPr>
                    <m:endChr m:val="|"/>
                    <m:ctrlPr>
                      <w:rPr>
                        <w:rFonts w:ascii="Cambria Math" w:hAnsi="Cambria Math"/>
                        <w:i/>
                      </w:rPr>
                    </m:ctrlPr>
                  </m:dPr>
                  <m:e>
                    <m:r>
                      <w:rPr>
                        <w:rFonts w:ascii="Cambria Math" w:hAnsi="Cambria Math"/>
                      </w:rPr>
                      <m:t>Spee</m:t>
                    </m:r>
                    <m:sSub>
                      <m:sSubPr>
                        <m:ctrlPr>
                          <w:rPr>
                            <w:rFonts w:ascii="Cambria Math" w:hAnsi="Cambria Math"/>
                            <w:i/>
                          </w:rPr>
                        </m:ctrlPr>
                      </m:sSubPr>
                      <m:e>
                        <m:r>
                          <w:rPr>
                            <w:rFonts w:ascii="Cambria Math" w:hAnsi="Cambria Math"/>
                          </w:rPr>
                          <m:t>d</m:t>
                        </m:r>
                      </m:e>
                      <m:sub>
                        <m:r>
                          <w:rPr>
                            <w:rFonts w:ascii="Cambria Math" w:hAnsi="Cambria Math"/>
                          </w:rPr>
                          <m:t>Sphere</m:t>
                        </m:r>
                      </m:sub>
                    </m:sSub>
                    <m:r>
                      <w:rPr>
                        <w:rFonts w:ascii="Cambria Math" w:hAnsi="Cambria Math"/>
                      </w:rPr>
                      <m:t xml:space="preserve"> </m:t>
                    </m:r>
                  </m:e>
                </m:d>
                <m:r>
                  <w:rPr>
                    <w:rFonts w:ascii="Cambria Math" w:hAnsi="Cambria Math"/>
                  </w:rPr>
                  <m:t xml:space="preserve"> </m:t>
                </m:r>
                <m:r>
                  <w:rPr>
                    <w:rFonts w:ascii="Cambria Math" w:hAnsi="Cambria Math"/>
                    <w:lang w:val="es-ES"/>
                  </w:rPr>
                  <m:t>Participant</m:t>
                </m:r>
                <m:r>
                  <w:rPr>
                    <w:rFonts w:ascii="Cambria Math" w:hAnsi="Cambria Math"/>
                  </w:rPr>
                  <m:t>)</m:t>
                </m:r>
              </m:oMath>
            </m:oMathPara>
          </w:p>
        </w:tc>
        <w:tc>
          <w:tcPr>
            <w:tcW w:w="985" w:type="dxa"/>
          </w:tcPr>
          <w:p w14:paraId="3DA1A6CB" w14:textId="77777777" w:rsidR="002514F3" w:rsidRPr="002514F3" w:rsidRDefault="002514F3" w:rsidP="002514F3">
            <w:pPr>
              <w:spacing w:after="160" w:line="259" w:lineRule="auto"/>
            </w:pPr>
            <w:r w:rsidRPr="002514F3">
              <w:t xml:space="preserve">(5) </w:t>
            </w:r>
          </w:p>
        </w:tc>
      </w:tr>
    </w:tbl>
    <w:p w14:paraId="034E9E03" w14:textId="3C110CA4" w:rsidR="002514F3" w:rsidRDefault="002514F3" w:rsidP="00123144">
      <w:r>
        <w:t>We then fit a null model with the same random effects, but without Fixation as a fixed effect: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2514F3" w:rsidRPr="002514F3" w14:paraId="11DFEC08" w14:textId="77777777" w:rsidTr="00296047">
        <w:tc>
          <w:tcPr>
            <w:tcW w:w="8365" w:type="dxa"/>
          </w:tcPr>
          <w:p w14:paraId="09FF4341" w14:textId="771DE3FA" w:rsidR="002514F3" w:rsidRPr="002514F3" w:rsidRDefault="002514F3" w:rsidP="002514F3">
            <w:pPr>
              <w:spacing w:after="160" w:line="259" w:lineRule="auto"/>
            </w:pPr>
            <m:oMathPara>
              <m:oMath>
                <m:r>
                  <w:rPr>
                    <w:rFonts w:ascii="Cambria Math" w:hAnsi="Cambria Math"/>
                  </w:rPr>
                  <m:t xml:space="preserve">PSE ~ </m:t>
                </m:r>
                <m:d>
                  <m:dPr>
                    <m:endChr m:val="|"/>
                    <m:ctrlPr>
                      <w:rPr>
                        <w:rFonts w:ascii="Cambria Math" w:hAnsi="Cambria Math"/>
                        <w:i/>
                      </w:rPr>
                    </m:ctrlPr>
                  </m:dPr>
                  <m:e>
                    <m:r>
                      <w:rPr>
                        <w:rFonts w:ascii="Cambria Math" w:hAnsi="Cambria Math"/>
                      </w:rPr>
                      <m:t>Spee</m:t>
                    </m:r>
                    <m:sSub>
                      <m:sSubPr>
                        <m:ctrlPr>
                          <w:rPr>
                            <w:rFonts w:ascii="Cambria Math" w:hAnsi="Cambria Math"/>
                            <w:i/>
                          </w:rPr>
                        </m:ctrlPr>
                      </m:sSubPr>
                      <m:e>
                        <m:r>
                          <w:rPr>
                            <w:rFonts w:ascii="Cambria Math" w:hAnsi="Cambria Math"/>
                          </w:rPr>
                          <m:t>d</m:t>
                        </m:r>
                      </m:e>
                      <m:sub>
                        <m:r>
                          <w:rPr>
                            <w:rFonts w:ascii="Cambria Math" w:hAnsi="Cambria Math"/>
                          </w:rPr>
                          <m:t>Sphere</m:t>
                        </m:r>
                      </m:sub>
                    </m:sSub>
                    <m:r>
                      <w:rPr>
                        <w:rFonts w:ascii="Cambria Math" w:hAnsi="Cambria Math"/>
                      </w:rPr>
                      <m:t xml:space="preserve"> </m:t>
                    </m:r>
                  </m:e>
                </m:d>
                <m:r>
                  <w:rPr>
                    <w:rFonts w:ascii="Cambria Math" w:hAnsi="Cambria Math"/>
                  </w:rPr>
                  <m:t xml:space="preserve"> </m:t>
                </m:r>
                <m:r>
                  <w:rPr>
                    <w:rFonts w:ascii="Cambria Math" w:hAnsi="Cambria Math"/>
                    <w:lang w:val="es-ES"/>
                  </w:rPr>
                  <m:t>Participant</m:t>
                </m:r>
                <m:r>
                  <w:rPr>
                    <w:rFonts w:ascii="Cambria Math" w:hAnsi="Cambria Math"/>
                  </w:rPr>
                  <m:t>)</m:t>
                </m:r>
              </m:oMath>
            </m:oMathPara>
          </w:p>
        </w:tc>
        <w:tc>
          <w:tcPr>
            <w:tcW w:w="985" w:type="dxa"/>
          </w:tcPr>
          <w:p w14:paraId="20C3C817" w14:textId="77777777" w:rsidR="002514F3" w:rsidRPr="002514F3" w:rsidRDefault="002514F3" w:rsidP="002514F3">
            <w:pPr>
              <w:spacing w:after="160" w:line="259" w:lineRule="auto"/>
            </w:pPr>
            <w:r w:rsidRPr="002514F3">
              <w:t xml:space="preserve">(5) </w:t>
            </w:r>
          </w:p>
        </w:tc>
      </w:tr>
    </w:tbl>
    <w:p w14:paraId="751ECD63" w14:textId="34000CF1" w:rsidR="002514F3" w:rsidRDefault="002A27A9" w:rsidP="00123144">
      <w:r>
        <w:t xml:space="preserve">Finally, we </w:t>
      </w:r>
      <w:r w:rsidR="002004E3">
        <w:t xml:space="preserve">obtain </w:t>
      </w:r>
      <w:r>
        <w:t xml:space="preserve">the Bayes Factor by </w:t>
      </w:r>
      <w:r w:rsidR="002004E3">
        <w:t>first</w:t>
      </w:r>
      <w:r>
        <w:t xml:space="preserve"> </w:t>
      </w:r>
      <w:r w:rsidR="002004E3">
        <w:t xml:space="preserve">computing </w:t>
      </w:r>
      <w:r>
        <w:t xml:space="preserve">the marginal likelihood </w:t>
      </w:r>
      <w:r w:rsidR="002004E3">
        <w:t xml:space="preserve">via the </w:t>
      </w:r>
      <w:proofErr w:type="spellStart"/>
      <w:r w:rsidR="002004E3" w:rsidRPr="002A46C3">
        <w:rPr>
          <w:rFonts w:ascii="Courier New" w:hAnsi="Courier New" w:cs="Courier New"/>
        </w:rPr>
        <w:t>bridge_sample</w:t>
      </w:r>
      <w:proofErr w:type="spellEnd"/>
      <w:r w:rsidR="002004E3">
        <w:t xml:space="preserve"> function from the brms package </w:t>
      </w:r>
      <w:r>
        <w:t xml:space="preserve">for each model and </w:t>
      </w:r>
      <w:r w:rsidR="002004E3">
        <w:t xml:space="preserve">then comparing them with the </w:t>
      </w:r>
      <w:proofErr w:type="spellStart"/>
      <w:r w:rsidR="002004E3" w:rsidRPr="002A46C3">
        <w:rPr>
          <w:rFonts w:ascii="Courier New" w:hAnsi="Courier New" w:cs="Courier New"/>
        </w:rPr>
        <w:t>bayes_factor</w:t>
      </w:r>
      <w:proofErr w:type="spellEnd"/>
      <w:r w:rsidR="002004E3">
        <w:t xml:space="preserve"> function.</w:t>
      </w:r>
    </w:p>
    <w:p w14:paraId="00FD54BE" w14:textId="40FC904A" w:rsidR="00850FB4" w:rsidRDefault="00850FB4" w:rsidP="00123144">
      <w:r>
        <w:t>The code used for the analysis can be downloaded here (XXXXX, GitHub).</w:t>
      </w:r>
    </w:p>
    <w:p w14:paraId="64239C4A" w14:textId="452FB6CC" w:rsidR="00A86F8E" w:rsidRDefault="00A86F8E" w:rsidP="00123144"/>
    <w:p w14:paraId="528489DF" w14:textId="2C242CEE" w:rsidR="00A86F8E" w:rsidRDefault="00A86F8E" w:rsidP="00EB272E">
      <w:pPr>
        <w:pStyle w:val="Heading2"/>
      </w:pPr>
      <w:r>
        <w:t>Power Analysis</w:t>
      </w:r>
    </w:p>
    <w:p w14:paraId="02DC74EA" w14:textId="6C9D11DB" w:rsidR="00A86F8E" w:rsidRDefault="00A86F8E" w:rsidP="00123144">
      <w:r>
        <w:t>Considering that one of the goals of this study is to provide evidence whether the Aubert-</w:t>
      </w:r>
      <w:proofErr w:type="spellStart"/>
      <w:r>
        <w:t>Fleischl</w:t>
      </w:r>
      <w:proofErr w:type="spellEnd"/>
      <w:r>
        <w:t xml:space="preserve"> phenomenon should be considered in future research on speed perception in virtual environments, it </w:t>
      </w:r>
      <w:r w:rsidR="004379DF">
        <w:t>is relevant to define the smallest effect size of interest. Powering the study for a</w:t>
      </w:r>
      <w:r w:rsidR="003E13E8">
        <w:t>n</w:t>
      </w:r>
      <w:r w:rsidR="004379DF">
        <w:t xml:space="preserve"> adequately </w:t>
      </w:r>
      <w:proofErr w:type="gramStart"/>
      <w:r w:rsidR="004379DF">
        <w:t>small smallest</w:t>
      </w:r>
      <w:proofErr w:type="gramEnd"/>
      <w:r w:rsidR="004379DF">
        <w:t xml:space="preserve"> effect size of interest will also provide a sample size big enough to obtain strong enough evidence for the absence of an effect (via the Bayes factor). We stipulate that any difference in perceived speed below </w:t>
      </w:r>
      <w:r w:rsidR="003A6061">
        <w:t>1</w:t>
      </w:r>
      <w:r w:rsidR="004379DF">
        <w:t>% is too small to be of interest in most contexts. [MORE JUSTIFICATION</w:t>
      </w:r>
      <w:r w:rsidR="00762441">
        <w:t>, do some literature search</w:t>
      </w:r>
      <w:r w:rsidR="004379DF">
        <w:t>]</w:t>
      </w:r>
    </w:p>
    <w:p w14:paraId="3BC0568C" w14:textId="67E8DA50" w:rsidR="00850FB4" w:rsidRDefault="00D8358E" w:rsidP="00123144">
      <w:r>
        <w:t xml:space="preserve">We then perform a power analysis as outlined by Jörges </w:t>
      </w:r>
      <w:r>
        <w:fldChar w:fldCharType="begin" w:fldLock="1"/>
      </w:r>
      <w:r w:rsidR="005C7EE3">
        <w:instrText>ADDIN CSL_CITATION {"citationItems":[{"id":"ITEM-1","itemData":{"DOI":"10.31234/osf.io/ack8u","author":[{"dropping-particle":"","family":"Jörges","given":"Björn","non-dropping-particle":"","parse-names":false,"suffix":""}],"container-title":"PsyArXiv","id":"ITEM-1","issued":{"date-parts":[["2021"]]},"title":"Data Analysis and Power Simulations with General Linear Mixed Modelling for Psychophysical Data – A Practical , R-Based Guide","type":"article-journal"},"uris":["http://www.mendeley.com/documents/?uuid=60dc7e88-2fba-4c7a-9b5f-8149e1d267e7"]}],"mendeley":{"formattedCitation":"(Jörges, 2021)","plainTextFormattedCitation":"(Jörges, 2021)","previouslyFormattedCitation":"(Jörges, 2021)"},"properties":{"noteIndex":0},"schema":"https://github.com/citation-style-language/schema/raw/master/csl-citation.json"}</w:instrText>
      </w:r>
      <w:r>
        <w:fldChar w:fldCharType="separate"/>
      </w:r>
      <w:r w:rsidRPr="00D8358E">
        <w:rPr>
          <w:noProof/>
        </w:rPr>
        <w:t>(Jörges, 2021)</w:t>
      </w:r>
      <w:r>
        <w:fldChar w:fldCharType="end"/>
      </w:r>
      <w:r w:rsidR="005E5A69">
        <w:t>. This method relies on simulating full data sets based on assumptions about different sources of variability and the expected effect size or the smallest effect of interest.</w:t>
      </w:r>
      <w:r w:rsidR="00FB3F76">
        <w:t xml:space="preserve"> Each simulated data set is then analyzed (via the process outlined above under Data Analysis), and the fraction of cases in which a significant difference between the relevant conditions is detected is an adequate approximation of the power of these statistical tests.</w:t>
      </w:r>
      <w:r w:rsidR="005C7EE3">
        <w:t xml:space="preserve"> Since the example used in </w:t>
      </w:r>
      <w:r w:rsidR="005C7EE3">
        <w:fldChar w:fldCharType="begin" w:fldLock="1"/>
      </w:r>
      <w:r w:rsidR="00C80C3C">
        <w:instrText>ADDIN CSL_CITATION {"citationItems":[{"id":"ITEM-1","itemData":{"DOI":"10.31234/osf.io/ack8u","author":[{"dropping-particle":"","family":"Jörges","given":"Björn","non-dropping-particle":"","parse-names":false,"suffix":""}],"container-title":"PsyArXiv","id":"ITEM-1","issued":{"date-parts":[["2021"]]},"title":"Data Analysis and Power Simulations with General Linear Mixed Modelling for Psychophysical Data – A Practical , R-Based Guide","type":"article-journal"},"uris":["http://www.mendeley.com/documents/?uuid=60dc7e88-2fba-4c7a-9b5f-8149e1d267e7"]}],"mendeley":{"formattedCitation":"(Jörges, 2021)","plainTextFormattedCitation":"(Jörges, 2021)","previouslyFormattedCitation":"(Jörges, 2021)"},"properties":{"noteIndex":0},"schema":"https://github.com/citation-style-language/schema/raw/master/csl-citation.json"}</w:instrText>
      </w:r>
      <w:r w:rsidR="005C7EE3">
        <w:fldChar w:fldCharType="separate"/>
      </w:r>
      <w:r w:rsidR="005C7EE3" w:rsidRPr="005C7EE3">
        <w:rPr>
          <w:noProof/>
        </w:rPr>
        <w:t>(Jörges, 2021)</w:t>
      </w:r>
      <w:r w:rsidR="005C7EE3">
        <w:fldChar w:fldCharType="end"/>
      </w:r>
      <w:r w:rsidR="005C7EE3">
        <w:t xml:space="preserve"> was a very similar task, we maintain most of the assumptions outlined there. We approximate power only for the environment in which we expect the smallest effect</w:t>
      </w:r>
      <w:r w:rsidR="00D928D0">
        <w:t xml:space="preserve">, that is, </w:t>
      </w:r>
      <w:r w:rsidR="005C7EE3">
        <w:t>the Environment condition.</w:t>
      </w:r>
    </w:p>
    <w:p w14:paraId="4BB12EB3" w14:textId="481B65BD" w:rsidR="00850FB4" w:rsidRDefault="00850FB4" w:rsidP="00123144">
      <w:r>
        <w:t>The code used for the power analysis can be downloaded here (XXXXX, GitHub).</w:t>
      </w:r>
    </w:p>
    <w:p w14:paraId="5E1AD16F" w14:textId="3EF5E988" w:rsidR="00FA1284" w:rsidRDefault="00FA1284" w:rsidP="00123144">
      <w:r>
        <w:rPr>
          <w:noProof/>
        </w:rPr>
        <w:lastRenderedPageBreak/>
        <w:drawing>
          <wp:inline distT="0" distB="0" distL="0" distR="0" wp14:anchorId="4A243AC5" wp14:editId="1671869D">
            <wp:extent cx="24003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inline>
        </w:drawing>
      </w:r>
    </w:p>
    <w:p w14:paraId="76AB5DF9" w14:textId="77777777" w:rsidR="00FA1284" w:rsidRPr="002514F3" w:rsidRDefault="00FA1284" w:rsidP="00123144"/>
    <w:sectPr w:rsidR="00FA1284" w:rsidRPr="00251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366F"/>
    <w:multiLevelType w:val="hybridMultilevel"/>
    <w:tmpl w:val="2160A4E6"/>
    <w:lvl w:ilvl="0" w:tplc="95F8D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CA5D23"/>
    <w:multiLevelType w:val="hybridMultilevel"/>
    <w:tmpl w:val="2160A4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4981029"/>
    <w:multiLevelType w:val="hybridMultilevel"/>
    <w:tmpl w:val="C00C2EAE"/>
    <w:lvl w:ilvl="0" w:tplc="921CD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5428255">
    <w:abstractNumId w:val="0"/>
  </w:num>
  <w:num w:numId="2" w16cid:durableId="1639609383">
    <w:abstractNumId w:val="1"/>
  </w:num>
  <w:num w:numId="3" w16cid:durableId="1982074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88"/>
    <w:rsid w:val="00064486"/>
    <w:rsid w:val="00075697"/>
    <w:rsid w:val="00085EB9"/>
    <w:rsid w:val="00093EEC"/>
    <w:rsid w:val="000C185A"/>
    <w:rsid w:val="000F0005"/>
    <w:rsid w:val="00123144"/>
    <w:rsid w:val="00144154"/>
    <w:rsid w:val="001A731C"/>
    <w:rsid w:val="001B5860"/>
    <w:rsid w:val="001C4701"/>
    <w:rsid w:val="002004E3"/>
    <w:rsid w:val="00217D90"/>
    <w:rsid w:val="002514F3"/>
    <w:rsid w:val="00260138"/>
    <w:rsid w:val="00265713"/>
    <w:rsid w:val="002A27A9"/>
    <w:rsid w:val="002A46C3"/>
    <w:rsid w:val="002D609B"/>
    <w:rsid w:val="002F6C56"/>
    <w:rsid w:val="00306CAD"/>
    <w:rsid w:val="003206B8"/>
    <w:rsid w:val="00357B2A"/>
    <w:rsid w:val="003906E8"/>
    <w:rsid w:val="003A6061"/>
    <w:rsid w:val="003E13E8"/>
    <w:rsid w:val="0040137A"/>
    <w:rsid w:val="004379DF"/>
    <w:rsid w:val="00457128"/>
    <w:rsid w:val="004A3B0B"/>
    <w:rsid w:val="004E5A68"/>
    <w:rsid w:val="004F7BB6"/>
    <w:rsid w:val="005131C7"/>
    <w:rsid w:val="00555CA0"/>
    <w:rsid w:val="005A7347"/>
    <w:rsid w:val="005B2C86"/>
    <w:rsid w:val="005C7EE3"/>
    <w:rsid w:val="005E5A69"/>
    <w:rsid w:val="005E62A0"/>
    <w:rsid w:val="005F2F4A"/>
    <w:rsid w:val="006459BC"/>
    <w:rsid w:val="00661250"/>
    <w:rsid w:val="00663ECA"/>
    <w:rsid w:val="00666345"/>
    <w:rsid w:val="00697A15"/>
    <w:rsid w:val="006B4080"/>
    <w:rsid w:val="006D6A8A"/>
    <w:rsid w:val="007050AA"/>
    <w:rsid w:val="00751559"/>
    <w:rsid w:val="00751E7C"/>
    <w:rsid w:val="00762441"/>
    <w:rsid w:val="007C6153"/>
    <w:rsid w:val="00850FB4"/>
    <w:rsid w:val="0087644E"/>
    <w:rsid w:val="008B5AA7"/>
    <w:rsid w:val="00921121"/>
    <w:rsid w:val="00937E8D"/>
    <w:rsid w:val="00945CB4"/>
    <w:rsid w:val="009748EC"/>
    <w:rsid w:val="009D1DFE"/>
    <w:rsid w:val="009D4DA1"/>
    <w:rsid w:val="00A17634"/>
    <w:rsid w:val="00A629CE"/>
    <w:rsid w:val="00A86F8E"/>
    <w:rsid w:val="00AD01AC"/>
    <w:rsid w:val="00B33BDA"/>
    <w:rsid w:val="00B42F46"/>
    <w:rsid w:val="00BD5188"/>
    <w:rsid w:val="00BE3ED8"/>
    <w:rsid w:val="00C54FDB"/>
    <w:rsid w:val="00C80C3C"/>
    <w:rsid w:val="00CC4505"/>
    <w:rsid w:val="00CF76AF"/>
    <w:rsid w:val="00D005C3"/>
    <w:rsid w:val="00D201A4"/>
    <w:rsid w:val="00D24A75"/>
    <w:rsid w:val="00D2633E"/>
    <w:rsid w:val="00D7003A"/>
    <w:rsid w:val="00D70FE1"/>
    <w:rsid w:val="00D8358E"/>
    <w:rsid w:val="00D928D0"/>
    <w:rsid w:val="00DB02F2"/>
    <w:rsid w:val="00E80321"/>
    <w:rsid w:val="00EA211E"/>
    <w:rsid w:val="00EB272E"/>
    <w:rsid w:val="00F60E41"/>
    <w:rsid w:val="00FA1284"/>
    <w:rsid w:val="00FB3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E3D8"/>
  <w15:chartTrackingRefBased/>
  <w15:docId w15:val="{7F12F392-2193-4F60-A2CE-95DE88CA6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7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7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144"/>
    <w:pPr>
      <w:ind w:left="720"/>
      <w:contextualSpacing/>
    </w:pPr>
  </w:style>
  <w:style w:type="table" w:styleId="TableGrid">
    <w:name w:val="Table Grid"/>
    <w:basedOn w:val="TableNormal"/>
    <w:uiPriority w:val="39"/>
    <w:rsid w:val="00BE3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27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72E"/>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55C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1470</TotalTime>
  <Pages>5</Pages>
  <Words>5153</Words>
  <Characters>29374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50</cp:revision>
  <dcterms:created xsi:type="dcterms:W3CDTF">2022-05-26T05:05:00Z</dcterms:created>
  <dcterms:modified xsi:type="dcterms:W3CDTF">2022-08-04T21:03:00Z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ies>
</file>