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374E791" w:rsidR="00AB0D92" w:rsidRDefault="00AB0D92" w:rsidP="00AB0D92">
      <w:pPr>
        <w:jc w:val="center"/>
        <w:rPr>
          <w:b/>
          <w:bCs/>
        </w:rPr>
      </w:pPr>
      <w:r>
        <w:rPr>
          <w:b/>
          <w:bCs/>
        </w:rPr>
        <w:t>SPEED PERCEPTION DURING</w:t>
      </w:r>
      <w:r w:rsidR="00B003C3">
        <w:rPr>
          <w:b/>
          <w:bCs/>
        </w:rPr>
        <w:t xml:space="preserve"> LATERAL</w:t>
      </w:r>
      <w:r>
        <w:rPr>
          <w:b/>
          <w:bCs/>
        </w:rPr>
        <w:t xml:space="preserve"> SELF-MOTION</w:t>
      </w:r>
    </w:p>
    <w:p w14:paraId="38C67E16" w14:textId="10E5799F" w:rsidR="00AB0D92" w:rsidRPr="00915B4B" w:rsidRDefault="00AB0D92" w:rsidP="00AB0D92">
      <w:pPr>
        <w:jc w:val="center"/>
        <w:rPr>
          <w:i/>
          <w:iCs/>
        </w:rPr>
      </w:pPr>
      <w:r w:rsidRPr="00915B4B">
        <w:rPr>
          <w:i/>
          <w:iCs/>
        </w:rPr>
        <w:t>Björn Jörges, Laurence</w:t>
      </w:r>
      <w:r w:rsidR="00B003C3">
        <w:rPr>
          <w:i/>
          <w:iCs/>
        </w:rPr>
        <w:t xml:space="preserve"> R.</w:t>
      </w:r>
      <w:r w:rsidRPr="00915B4B">
        <w:rPr>
          <w:i/>
          <w:iCs/>
        </w:rPr>
        <w:t xml:space="preserve"> Harris</w:t>
      </w:r>
    </w:p>
    <w:p w14:paraId="2BDE0311" w14:textId="7A6A5BDE" w:rsidR="00915B4B" w:rsidRPr="00915B4B" w:rsidRDefault="00915B4B" w:rsidP="00AB0D92">
      <w:pPr>
        <w:jc w:val="center"/>
      </w:pPr>
      <w:r w:rsidRPr="00915B4B">
        <w:t>Center for Vision Research, York University, Toronto</w:t>
      </w:r>
      <w:r w:rsidR="00B003C3">
        <w:t>, Canada</w:t>
      </w:r>
    </w:p>
    <w:p w14:paraId="542E9571" w14:textId="0C50DDDE" w:rsidR="00AB0D92" w:rsidRDefault="00AB0D92"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1E1AC384" w14:textId="01EC3922" w:rsidR="00741F9E" w:rsidRDefault="003040A3" w:rsidP="00635780">
      <w:pPr>
        <w:jc w:val="both"/>
      </w:pPr>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velocity, and subtract or add </w:t>
      </w:r>
      <w:r w:rsidR="00D124B7">
        <w:t xml:space="preserve">the consequences of this movement </w:t>
      </w:r>
      <w:r>
        <w:t xml:space="preserve">it to the retinal </w:t>
      </w:r>
      <w:r w:rsidR="00D124B7">
        <w:t>motion of</w:t>
      </w:r>
      <w:r>
        <w:t xml:space="preserve"> the target to obtain an accurate estimate of the object velocity.</w:t>
      </w:r>
      <w:r w:rsidR="00C1489C">
        <w:t xml:space="preserve"> More specifically, the </w:t>
      </w:r>
      <w:r w:rsidR="00250579">
        <w:t>Flow Parsing Hypothesis</w:t>
      </w:r>
      <w:r w:rsidR="00C1489C">
        <w:t xml:space="preserve"> </w:t>
      </w:r>
      <w:r w:rsidR="00C1489C">
        <w:fldChar w:fldCharType="begin" w:fldLock="1"/>
      </w:r>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r w:rsidR="00C1489C">
        <w:fldChar w:fldCharType="end"/>
      </w:r>
      <w:r w:rsidR="00250579">
        <w:t xml:space="preserve"> posits that, to estimate object motion from ambiguous retinal </w:t>
      </w:r>
      <w:r w:rsidR="00F15EC4">
        <w:t>input</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self-motion information</w:t>
      </w:r>
      <w:r w:rsidR="008366DA">
        <w:t xml:space="preserve"> from the overall 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0B17CA">
        <w:t xml:space="preserve"> </w:t>
      </w:r>
      <w:r w:rsidR="000A61BD">
        <w:t xml:space="preserve">This process is relatively straightforward for the consequences of angular self-motion, but for linear motion the geometry for such a subtraction process requires also estimates of distance. </w:t>
      </w:r>
      <w:r w:rsidR="00B65EEC">
        <w:t xml:space="preserve">Remarkably, </w:t>
      </w:r>
      <w:r w:rsidR="000B17CA">
        <w:t xml:space="preserve">the literature </w:t>
      </w:r>
      <w:r w:rsidR="00051CDB">
        <w:t xml:space="preserve">is quite sparse </w:t>
      </w:r>
      <w:r w:rsidR="000B17CA">
        <w:t>with regards to lateral motion</w:t>
      </w:r>
      <w:r w:rsidR="00051CDB">
        <w:t xml:space="preserve">: </w:t>
      </w:r>
      <w:r w:rsidR="00051CDB">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051CDB">
        <w:fldChar w:fldCharType="separate"/>
      </w:r>
      <w:r w:rsidR="00051CDB" w:rsidRPr="00051CDB">
        <w:rPr>
          <w:noProof/>
        </w:rPr>
        <w:t>(Dokka, MacNeilage, DeAngelis, &amp; Angelaki,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flow parsing in all observer motion conditions, as well as increases in sensitivity. However,</w:t>
      </w:r>
      <w:r w:rsidR="00B1131C">
        <w:t xml:space="preserve"> to our knowledge, no studies have investigated how lateral self-motion influences perceived lateral object </w:t>
      </w:r>
      <w:r w:rsidR="00DD4039">
        <w:t>speed</w:t>
      </w:r>
      <w:r w:rsidR="000B17CA">
        <w:t>.</w:t>
      </w:r>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enabsatz"/>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enabsatz"/>
        <w:numPr>
          <w:ilvl w:val="0"/>
          <w:numId w:val="5"/>
        </w:numPr>
        <w:jc w:val="both"/>
      </w:pPr>
      <w:r>
        <w:lastRenderedPageBreak/>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enabsatz"/>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enabsatz"/>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9ECB911" w:rsidR="007B14FB" w:rsidRDefault="007B14FB" w:rsidP="0081339A">
      <w:pPr>
        <w:jc w:val="both"/>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have 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276C2287"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BD7E980" w14:textId="23C68DA6" w:rsidR="0081339A" w:rsidRDefault="00D474DF" w:rsidP="0081339A">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r w:rsidR="002A2567">
        <w:t> </w:t>
      </w:r>
      <w:r w:rsidR="00C033C4">
        <w:t>m/s</w:t>
      </w:r>
      <w:r w:rsidR="00CC3AED">
        <w:t xml:space="preserve"> and a standard deviation of 0.08</w:t>
      </w:r>
      <w:r w:rsidR="002A2567">
        <w:t> </w:t>
      </w:r>
      <w:r w:rsidR="00C033C4">
        <w:t>m/s</w:t>
      </w:r>
      <w:r w:rsidR="001D5D5C">
        <w:t>, multiplied by -1 for trials with self-motion to the left</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w:t>
      </w:r>
      <w:r w:rsidR="001A7E55">
        <w:lastRenderedPageBreak/>
        <w:t>after having travelled 2.5 m</w:t>
      </w:r>
      <w:r w:rsidR="006778D9">
        <w:t>.</w:t>
      </w:r>
      <w:r w:rsidR="0005524E">
        <w:t xml:space="preserve"> They </w:t>
      </w:r>
      <w:r w:rsidR="00662DE5">
        <w:t xml:space="preserve">were </w:t>
      </w:r>
      <w:r w:rsidR="0005524E">
        <w:t>spread out vertically over a distance of 1 m</w:t>
      </w:r>
      <w:r w:rsidR="003040A3">
        <w:t xml:space="preserve">, and 10 to 15 </w:t>
      </w:r>
      <w:r w:rsidR="00662DE5">
        <w:t xml:space="preserve">were </w:t>
      </w:r>
      <w:r w:rsidR="003040A3">
        <w:t>visible at any given</w:t>
      </w:r>
      <w:r>
        <w:t xml:space="preserve"> </w:t>
      </w:r>
      <w:r w:rsidR="003040A3">
        <w:t xml:space="preserve">moment.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(Taylor &amp; 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 xml:space="preserve">doubled before the last reversal, </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661830">
        <w:t xml:space="preserve"> Under </w:t>
      </w:r>
    </w:p>
    <w:p w14:paraId="21E420D9" w14:textId="50B8A1D6"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581EB852"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with 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w:t>
            </w:r>
            <w:r>
              <w:t>2</w:t>
            </w:r>
            <w:r>
              <w:t>]</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DEEBC4D"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C4466E">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w:t>
            </w:r>
            <w:r>
              <w:t>3</w:t>
            </w:r>
            <w:r>
              <w:t>]</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w:t>
            </w:r>
            <w:r>
              <w:t>4</w:t>
            </w:r>
            <w:r>
              <w:t>]</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545F3B49"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7"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ins w:id="0" w:author="Laurence Harris" w:date="2020-01-24T20:10:00Z">
        <w:r w:rsidR="00842F42">
          <w:t>t</w:t>
        </w:r>
      </w:ins>
      <w:del w:id="1" w:author="Laurence Harris" w:date="2020-01-24T20:10:00Z">
        <w:r w:rsidR="00C535BE" w:rsidDel="00842F42">
          <w:delText>r</w:delText>
        </w:r>
      </w:del>
      <w:r w:rsidR="00C535BE">
        <w:t xml:space="preserve">ward </w:t>
      </w:r>
      <w:r w:rsidR="00415A8A">
        <w:t>component, bears some similarities to ours, but is different enough to warrant a more conservative estimate for the sake of the power analysis.</w:t>
      </w:r>
      <w:commentRangeStart w:id="2"/>
      <w:commentRangeEnd w:id="2"/>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741F9E">
        <w:instrText>ADDIN CSL_CITATION {"citationItems":[{"id":"ITEM-1","itemData":{"author":[{"dropping-particle":"","family":"McKee","given":"S. P.","non-dropping-particle":"","parse-names":false,"suffix":""}],"container-title":"Vision Research","id":"ITEM-1","issued":{"date-parts":[["1981"]]},"page":"491-500","title":"A local mechanism for differential velocity detection","type":"article-journal","volume":"21"},"uris":["http://www.mendeley.com/documents/?uuid=9f950282-af78-4a14-996b-5f405d2d085f"]}],"mendeley":{"formattedCitation":"(McKee,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t>
      </w:r>
      <w:del w:id="3" w:author="Laurence Harris" w:date="2020-01-24T20:19:00Z">
        <w:r w:rsidR="00211BB7" w:rsidDel="00DD79C8">
          <w:delText xml:space="preserve"> </w:delText>
        </w:r>
      </w:del>
      <w:r w:rsidR="00E67C26">
        <w:t>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ins w:id="4" w:author="Laurence Harris" w:date="2020-01-24T20:13:00Z">
        <w:r w:rsidR="00842F42">
          <w:t>e</w:t>
        </w:r>
      </w:ins>
      <w:del w:id="5" w:author="Laurence Harris" w:date="2020-01-24T20:13:00Z">
        <w:r w:rsidR="008D0397" w:rsidDel="00842F42">
          <w:delText>w</w:delText>
        </w:r>
      </w:del>
      <w:r w:rsidR="006B56CF">
        <w:t xml:space="preserve">w the stimulus strengths from a </w:t>
      </w:r>
      <w:r w:rsidR="003C3F8E">
        <w:t>Cauchy distribution with a location of 1 and a scale of 0.02</w:t>
      </w:r>
      <w:r w:rsidR="006B56CF">
        <w:t xml:space="preserve">. We </w:t>
      </w:r>
      <w:r w:rsidR="006B56CF">
        <w:lastRenderedPageBreak/>
        <w:t>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48566D30" w14:textId="74DAEC90" w:rsidR="006B56CF" w:rsidRDefault="006B56CF" w:rsidP="00D217A0">
      <w:pPr>
        <w:jc w:val="both"/>
      </w:pPr>
      <w:r>
        <w:t>We simulate</w:t>
      </w:r>
      <w:r w:rsidR="000E2D93">
        <w:t>d</w:t>
      </w:r>
      <w:r>
        <w:t xml:space="preserve"> 100 of these data sets, conduct</w:t>
      </w:r>
      <w:r w:rsidR="000E2D93">
        <w:t>ed</w:t>
      </w:r>
      <w:r>
        <w:t xml:space="preserve"> the analyses described above over each and report</w:t>
      </w:r>
      <w:r w:rsidR="000E2D93">
        <w:t>ed</w:t>
      </w:r>
      <w:r>
        <w:t xml:space="preserve"> the percentage where the Test Model </w:t>
      </w:r>
      <w:r w:rsidR="000E2D93">
        <w:t xml:space="preserve">was </w:t>
      </w:r>
      <w:r>
        <w:t>significantly better than the Null Model.</w:t>
      </w:r>
    </w:p>
    <w:p w14:paraId="10C17D24" w14:textId="655B1C54" w:rsidR="00476525" w:rsidRPr="007B14FB" w:rsidRDefault="00476525" w:rsidP="00D217A0">
      <w:pPr>
        <w:jc w:val="both"/>
        <w:rPr>
          <w:b/>
          <w:bCs/>
        </w:rPr>
      </w:pPr>
      <w:r w:rsidRPr="007B14FB">
        <w:rPr>
          <w:b/>
          <w:bCs/>
        </w:rPr>
        <w:t>With the above values, we achieve</w:t>
      </w:r>
      <w:r w:rsidR="000E2D93">
        <w:rPr>
          <w:b/>
          <w:bCs/>
        </w:rPr>
        <w:t>d</w:t>
      </w:r>
      <w:r w:rsidRPr="007B14FB">
        <w:rPr>
          <w:b/>
          <w:bCs/>
        </w:rPr>
        <w:t xml:space="preserve"> a power of </w:t>
      </w:r>
      <w:r w:rsidR="006236B0">
        <w:rPr>
          <w:b/>
          <w:bCs/>
        </w:rPr>
        <w:t>0.</w:t>
      </w:r>
      <w:r w:rsidR="00BE0A7C">
        <w:rPr>
          <w:b/>
          <w:bCs/>
        </w:rPr>
        <w:t>9</w:t>
      </w:r>
      <w:r w:rsidR="00DF1A17">
        <w:rPr>
          <w:b/>
          <w:bCs/>
        </w:rPr>
        <w:t>2</w:t>
      </w:r>
      <w:r w:rsidR="009D53AE">
        <w:rPr>
          <w:b/>
          <w:bCs/>
        </w:rPr>
        <w:t>5</w:t>
      </w:r>
      <w:r w:rsidRPr="007B14FB">
        <w:rPr>
          <w:b/>
          <w:bCs/>
        </w:rPr>
        <w:t xml:space="preserve"> for the differences in </w:t>
      </w:r>
      <w:r w:rsidR="006236B0">
        <w:rPr>
          <w:b/>
          <w:bCs/>
        </w:rPr>
        <w:t>JNDs</w:t>
      </w:r>
      <w:r w:rsidRPr="007B14FB">
        <w:rPr>
          <w:b/>
          <w:bCs/>
        </w:rPr>
        <w:t xml:space="preserve">, and a power of </w:t>
      </w:r>
      <w:r w:rsidR="006236B0">
        <w:rPr>
          <w:b/>
          <w:bCs/>
        </w:rPr>
        <w:t>nearly 1</w:t>
      </w:r>
      <w:r w:rsidR="006236B0" w:rsidRPr="007B14FB">
        <w:rPr>
          <w:b/>
          <w:bCs/>
        </w:rPr>
        <w:t> </w:t>
      </w:r>
      <w:r w:rsidRPr="007B14FB">
        <w:rPr>
          <w:b/>
          <w:bCs/>
        </w:rPr>
        <w:t>for the differences in PSE</w:t>
      </w:r>
      <w:r w:rsidR="006236B0">
        <w:rPr>
          <w:b/>
          <w:bCs/>
        </w:rPr>
        <w:t>s</w:t>
      </w:r>
      <w:r w:rsidR="00076BFB">
        <w:rPr>
          <w:b/>
          <w:bCs/>
        </w:rPr>
        <w:t xml:space="preserve"> for 16 subjects.</w:t>
      </w:r>
    </w:p>
    <w:p w14:paraId="566E2BC0" w14:textId="664FF4D8" w:rsidR="00476525" w:rsidRDefault="00476525" w:rsidP="00D217A0">
      <w:pPr>
        <w:jc w:val="both"/>
      </w:pP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4228A672" w:rsidR="00A76B32" w:rsidRDefault="00D8489E" w:rsidP="00D217A0">
      <w:pPr>
        <w:jc w:val="both"/>
      </w:pPr>
      <w:r>
        <w:t>W</w:t>
      </w:r>
      <w:r w:rsidR="00A76B32">
        <w:t xml:space="preserve">e collected data from </w:t>
      </w:r>
      <w:r w:rsidR="008B3B08">
        <w:t>six</w:t>
      </w:r>
      <w:r w:rsidR="00A76B32">
        <w:t xml:space="preserve"> pilot </w:t>
      </w:r>
      <w:r w:rsidR="00A90434">
        <w:t>participants</w:t>
      </w:r>
      <w:r w:rsidR="00A76B32">
        <w:t>.</w:t>
      </w:r>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significantly better th</w:t>
      </w:r>
      <w:bookmarkStart w:id="6" w:name="_GoBack"/>
      <w:bookmarkEnd w:id="6"/>
      <w:r w:rsidR="00A76B32">
        <w:t xml:space="preserve">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8"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50E4CBAD" w:rsidR="00D8489E" w:rsidRPr="00053752" w:rsidRDefault="00D8489E" w:rsidP="00D217A0">
      <w:pPr>
        <w:jc w:val="both"/>
        <w:rPr>
          <w:b/>
        </w:rPr>
      </w:pPr>
      <w:r w:rsidRPr="00053752">
        <w:rPr>
          <w:b/>
        </w:rPr>
        <w:t>Open Data</w:t>
      </w:r>
    </w:p>
    <w:p w14:paraId="74669724" w14:textId="66D508E7" w:rsidR="00D8489E" w:rsidRDefault="00D8489E" w:rsidP="00D217A0">
      <w:pPr>
        <w:jc w:val="both"/>
      </w:pPr>
      <w:r>
        <w:t xml:space="preserve">We will publish all raw data collected during this project in the GitHub repository </w:t>
      </w:r>
      <w:hyperlink r:id="rId9" w:history="1">
        <w:r>
          <w:rPr>
            <w:rStyle w:val="Hyperlink"/>
          </w:rPr>
          <w:t>https://github.com/b-jorges/Motion-Perception-during-Self-Motion/</w:t>
        </w:r>
      </w:hyperlink>
      <w:r>
        <w:t xml:space="preserve">. </w:t>
      </w:r>
    </w:p>
    <w:p w14:paraId="776CD4A8" w14:textId="77777777" w:rsidR="00D8489E" w:rsidRDefault="00D8489E" w:rsidP="00D217A0">
      <w:pPr>
        <w:jc w:val="both"/>
      </w:pPr>
    </w:p>
    <w:p w14:paraId="32E3901B" w14:textId="276DA402" w:rsidR="00C4466E" w:rsidRPr="006F38B3" w:rsidRDefault="00EB5260" w:rsidP="00D217A0">
      <w:pPr>
        <w:jc w:val="both"/>
        <w:rPr>
          <w:b/>
          <w:bCs/>
          <w:lang w:val="es-ES"/>
          <w:rPrChange w:id="7" w:author="Björn Jörges" w:date="2020-01-25T21:08:00Z">
            <w:rPr>
              <w:b/>
              <w:bCs/>
              <w:lang w:val="de-DE"/>
            </w:rPr>
          </w:rPrChange>
        </w:rPr>
      </w:pPr>
      <w:proofErr w:type="spellStart"/>
      <w:r w:rsidRPr="006F38B3">
        <w:rPr>
          <w:b/>
          <w:bCs/>
          <w:lang w:val="es-ES"/>
          <w:rPrChange w:id="8" w:author="Björn Jörges" w:date="2020-01-25T21:08:00Z">
            <w:rPr>
              <w:b/>
              <w:bCs/>
              <w:lang w:val="de-DE"/>
            </w:rPr>
          </w:rPrChange>
        </w:rPr>
        <w:t>References</w:t>
      </w:r>
      <w:proofErr w:type="spellEnd"/>
    </w:p>
    <w:p w14:paraId="353FB899" w14:textId="40BF2E4C"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6F38B3">
        <w:rPr>
          <w:lang w:val="es-ES"/>
          <w:rPrChange w:id="9" w:author="Björn Jörges" w:date="2020-01-25T21:08:00Z">
            <w:rPr/>
          </w:rPrChange>
        </w:rPr>
        <w:instrText xml:space="preserve">ADDIN Mendeley Bibliography CSL_BIBLIOGRAPHY </w:instrText>
      </w:r>
      <w:r>
        <w:fldChar w:fldCharType="separate"/>
      </w:r>
      <w:r w:rsidRPr="006F38B3">
        <w:rPr>
          <w:rFonts w:ascii="Calibri" w:hAnsi="Calibri" w:cs="Calibri"/>
          <w:noProof/>
          <w:szCs w:val="24"/>
          <w:lang w:val="es-ES"/>
          <w:rPrChange w:id="10" w:author="Björn Jörges" w:date="2020-01-25T21:08:00Z">
            <w:rPr>
              <w:rFonts w:ascii="Calibri" w:hAnsi="Calibri" w:cs="Calibri"/>
              <w:noProof/>
              <w:szCs w:val="24"/>
            </w:rPr>
          </w:rPrChange>
        </w:rPr>
        <w:t xml:space="preserve">Aguado, B., &amp; López-Moliner, J. (2019). </w:t>
      </w:r>
      <w:r w:rsidRPr="00EB5260">
        <w:rPr>
          <w:rFonts w:ascii="Calibri" w:hAnsi="Calibri" w:cs="Calibri"/>
          <w:noProof/>
          <w:szCs w:val="24"/>
        </w:rPr>
        <w:t xml:space="preserve">Perceived speed of motion in depth modulates misjudgements of approaching trajectories consistently with a slow prior.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159</w:t>
      </w:r>
      <w:r w:rsidRPr="00EB5260">
        <w:rPr>
          <w:rFonts w:ascii="Calibri" w:hAnsi="Calibri" w:cs="Calibri"/>
          <w:noProof/>
          <w:szCs w:val="24"/>
        </w:rPr>
        <w:t>, 1–9. https://doi.org/10.1016/j.visres.2019.03.009</w:t>
      </w:r>
    </w:p>
    <w:p w14:paraId="68998A7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18</w:t>
      </w:r>
      <w:r w:rsidRPr="00EB5260">
        <w:rPr>
          <w:rFonts w:ascii="Calibri" w:hAnsi="Calibri" w:cs="Calibri"/>
          <w:noProof/>
          <w:szCs w:val="24"/>
        </w:rPr>
        <w:t>(12), 12. https://doi.org/10.1167/18.12.12</w:t>
      </w:r>
    </w:p>
    <w:p w14:paraId="6560E81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Dokka, K., MacNeilage, P. R., DeAngelis, G. C., &amp; Angelaki, D. E. (2015). Multisensory self-motion compensation during object trajectory judgments. </w:t>
      </w:r>
      <w:r w:rsidRPr="00EB5260">
        <w:rPr>
          <w:rFonts w:ascii="Calibri" w:hAnsi="Calibri" w:cs="Calibri"/>
          <w:i/>
          <w:iCs/>
          <w:noProof/>
          <w:szCs w:val="24"/>
        </w:rPr>
        <w:t>Cerebral Cortex</w:t>
      </w:r>
      <w:r w:rsidRPr="00EB5260">
        <w:rPr>
          <w:rFonts w:ascii="Calibri" w:hAnsi="Calibri" w:cs="Calibri"/>
          <w:noProof/>
          <w:szCs w:val="24"/>
        </w:rPr>
        <w:t xml:space="preserve">, </w:t>
      </w:r>
      <w:r w:rsidRPr="00EB5260">
        <w:rPr>
          <w:rFonts w:ascii="Calibri" w:hAnsi="Calibri" w:cs="Calibri"/>
          <w:i/>
          <w:iCs/>
          <w:noProof/>
          <w:szCs w:val="24"/>
        </w:rPr>
        <w:t>25</w:t>
      </w:r>
      <w:r w:rsidRPr="00EB5260">
        <w:rPr>
          <w:rFonts w:ascii="Calibri" w:hAnsi="Calibri" w:cs="Calibri"/>
          <w:noProof/>
          <w:szCs w:val="24"/>
        </w:rPr>
        <w:t xml:space="preserve">(3), 619–630. </w:t>
      </w:r>
      <w:r w:rsidRPr="00EB5260">
        <w:rPr>
          <w:rFonts w:ascii="Calibri" w:hAnsi="Calibri" w:cs="Calibri"/>
          <w:noProof/>
          <w:szCs w:val="24"/>
        </w:rPr>
        <w:lastRenderedPageBreak/>
        <w:t>https://doi.org/10.1093/cercor/bht247</w:t>
      </w:r>
    </w:p>
    <w:p w14:paraId="51B5A349"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Dupin, L., &amp; Wexler, M. (2013). Motion perception by a moving observer in a threedimensional environment.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13</w:t>
      </w:r>
      <w:r w:rsidRPr="00EB5260">
        <w:rPr>
          <w:rFonts w:ascii="Calibri" w:hAnsi="Calibri" w:cs="Calibri"/>
          <w:noProof/>
          <w:szCs w:val="24"/>
        </w:rPr>
        <w:t>(2), 1–14. https://doi.org/10.1167/13.2.15</w:t>
      </w:r>
    </w:p>
    <w:p w14:paraId="4045FFEF"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Dyde, R. T., &amp; Harris, L. R. (2008). The influence of retinal and extra-retinal motion cues on perceived object motion during self-motion. </w:t>
      </w:r>
      <w:r w:rsidRPr="00EB5260">
        <w:rPr>
          <w:rFonts w:ascii="Calibri" w:hAnsi="Calibri" w:cs="Calibri"/>
          <w:i/>
          <w:iCs/>
          <w:noProof/>
          <w:szCs w:val="24"/>
        </w:rPr>
        <w:t>Journal of Vision</w:t>
      </w:r>
      <w:r w:rsidRPr="00EB5260">
        <w:rPr>
          <w:rFonts w:ascii="Calibri" w:hAnsi="Calibri" w:cs="Calibri"/>
          <w:noProof/>
          <w:szCs w:val="24"/>
        </w:rPr>
        <w:t xml:space="preserve">, </w:t>
      </w:r>
      <w:r w:rsidRPr="00EB5260">
        <w:rPr>
          <w:rFonts w:ascii="Calibri" w:hAnsi="Calibri" w:cs="Calibri"/>
          <w:i/>
          <w:iCs/>
          <w:noProof/>
          <w:szCs w:val="24"/>
        </w:rPr>
        <w:t>8</w:t>
      </w:r>
      <w:r w:rsidRPr="00EB5260">
        <w:rPr>
          <w:rFonts w:ascii="Calibri" w:hAnsi="Calibri" w:cs="Calibri"/>
          <w:noProof/>
          <w:szCs w:val="24"/>
        </w:rPr>
        <w:t>(14), 1–10. https://doi.org/10.1167/8.14.5</w:t>
      </w:r>
    </w:p>
    <w:p w14:paraId="58785A8D"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Fetsch, C. R., Deangelis, G. C., &amp; Angelaki, D. E. (2010). Visual-vestibular cue integration for heading perception: Applications of optimal cue integration theory. </w:t>
      </w:r>
      <w:r w:rsidRPr="00EB5260">
        <w:rPr>
          <w:rFonts w:ascii="Calibri" w:hAnsi="Calibri" w:cs="Calibri"/>
          <w:i/>
          <w:iCs/>
          <w:noProof/>
          <w:szCs w:val="24"/>
        </w:rPr>
        <w:t>European Journal of Neuroscience</w:t>
      </w:r>
      <w:r w:rsidRPr="00EB5260">
        <w:rPr>
          <w:rFonts w:ascii="Calibri" w:hAnsi="Calibri" w:cs="Calibri"/>
          <w:noProof/>
          <w:szCs w:val="24"/>
        </w:rPr>
        <w:t xml:space="preserve">, </w:t>
      </w:r>
      <w:r w:rsidRPr="00EB5260">
        <w:rPr>
          <w:rFonts w:ascii="Calibri" w:hAnsi="Calibri" w:cs="Calibri"/>
          <w:i/>
          <w:iCs/>
          <w:noProof/>
          <w:szCs w:val="24"/>
        </w:rPr>
        <w:t>31</w:t>
      </w:r>
      <w:r w:rsidRPr="00EB5260">
        <w:rPr>
          <w:rFonts w:ascii="Calibri" w:hAnsi="Calibri" w:cs="Calibri"/>
          <w:noProof/>
          <w:szCs w:val="24"/>
        </w:rPr>
        <w:t>(10), 1721–1729. https://doi.org/10.1111/j.1460-9568.2010.07207.x</w:t>
      </w:r>
    </w:p>
    <w:p w14:paraId="1C36AE3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Gray, R., MacUga, K., &amp; Regan, D. (2004). Long range interactions between object-motion and self-motion in the perception of movement in depth.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44</w:t>
      </w:r>
      <w:r w:rsidRPr="00EB5260">
        <w:rPr>
          <w:rFonts w:ascii="Calibri" w:hAnsi="Calibri" w:cs="Calibri"/>
          <w:noProof/>
          <w:szCs w:val="24"/>
        </w:rPr>
        <w:t>(2), 179–195. https://doi.org/10.1016/j.visres.2003.09.001</w:t>
      </w:r>
    </w:p>
    <w:p w14:paraId="78C52E8B"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Henrich, J., Heine, S. J., &amp; Norenzayan, A. (2010). The weirdest people in the world? </w:t>
      </w:r>
      <w:r w:rsidRPr="00EB5260">
        <w:rPr>
          <w:rFonts w:ascii="Calibri" w:hAnsi="Calibri" w:cs="Calibri"/>
          <w:i/>
          <w:iCs/>
          <w:noProof/>
          <w:szCs w:val="24"/>
        </w:rPr>
        <w:t>The Behavioral and Brain Sciences</w:t>
      </w:r>
      <w:r w:rsidRPr="00EB5260">
        <w:rPr>
          <w:rFonts w:ascii="Calibri" w:hAnsi="Calibri" w:cs="Calibri"/>
          <w:noProof/>
          <w:szCs w:val="24"/>
        </w:rPr>
        <w:t xml:space="preserve">, </w:t>
      </w:r>
      <w:r w:rsidRPr="00EB5260">
        <w:rPr>
          <w:rFonts w:ascii="Calibri" w:hAnsi="Calibri" w:cs="Calibri"/>
          <w:i/>
          <w:iCs/>
          <w:noProof/>
          <w:szCs w:val="24"/>
        </w:rPr>
        <w:t>33</w:t>
      </w:r>
      <w:r w:rsidRPr="00EB5260">
        <w:rPr>
          <w:rFonts w:ascii="Calibri" w:hAnsi="Calibri" w:cs="Calibri"/>
          <w:noProof/>
          <w:szCs w:val="24"/>
        </w:rPr>
        <w:t>(2–3), 61–83; discussion 83-135. https://doi.org/10.1017/S0140525X0999152X</w:t>
      </w:r>
    </w:p>
    <w:p w14:paraId="3F9772C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Jörges, B., &amp; López-Moliner, J. (2019). Earth-Gravity Congruent Motion Facilitates Ocular Control for Pursuit of Parabolic Trajectories. </w:t>
      </w:r>
      <w:r w:rsidRPr="00EB5260">
        <w:rPr>
          <w:rFonts w:ascii="Calibri" w:hAnsi="Calibri" w:cs="Calibri"/>
          <w:i/>
          <w:iCs/>
          <w:noProof/>
          <w:szCs w:val="24"/>
        </w:rPr>
        <w:t>Scientific Reports</w:t>
      </w:r>
      <w:r w:rsidRPr="00EB5260">
        <w:rPr>
          <w:rFonts w:ascii="Calibri" w:hAnsi="Calibri" w:cs="Calibri"/>
          <w:noProof/>
          <w:szCs w:val="24"/>
        </w:rPr>
        <w:t xml:space="preserve">, </w:t>
      </w:r>
      <w:r w:rsidRPr="00EB5260">
        <w:rPr>
          <w:rFonts w:ascii="Calibri" w:hAnsi="Calibri" w:cs="Calibri"/>
          <w:i/>
          <w:iCs/>
          <w:noProof/>
          <w:szCs w:val="24"/>
        </w:rPr>
        <w:t>9</w:t>
      </w:r>
      <w:r w:rsidRPr="00EB5260">
        <w:rPr>
          <w:rFonts w:ascii="Calibri" w:hAnsi="Calibri" w:cs="Calibri"/>
          <w:noProof/>
          <w:szCs w:val="24"/>
        </w:rPr>
        <w:t>(1), 1–13. https://doi.org/10.1038/s41598-019-50512-6</w:t>
      </w:r>
    </w:p>
    <w:p w14:paraId="301BCFF5"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López-Moliner, J., Brenner, E., Louw, S., &amp; Smeets, J. B. J. (2010). Catching a gently thrown ball. </w:t>
      </w:r>
      <w:r w:rsidRPr="00EB5260">
        <w:rPr>
          <w:rFonts w:ascii="Calibri" w:hAnsi="Calibri" w:cs="Calibri"/>
          <w:i/>
          <w:iCs/>
          <w:noProof/>
          <w:szCs w:val="24"/>
        </w:rPr>
        <w:t>Experimental Brain Research</w:t>
      </w:r>
      <w:r w:rsidRPr="00EB5260">
        <w:rPr>
          <w:rFonts w:ascii="Calibri" w:hAnsi="Calibri" w:cs="Calibri"/>
          <w:noProof/>
          <w:szCs w:val="24"/>
        </w:rPr>
        <w:t xml:space="preserve">, </w:t>
      </w:r>
      <w:r w:rsidRPr="00EB5260">
        <w:rPr>
          <w:rFonts w:ascii="Calibri" w:hAnsi="Calibri" w:cs="Calibri"/>
          <w:i/>
          <w:iCs/>
          <w:noProof/>
          <w:szCs w:val="24"/>
        </w:rPr>
        <w:t>206</w:t>
      </w:r>
      <w:r w:rsidRPr="00EB5260">
        <w:rPr>
          <w:rFonts w:ascii="Calibri" w:hAnsi="Calibri" w:cs="Calibri"/>
          <w:noProof/>
          <w:szCs w:val="24"/>
        </w:rPr>
        <w:t>(4), 409–417. https://doi.org/10.1007/s00221-010-2421-1</w:t>
      </w:r>
    </w:p>
    <w:p w14:paraId="3605A74C"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McKee, S. P. (1981). A local mechanism for differential velocity detection.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21</w:t>
      </w:r>
      <w:r w:rsidRPr="00EB5260">
        <w:rPr>
          <w:rFonts w:ascii="Calibri" w:hAnsi="Calibri" w:cs="Calibri"/>
          <w:noProof/>
          <w:szCs w:val="24"/>
        </w:rPr>
        <w:t>, 491–500.</w:t>
      </w:r>
    </w:p>
    <w:p w14:paraId="11EFD86B" w14:textId="77777777" w:rsidR="00EB5260" w:rsidRPr="006F38B3" w:rsidRDefault="00EB5260" w:rsidP="00EB5260">
      <w:pPr>
        <w:widowControl w:val="0"/>
        <w:autoSpaceDE w:val="0"/>
        <w:autoSpaceDN w:val="0"/>
        <w:adjustRightInd w:val="0"/>
        <w:spacing w:line="240" w:lineRule="auto"/>
        <w:ind w:left="480" w:hanging="480"/>
        <w:rPr>
          <w:rFonts w:ascii="Calibri" w:hAnsi="Calibri" w:cs="Calibri"/>
          <w:noProof/>
          <w:szCs w:val="24"/>
          <w:lang w:val="de-DE"/>
          <w:rPrChange w:id="11" w:author="Björn Jörges" w:date="2020-01-25T21:08:00Z">
            <w:rPr>
              <w:rFonts w:ascii="Calibri" w:hAnsi="Calibri" w:cs="Calibri"/>
              <w:noProof/>
              <w:szCs w:val="24"/>
            </w:rPr>
          </w:rPrChange>
        </w:rPr>
      </w:pPr>
      <w:r w:rsidRPr="00EB5260">
        <w:rPr>
          <w:rFonts w:ascii="Calibri" w:hAnsi="Calibri" w:cs="Calibri"/>
          <w:noProof/>
          <w:szCs w:val="24"/>
        </w:rPr>
        <w:t xml:space="preserve">Moscatelli, A., &amp; Lacquaniti, F. (2012). </w:t>
      </w:r>
      <w:r w:rsidRPr="00EB5260">
        <w:rPr>
          <w:rFonts w:ascii="Calibri" w:hAnsi="Calibri" w:cs="Calibri"/>
          <w:i/>
          <w:iCs/>
          <w:noProof/>
          <w:szCs w:val="24"/>
        </w:rPr>
        <w:t>Modeling psychophysical data at the population-level : The generalized linear mixed model</w:t>
      </w:r>
      <w:r w:rsidRPr="00EB5260">
        <w:rPr>
          <w:rFonts w:ascii="Calibri" w:hAnsi="Calibri" w:cs="Calibri"/>
          <w:noProof/>
          <w:szCs w:val="24"/>
        </w:rPr>
        <w:t xml:space="preserve">. </w:t>
      </w:r>
      <w:r w:rsidRPr="006F38B3">
        <w:rPr>
          <w:rFonts w:ascii="Calibri" w:hAnsi="Calibri" w:cs="Calibri"/>
          <w:i/>
          <w:iCs/>
          <w:noProof/>
          <w:szCs w:val="24"/>
          <w:lang w:val="de-DE"/>
          <w:rPrChange w:id="12" w:author="Björn Jörges" w:date="2020-01-25T21:08:00Z">
            <w:rPr>
              <w:rFonts w:ascii="Calibri" w:hAnsi="Calibri" w:cs="Calibri"/>
              <w:i/>
              <w:iCs/>
              <w:noProof/>
              <w:szCs w:val="24"/>
            </w:rPr>
          </w:rPrChange>
        </w:rPr>
        <w:t>12</w:t>
      </w:r>
      <w:r w:rsidRPr="006F38B3">
        <w:rPr>
          <w:rFonts w:ascii="Calibri" w:hAnsi="Calibri" w:cs="Calibri"/>
          <w:noProof/>
          <w:szCs w:val="24"/>
          <w:lang w:val="de-DE"/>
          <w:rPrChange w:id="13" w:author="Björn Jörges" w:date="2020-01-25T21:08:00Z">
            <w:rPr>
              <w:rFonts w:ascii="Calibri" w:hAnsi="Calibri" w:cs="Calibri"/>
              <w:noProof/>
              <w:szCs w:val="24"/>
            </w:rPr>
          </w:rPrChange>
        </w:rPr>
        <w:t>(2012), 1–17. https://doi.org/10.1167/12.11.26.Introduction</w:t>
      </w:r>
    </w:p>
    <w:p w14:paraId="394E3120"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6F38B3">
        <w:rPr>
          <w:rFonts w:ascii="Calibri" w:hAnsi="Calibri" w:cs="Calibri"/>
          <w:noProof/>
          <w:szCs w:val="24"/>
          <w:lang w:val="de-DE"/>
          <w:rPrChange w:id="14" w:author="Björn Jörges" w:date="2020-01-25T21:08:00Z">
            <w:rPr>
              <w:rFonts w:ascii="Calibri" w:hAnsi="Calibri" w:cs="Calibri"/>
              <w:noProof/>
              <w:szCs w:val="24"/>
            </w:rPr>
          </w:rPrChange>
        </w:rPr>
        <w:t xml:space="preserve">Probst, T., Loose, R., Niedeggen, M., &amp; Wist, E. R. (1995). </w:t>
      </w:r>
      <w:r w:rsidRPr="00EB5260">
        <w:rPr>
          <w:rFonts w:ascii="Calibri" w:hAnsi="Calibri" w:cs="Calibri"/>
          <w:noProof/>
          <w:szCs w:val="24"/>
        </w:rPr>
        <w:t xml:space="preserve">Processing of visual motion direction in the fronto-parallel plane in the stationary or moving observer. </w:t>
      </w:r>
      <w:r w:rsidRPr="00EB5260">
        <w:rPr>
          <w:rFonts w:ascii="Calibri" w:hAnsi="Calibri" w:cs="Calibri"/>
          <w:i/>
          <w:iCs/>
          <w:noProof/>
          <w:szCs w:val="24"/>
        </w:rPr>
        <w:t>Behavioural Brain Research</w:t>
      </w:r>
      <w:r w:rsidRPr="00EB5260">
        <w:rPr>
          <w:rFonts w:ascii="Calibri" w:hAnsi="Calibri" w:cs="Calibri"/>
          <w:noProof/>
          <w:szCs w:val="24"/>
        </w:rPr>
        <w:t xml:space="preserve">, </w:t>
      </w:r>
      <w:r w:rsidRPr="00EB5260">
        <w:rPr>
          <w:rFonts w:ascii="Calibri" w:hAnsi="Calibri" w:cs="Calibri"/>
          <w:i/>
          <w:iCs/>
          <w:noProof/>
          <w:szCs w:val="24"/>
        </w:rPr>
        <w:t>70</w:t>
      </w:r>
      <w:r w:rsidRPr="00EB5260">
        <w:rPr>
          <w:rFonts w:ascii="Calibri" w:hAnsi="Calibri" w:cs="Calibri"/>
          <w:noProof/>
          <w:szCs w:val="24"/>
        </w:rPr>
        <w:t>(2), 133–144. https://doi.org/10.1016/0166-4328(95)80003-4</w:t>
      </w:r>
    </w:p>
    <w:p w14:paraId="07BF7192"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EB5260">
        <w:rPr>
          <w:rFonts w:ascii="Calibri" w:hAnsi="Calibri" w:cs="Calibri"/>
          <w:noProof/>
          <w:szCs w:val="24"/>
        </w:rPr>
        <w:t xml:space="preserve">Taylor, M. M., &amp; Creelman, C. D. (1967). PEST: Efficient Estimates on Probability Functions. </w:t>
      </w:r>
      <w:r w:rsidRPr="00EB5260">
        <w:rPr>
          <w:rFonts w:ascii="Calibri" w:hAnsi="Calibri" w:cs="Calibri"/>
          <w:i/>
          <w:iCs/>
          <w:noProof/>
          <w:szCs w:val="24"/>
        </w:rPr>
        <w:t>The Journal of the Acoustical Society of America</w:t>
      </w:r>
      <w:r w:rsidRPr="00EB5260">
        <w:rPr>
          <w:rFonts w:ascii="Calibri" w:hAnsi="Calibri" w:cs="Calibri"/>
          <w:noProof/>
          <w:szCs w:val="24"/>
        </w:rPr>
        <w:t xml:space="preserve">, </w:t>
      </w:r>
      <w:r w:rsidRPr="00EB5260">
        <w:rPr>
          <w:rFonts w:ascii="Calibri" w:hAnsi="Calibri" w:cs="Calibri"/>
          <w:i/>
          <w:iCs/>
          <w:noProof/>
          <w:szCs w:val="24"/>
        </w:rPr>
        <w:t>41</w:t>
      </w:r>
      <w:r w:rsidRPr="00EB5260">
        <w:rPr>
          <w:rFonts w:ascii="Calibri" w:hAnsi="Calibri" w:cs="Calibri"/>
          <w:noProof/>
          <w:szCs w:val="24"/>
        </w:rPr>
        <w:t>(4A), 782–787. https://doi.org/10.1121/1.1910407</w:t>
      </w:r>
    </w:p>
    <w:p w14:paraId="56749274"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szCs w:val="24"/>
        </w:rPr>
      </w:pPr>
      <w:r w:rsidRPr="006F38B3">
        <w:rPr>
          <w:rFonts w:ascii="Calibri" w:hAnsi="Calibri" w:cs="Calibri"/>
          <w:noProof/>
          <w:szCs w:val="24"/>
          <w:lang w:val="de-DE"/>
          <w:rPrChange w:id="15" w:author="Björn Jörges" w:date="2020-01-25T21:08:00Z">
            <w:rPr>
              <w:rFonts w:ascii="Calibri" w:hAnsi="Calibri" w:cs="Calibri"/>
              <w:noProof/>
              <w:szCs w:val="24"/>
            </w:rPr>
          </w:rPrChange>
        </w:rPr>
        <w:t xml:space="preserve">Warren, P. A., &amp; Rushton, S. K. (2008). </w:t>
      </w:r>
      <w:r w:rsidRPr="00EB5260">
        <w:rPr>
          <w:rFonts w:ascii="Calibri" w:hAnsi="Calibri" w:cs="Calibri"/>
          <w:noProof/>
          <w:szCs w:val="24"/>
        </w:rPr>
        <w:t xml:space="preserve">Evidence for flow-parsing in radial flow displays.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48</w:t>
      </w:r>
      <w:r w:rsidRPr="00EB5260">
        <w:rPr>
          <w:rFonts w:ascii="Calibri" w:hAnsi="Calibri" w:cs="Calibri"/>
          <w:noProof/>
          <w:szCs w:val="24"/>
        </w:rPr>
        <w:t>(5), 655–663. https://doi.org/10.1016/j.visres.2007.10.023</w:t>
      </w:r>
    </w:p>
    <w:p w14:paraId="5123509E" w14:textId="77777777" w:rsidR="00EB5260" w:rsidRPr="00EB5260" w:rsidRDefault="00EB5260" w:rsidP="00EB5260">
      <w:pPr>
        <w:widowControl w:val="0"/>
        <w:autoSpaceDE w:val="0"/>
        <w:autoSpaceDN w:val="0"/>
        <w:adjustRightInd w:val="0"/>
        <w:spacing w:line="240" w:lineRule="auto"/>
        <w:ind w:left="480" w:hanging="480"/>
        <w:rPr>
          <w:rFonts w:ascii="Calibri" w:hAnsi="Calibri" w:cs="Calibri"/>
          <w:noProof/>
        </w:rPr>
      </w:pPr>
      <w:r w:rsidRPr="00EB5260">
        <w:rPr>
          <w:rFonts w:ascii="Calibri" w:hAnsi="Calibri" w:cs="Calibri"/>
          <w:noProof/>
          <w:szCs w:val="24"/>
        </w:rPr>
        <w:t xml:space="preserve">Warren, P. A., &amp; Rushton, S. K. (2009). Perception of scene-relative object movement: Optic flow parsing and the contribution of monocular depth cues. </w:t>
      </w:r>
      <w:r w:rsidRPr="00EB5260">
        <w:rPr>
          <w:rFonts w:ascii="Calibri" w:hAnsi="Calibri" w:cs="Calibri"/>
          <w:i/>
          <w:iCs/>
          <w:noProof/>
          <w:szCs w:val="24"/>
        </w:rPr>
        <w:t>Vision Research</w:t>
      </w:r>
      <w:r w:rsidRPr="00EB5260">
        <w:rPr>
          <w:rFonts w:ascii="Calibri" w:hAnsi="Calibri" w:cs="Calibri"/>
          <w:noProof/>
          <w:szCs w:val="24"/>
        </w:rPr>
        <w:t xml:space="preserve">, </w:t>
      </w:r>
      <w:r w:rsidRPr="00EB5260">
        <w:rPr>
          <w:rFonts w:ascii="Calibri" w:hAnsi="Calibri" w:cs="Calibri"/>
          <w:i/>
          <w:iCs/>
          <w:noProof/>
          <w:szCs w:val="24"/>
        </w:rPr>
        <w:t>49</w:t>
      </w:r>
      <w:r w:rsidRPr="00EB5260">
        <w:rPr>
          <w:rFonts w:ascii="Calibri" w:hAnsi="Calibri" w:cs="Calibri"/>
          <w:noProof/>
          <w:szCs w:val="24"/>
        </w:rPr>
        <w:t>(11), 1406–1419. https://doi.org/10.1016/j.visres.2009.01.016</w:t>
      </w:r>
    </w:p>
    <w:p w14:paraId="467FE5C3" w14:textId="5D848A6C" w:rsidR="00C4466E" w:rsidRPr="00A76B32" w:rsidRDefault="00EB5260" w:rsidP="00053752">
      <w:pPr>
        <w:widowControl w:val="0"/>
        <w:autoSpaceDE w:val="0"/>
        <w:autoSpaceDN w:val="0"/>
        <w:adjustRightInd w:val="0"/>
        <w:spacing w:line="240" w:lineRule="auto"/>
        <w:ind w:left="480" w:hanging="480"/>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66B5"/>
    <w:rsid w:val="00076BFB"/>
    <w:rsid w:val="000979FA"/>
    <w:rsid w:val="000A61BD"/>
    <w:rsid w:val="000B17CA"/>
    <w:rsid w:val="000C0C29"/>
    <w:rsid w:val="000D41B4"/>
    <w:rsid w:val="000D42C2"/>
    <w:rsid w:val="000E2D93"/>
    <w:rsid w:val="00133FDB"/>
    <w:rsid w:val="0014099D"/>
    <w:rsid w:val="00147458"/>
    <w:rsid w:val="0015637E"/>
    <w:rsid w:val="0016481F"/>
    <w:rsid w:val="00176751"/>
    <w:rsid w:val="001A7E55"/>
    <w:rsid w:val="001D5D5C"/>
    <w:rsid w:val="001D6219"/>
    <w:rsid w:val="001F500A"/>
    <w:rsid w:val="00211BB7"/>
    <w:rsid w:val="0021621B"/>
    <w:rsid w:val="0023733E"/>
    <w:rsid w:val="00250579"/>
    <w:rsid w:val="002A2567"/>
    <w:rsid w:val="002A738E"/>
    <w:rsid w:val="002B28A0"/>
    <w:rsid w:val="002B3D22"/>
    <w:rsid w:val="002F15FB"/>
    <w:rsid w:val="002F45C1"/>
    <w:rsid w:val="00302E00"/>
    <w:rsid w:val="003040A3"/>
    <w:rsid w:val="00317E09"/>
    <w:rsid w:val="003207EE"/>
    <w:rsid w:val="003704BA"/>
    <w:rsid w:val="00373890"/>
    <w:rsid w:val="003810CA"/>
    <w:rsid w:val="003C3190"/>
    <w:rsid w:val="003C3F8E"/>
    <w:rsid w:val="003D27B2"/>
    <w:rsid w:val="003F05A4"/>
    <w:rsid w:val="003F215D"/>
    <w:rsid w:val="003F3BCC"/>
    <w:rsid w:val="003F7DFE"/>
    <w:rsid w:val="00406CB1"/>
    <w:rsid w:val="00413CAE"/>
    <w:rsid w:val="00415A8A"/>
    <w:rsid w:val="0045395D"/>
    <w:rsid w:val="00476525"/>
    <w:rsid w:val="004B278F"/>
    <w:rsid w:val="00533EC6"/>
    <w:rsid w:val="00544D46"/>
    <w:rsid w:val="00550794"/>
    <w:rsid w:val="0055304A"/>
    <w:rsid w:val="005600F5"/>
    <w:rsid w:val="00564A69"/>
    <w:rsid w:val="0057257A"/>
    <w:rsid w:val="0057337C"/>
    <w:rsid w:val="00587DCC"/>
    <w:rsid w:val="005A7FF6"/>
    <w:rsid w:val="005D74DC"/>
    <w:rsid w:val="006053D5"/>
    <w:rsid w:val="006236B0"/>
    <w:rsid w:val="00626889"/>
    <w:rsid w:val="00635780"/>
    <w:rsid w:val="00654A8F"/>
    <w:rsid w:val="00661830"/>
    <w:rsid w:val="00662DE5"/>
    <w:rsid w:val="006778D9"/>
    <w:rsid w:val="006A2426"/>
    <w:rsid w:val="006B56CF"/>
    <w:rsid w:val="006F0DE6"/>
    <w:rsid w:val="006F38B3"/>
    <w:rsid w:val="006F607B"/>
    <w:rsid w:val="00702967"/>
    <w:rsid w:val="00711C4D"/>
    <w:rsid w:val="0073656F"/>
    <w:rsid w:val="00740F7C"/>
    <w:rsid w:val="00741F9E"/>
    <w:rsid w:val="007478C9"/>
    <w:rsid w:val="00760B08"/>
    <w:rsid w:val="007640BB"/>
    <w:rsid w:val="007A1A84"/>
    <w:rsid w:val="007B14FB"/>
    <w:rsid w:val="007C7E8B"/>
    <w:rsid w:val="007D6820"/>
    <w:rsid w:val="0081339A"/>
    <w:rsid w:val="008366DA"/>
    <w:rsid w:val="00842F42"/>
    <w:rsid w:val="008458E2"/>
    <w:rsid w:val="00845E3F"/>
    <w:rsid w:val="00856A69"/>
    <w:rsid w:val="008601AF"/>
    <w:rsid w:val="00895417"/>
    <w:rsid w:val="008A361B"/>
    <w:rsid w:val="008B3B08"/>
    <w:rsid w:val="008C00D3"/>
    <w:rsid w:val="008D0397"/>
    <w:rsid w:val="008D0B9F"/>
    <w:rsid w:val="008D4B1D"/>
    <w:rsid w:val="008F3F2F"/>
    <w:rsid w:val="008F7AE6"/>
    <w:rsid w:val="00900F96"/>
    <w:rsid w:val="00901ABF"/>
    <w:rsid w:val="009028AC"/>
    <w:rsid w:val="00911FAF"/>
    <w:rsid w:val="00914F9D"/>
    <w:rsid w:val="00915B4B"/>
    <w:rsid w:val="0092113C"/>
    <w:rsid w:val="00927B55"/>
    <w:rsid w:val="00951A0D"/>
    <w:rsid w:val="00994115"/>
    <w:rsid w:val="009A607E"/>
    <w:rsid w:val="009B140C"/>
    <w:rsid w:val="009B3406"/>
    <w:rsid w:val="009C6643"/>
    <w:rsid w:val="009C77F0"/>
    <w:rsid w:val="009D1039"/>
    <w:rsid w:val="009D53AE"/>
    <w:rsid w:val="009E76C6"/>
    <w:rsid w:val="00A355D6"/>
    <w:rsid w:val="00A4219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C1E33"/>
    <w:rsid w:val="00BC457D"/>
    <w:rsid w:val="00BD2C36"/>
    <w:rsid w:val="00BE0A7C"/>
    <w:rsid w:val="00BE0D85"/>
    <w:rsid w:val="00BE1D41"/>
    <w:rsid w:val="00C033C4"/>
    <w:rsid w:val="00C1489C"/>
    <w:rsid w:val="00C3289B"/>
    <w:rsid w:val="00C352B6"/>
    <w:rsid w:val="00C4466E"/>
    <w:rsid w:val="00C535BE"/>
    <w:rsid w:val="00C82E07"/>
    <w:rsid w:val="00CB3268"/>
    <w:rsid w:val="00CC3AED"/>
    <w:rsid w:val="00CE722E"/>
    <w:rsid w:val="00CF7F36"/>
    <w:rsid w:val="00D01520"/>
    <w:rsid w:val="00D05CE9"/>
    <w:rsid w:val="00D124B7"/>
    <w:rsid w:val="00D12D94"/>
    <w:rsid w:val="00D217A0"/>
    <w:rsid w:val="00D25154"/>
    <w:rsid w:val="00D474DF"/>
    <w:rsid w:val="00D50386"/>
    <w:rsid w:val="00D60DA2"/>
    <w:rsid w:val="00D633AC"/>
    <w:rsid w:val="00D63464"/>
    <w:rsid w:val="00D8489E"/>
    <w:rsid w:val="00D91C69"/>
    <w:rsid w:val="00DB2508"/>
    <w:rsid w:val="00DD4039"/>
    <w:rsid w:val="00DD79C8"/>
    <w:rsid w:val="00DF09AE"/>
    <w:rsid w:val="00DF1A17"/>
    <w:rsid w:val="00E42200"/>
    <w:rsid w:val="00E473B5"/>
    <w:rsid w:val="00E67C26"/>
    <w:rsid w:val="00E70A45"/>
    <w:rsid w:val="00E90B30"/>
    <w:rsid w:val="00E93B96"/>
    <w:rsid w:val="00EA20CB"/>
    <w:rsid w:val="00EB0B6A"/>
    <w:rsid w:val="00EB5260"/>
    <w:rsid w:val="00EC252D"/>
    <w:rsid w:val="00EC3969"/>
    <w:rsid w:val="00ED3263"/>
    <w:rsid w:val="00ED3DA0"/>
    <w:rsid w:val="00ED50A6"/>
    <w:rsid w:val="00ED60CA"/>
    <w:rsid w:val="00F05C8A"/>
    <w:rsid w:val="00F15EC4"/>
    <w:rsid w:val="00F23D52"/>
    <w:rsid w:val="00F3506F"/>
    <w:rsid w:val="00F55513"/>
    <w:rsid w:val="00F615E8"/>
    <w:rsid w:val="00F7048D"/>
    <w:rsid w:val="00F93987"/>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780"/>
    <w:pPr>
      <w:ind w:left="720"/>
      <w:contextualSpacing/>
    </w:pPr>
  </w:style>
  <w:style w:type="character" w:styleId="Kommentarzeichen">
    <w:name w:val="annotation reference"/>
    <w:basedOn w:val="Absatz-Standardschriftart"/>
    <w:uiPriority w:val="99"/>
    <w:semiHidden/>
    <w:unhideWhenUsed/>
    <w:rsid w:val="00ED3DA0"/>
    <w:rPr>
      <w:sz w:val="16"/>
      <w:szCs w:val="16"/>
    </w:rPr>
  </w:style>
  <w:style w:type="paragraph" w:styleId="Kommentartext">
    <w:name w:val="annotation text"/>
    <w:basedOn w:val="Standard"/>
    <w:link w:val="KommentartextZchn"/>
    <w:uiPriority w:val="99"/>
    <w:semiHidden/>
    <w:unhideWhenUsed/>
    <w:rsid w:val="00ED3D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3DA0"/>
    <w:rPr>
      <w:sz w:val="20"/>
      <w:szCs w:val="20"/>
    </w:rPr>
  </w:style>
  <w:style w:type="paragraph" w:styleId="Kommentarthema">
    <w:name w:val="annotation subject"/>
    <w:basedOn w:val="Kommentartext"/>
    <w:next w:val="Kommentartext"/>
    <w:link w:val="KommentarthemaZchn"/>
    <w:uiPriority w:val="99"/>
    <w:semiHidden/>
    <w:unhideWhenUsed/>
    <w:rsid w:val="00ED3DA0"/>
    <w:rPr>
      <w:b/>
      <w:bCs/>
    </w:rPr>
  </w:style>
  <w:style w:type="character" w:customStyle="1" w:styleId="KommentarthemaZchn">
    <w:name w:val="Kommentarthema Zchn"/>
    <w:basedOn w:val="KommentartextZchn"/>
    <w:link w:val="Kommentarthema"/>
    <w:uiPriority w:val="99"/>
    <w:semiHidden/>
    <w:rsid w:val="00ED3DA0"/>
    <w:rPr>
      <w:b/>
      <w:bCs/>
      <w:sz w:val="20"/>
      <w:szCs w:val="20"/>
    </w:rPr>
  </w:style>
  <w:style w:type="paragraph" w:styleId="Sprechblasentext">
    <w:name w:val="Balloon Text"/>
    <w:basedOn w:val="Standard"/>
    <w:link w:val="SprechblasentextZchn"/>
    <w:uiPriority w:val="99"/>
    <w:semiHidden/>
    <w:unhideWhenUsed/>
    <w:rsid w:val="00ED3DA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D3DA0"/>
    <w:rPr>
      <w:rFonts w:ascii="Segoe UI" w:hAnsi="Segoe UI" w:cs="Segoe UI"/>
      <w:sz w:val="18"/>
      <w:szCs w:val="18"/>
    </w:rPr>
  </w:style>
  <w:style w:type="character" w:styleId="Platzhaltertext">
    <w:name w:val="Placeholder Text"/>
    <w:basedOn w:val="Absatz-Standardschriftart"/>
    <w:uiPriority w:val="99"/>
    <w:semiHidden/>
    <w:rsid w:val="000D42C2"/>
    <w:rPr>
      <w:color w:val="808080"/>
    </w:rPr>
  </w:style>
  <w:style w:type="character" w:styleId="Hyperlink">
    <w:name w:val="Hyperlink"/>
    <w:basedOn w:val="Absatz-Standardschriftart"/>
    <w:uiPriority w:val="99"/>
    <w:unhideWhenUsed/>
    <w:rsid w:val="00B821DA"/>
    <w:rPr>
      <w:color w:val="0000FF"/>
      <w:u w:val="single"/>
    </w:rPr>
  </w:style>
  <w:style w:type="character" w:customStyle="1" w:styleId="NichtaufgelsteErwhnung1">
    <w:name w:val="Nicht aufgelöste Erwähnung1"/>
    <w:basedOn w:val="Absatz-Standardschriftart"/>
    <w:uiPriority w:val="99"/>
    <w:semiHidden/>
    <w:unhideWhenUsed/>
    <w:rsid w:val="00B821DA"/>
    <w:rPr>
      <w:color w:val="605E5C"/>
      <w:shd w:val="clear" w:color="auto" w:fill="E1DFDD"/>
    </w:rPr>
  </w:style>
  <w:style w:type="character" w:styleId="BesuchterLink">
    <w:name w:val="FollowedHyperlink"/>
    <w:basedOn w:val="Absatz-Standardschriftart"/>
    <w:uiPriority w:val="99"/>
    <w:semiHidden/>
    <w:unhideWhenUsed/>
    <w:rsid w:val="009D1039"/>
    <w:rPr>
      <w:color w:val="954F72" w:themeColor="followedHyperlink"/>
      <w:u w:val="single"/>
    </w:rPr>
  </w:style>
  <w:style w:type="table" w:styleId="Tabellenraster">
    <w:name w:val="Table Grid"/>
    <w:basedOn w:val="NormaleTabelle"/>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orges/Motion-Perception-during-Self-Motion/blob/master/AnalysisPilotData.R" TargetMode="External"/><Relationship Id="rId3" Type="http://schemas.openxmlformats.org/officeDocument/2006/relationships/styles" Target="styles.xml"/><Relationship Id="rId7" Type="http://schemas.openxmlformats.org/officeDocument/2006/relationships/hyperlink" Target="https://github.com/b-jorges/Motion-Perception-during-Self-Motion/blob/master/PowerAnalysisMotionEstimation.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jorges/Motion-Perception-during-Self-Moti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C0AAA-7000-41A8-AD1F-F806CD98F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8611</Words>
  <Characters>49084</Characters>
  <Application>Microsoft Office Word</Application>
  <DocSecurity>0</DocSecurity>
  <Lines>409</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5</cp:revision>
  <cp:lastPrinted>2019-12-16T21:02:00Z</cp:lastPrinted>
  <dcterms:created xsi:type="dcterms:W3CDTF">2020-01-25T00:08:00Z</dcterms:created>
  <dcterms:modified xsi:type="dcterms:W3CDTF">2020-01-26T02:52:00Z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