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6906" w14:textId="31358403" w:rsidR="00DD572D" w:rsidRDefault="00DD572D" w:rsidP="0091715E">
      <w:pPr>
        <w:pStyle w:val="Heading1"/>
        <w:jc w:val="both"/>
      </w:pPr>
      <w:r>
        <w:t>Introduction</w:t>
      </w:r>
    </w:p>
    <w:p w14:paraId="50999F16" w14:textId="71D81DE9"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 Hypothesizing After Results are Known ("HARKing"), publication bias, lacking power and lacking theory.</w:t>
      </w:r>
    </w:p>
    <w:p w14:paraId="3078E516" w14:textId="23500625" w:rsidR="00DD572D" w:rsidRDefault="00DD572D" w:rsidP="0091715E">
      <w:pPr>
        <w:jc w:val="both"/>
      </w:pPr>
      <w:r>
        <w:t>Interestingly, Cognitive Psychology, and more specifically Cognitive Psychology that relies on psychophysical methods, 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3A1A9CB1" w14:textId="77777777" w:rsidR="00DD572D" w:rsidRDefault="00DD572D" w:rsidP="0091715E">
      <w:pPr>
        <w:jc w:val="both"/>
      </w:pPr>
      <w:r>
        <w:t>Prima facie, the study of perception is a methodological outlier in several aspects: the number of subjects tested in a typical experiment is quite low, starting from two or three in older papers. And even the typical sample size in modern studies is rarely much higher than 10. On the other hand, each subject typically performs large numbers of trials, starting from around 50 per condition up to several hundred. Furthermore, psychophysical studies are much more likely to be between-subject designs, which lowers the random variability in responses, thus raising power.</w:t>
      </w:r>
    </w:p>
    <w:p w14:paraId="5605A5BC" w14:textId="77777777" w:rsidR="00665BD9" w:rsidRDefault="00665BD9" w:rsidP="0091715E">
      <w:pPr>
        <w:pStyle w:val="Heading1"/>
        <w:jc w:val="both"/>
      </w:pPr>
    </w:p>
    <w:p w14:paraId="47CCEA17" w14:textId="4CBEFD3B" w:rsidR="00DD572D" w:rsidRDefault="00DD572D" w:rsidP="0091715E">
      <w:pPr>
        <w:pStyle w:val="Heading2"/>
        <w:jc w:val="both"/>
      </w:pPr>
      <w:r>
        <w:t>Different Approaches to Null Hypothesis Testing in Psychophysics</w:t>
      </w:r>
    </w:p>
    <w:p w14:paraId="4E398867" w14:textId="3E42A6D0"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 @Moscatelli2012 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how much power is lost with the two-level approach.</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lastRenderedPageBreak/>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7492E45B"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lastRenderedPageBreak/>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62FA55F0" w14:textId="15F5B1C3" w:rsidR="00665BD9" w:rsidRDefault="00CD6C80" w:rsidP="0091715E">
      <w:pPr>
        <w:jc w:val="both"/>
      </w:pPr>
      <w:r>
        <w:rPr>
          <w:b/>
          <w:bCs/>
        </w:rPr>
        <w:t>“</w:t>
      </w:r>
      <w:r w:rsidR="00665BD9" w:rsidRPr="00665BD9">
        <w:rPr>
          <w:b/>
          <w:bCs/>
        </w:rPr>
        <w:t>Multiplicator_SD_Standard</w:t>
      </w:r>
      <w:r>
        <w:rPr>
          <w:b/>
          <w:bCs/>
        </w:rPr>
        <w:t>”</w:t>
      </w:r>
      <w:r w:rsidR="00665BD9">
        <w:t xml:space="preserve"> is a multiplicator that transforms Weber Fractions or JNDs from the literature into standard deviations for each comparison stimulus.</w:t>
      </w:r>
    </w:p>
    <w:p w14:paraId="2EDB142C" w14:textId="4B642F9D" w:rsidR="00665BD9" w:rsidRDefault="00CD6C80" w:rsidP="0091715E">
      <w:pPr>
        <w:jc w:val="both"/>
      </w:pPr>
      <w:r>
        <w:rPr>
          <w:b/>
          <w:bCs/>
        </w:rPr>
        <w:t>“</w:t>
      </w:r>
      <w:r w:rsidR="00665BD9" w:rsidRPr="00665BD9">
        <w:rPr>
          <w:b/>
          <w:bCs/>
        </w:rPr>
        <w:t>SD_Standard</w:t>
      </w:r>
      <w:r>
        <w:rPr>
          <w:b/>
          <w:bCs/>
        </w:rPr>
        <w:t>”</w:t>
      </w:r>
      <w:r w:rsidR="00665BD9">
        <w:t xml:space="preserve"> is the Standard Deviation of the psychometric function expected for the standard condition. This standard deviation is proportional to the relevant Weber fraction and JNDs, which are available in the literature. Further below, we explain the simple link between standard deviations of psychometric functions, Weber fractions and JNDs.</w:t>
      </w:r>
    </w:p>
    <w:p w14:paraId="2D152D43" w14:textId="05DA2A2E"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53634C">
        <w:t xml:space="preserve">Figure XX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 For the Method of Constant Stimuli, no randomness is involved in how the presented stimulus strengths are chosen. In this case, you can therefore simply set the values you have chosen for your stimulus.</w:t>
      </w:r>
    </w:p>
    <w:p w14:paraId="0DDA234E" w14:textId="76380356" w:rsidR="00665BD9" w:rsidRDefault="00665BD9" w:rsidP="0091715E">
      <w:pPr>
        <w:jc w:val="both"/>
        <w:rPr>
          <w:noProof/>
        </w:rPr>
      </w:pPr>
      <w:r w:rsidRPr="00665BD9">
        <w:rPr>
          <w:noProof/>
        </w:rPr>
        <w:t xml:space="preserve"> </w:t>
      </w:r>
      <w:r>
        <w:rPr>
          <w:noProof/>
        </w:rPr>
        <w:drawing>
          <wp:inline distT="0" distB="0" distL="0" distR="0" wp14:anchorId="4662576C" wp14:editId="45C0ABF1">
            <wp:extent cx="31146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inline>
        </w:drawing>
      </w:r>
    </w:p>
    <w:p w14:paraId="3DBC5A8A" w14:textId="463AD6FA" w:rsidR="00C36916" w:rsidRDefault="00CD6C80" w:rsidP="0091715E">
      <w:pPr>
        <w:jc w:val="both"/>
        <w:rPr>
          <w:noProof/>
        </w:rPr>
      </w:pPr>
      <w:r>
        <w:rPr>
          <w:b/>
          <w:bCs/>
          <w:noProof/>
        </w:rPr>
        <w:lastRenderedPageBreak/>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7A2E64B"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342E204F" w14:textId="7BB94C15" w:rsidR="00B97FA6" w:rsidRDefault="00B97FA6" w:rsidP="00B97FA6">
      <w:pPr>
        <w:pStyle w:val="Heading3"/>
        <w:rPr>
          <w:noProof/>
        </w:rPr>
      </w:pPr>
      <w:r>
        <w:rPr>
          <w:noProof/>
        </w:rPr>
        <w:t>Establishing the Psychometric Functions</w:t>
      </w:r>
    </w:p>
    <w:p w14:paraId="12189FAD" w14:textId="5F12496E" w:rsidR="00856393" w:rsidRDefault="0090370D" w:rsidP="00937381">
      <w:pPr>
        <w:jc w:val="both"/>
        <w:rPr>
          <w:noProof/>
        </w:rPr>
      </w:pPr>
      <w:r w:rsidRPr="0090370D">
        <w:rPr>
          <w:noProof/>
        </w:rPr>
        <w:t>Next, we simulate one whole data set based on the above values. We first create a data frame with one row for each trial, that is a total of length(ID) x length(ConditionOfInterst) x length(StandardValues) x length(reps) rows.</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thisthe effect of interest is equally strong in each participant.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EA8BB51" w:rsidR="00856393" w:rsidRDefault="00856393" w:rsidP="00937381">
      <w:pPr>
        <w:jc w:val="both"/>
        <w:rPr>
          <w:noProof/>
        </w:rPr>
      </w:pPr>
      <w:r w:rsidRPr="00856393">
        <w:rPr>
          <w:noProof/>
        </w:rPr>
        <w:t>Next,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Pr="00856393">
        <w:rPr>
          <w:noProof/>
        </w:rPr>
        <w:t xml:space="preserve"> with relatively low standard deviations or Cauchy distribution</w:t>
      </w:r>
      <w:r w:rsidR="00C50134">
        <w:rPr>
          <w:noProof/>
        </w:rPr>
        <w:t xml:space="preserve">s </w:t>
      </w:r>
      <w:r w:rsidRPr="00856393">
        <w:rPr>
          <w:noProof/>
        </w:rPr>
        <w:t>with low scale</w:t>
      </w:r>
      <w:r w:rsidR="00C50134">
        <w:rPr>
          <w:noProof/>
        </w:rPr>
        <w:t>s</w:t>
      </w:r>
      <w:r w:rsidRPr="00856393">
        <w:rPr>
          <w:noProof/>
        </w:rPr>
        <w:t xml:space="preserve">. A good way to determine the most appropriate function would be to plot the </w:t>
      </w:r>
      <w:r w:rsidR="00C50134">
        <w:rPr>
          <w:noProof/>
        </w:rPr>
        <w:t xml:space="preserve">distribution of </w:t>
      </w:r>
      <w:r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("staircase_factor") to compute the test stimulus strengths presented in the experiment ("Presented_TestStimulusStrength"). Lastly, we compute the difference between test stimulus and standard stimulus for each trial ("Difference").</w:t>
      </w:r>
    </w:p>
    <w:p w14:paraId="700218CE" w14:textId="00FFD0CA" w:rsidR="00856393" w:rsidRDefault="00856393" w:rsidP="00937381">
      <w:pPr>
        <w:jc w:val="both"/>
        <w:rPr>
          <w:noProof/>
        </w:rPr>
      </w:pPr>
      <w:r w:rsidRPr="00856393">
        <w:rPr>
          <w:noProof/>
        </w:rPr>
        <w:t>Then, we compute the probability on each trial to judge the test stimulus intensity higher (e. g. the test stimulus was faster, brighter, longer, ...) by feeding the simulated test stimulus strengths in a cummulative Gaussian with the mean and the standard deviations calculated above. We then use this value ("AnswerProbability") to simulate binary answers ("Answer") by drawing responses from a Bernoulli distribution.</w:t>
      </w:r>
    </w:p>
    <w:p w14:paraId="5DABCAAB" w14:textId="228ADD3C" w:rsidR="00937381" w:rsidRDefault="00856393" w:rsidP="00937381">
      <w:pPr>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5BA59FBA" w:rsidR="00856393" w:rsidRDefault="00856393" w:rsidP="00937381">
      <w:pPr>
        <w:rPr>
          <w:noProof/>
        </w:rPr>
      </w:pPr>
      <w:r>
        <w:rPr>
          <w:noProof/>
        </w:rPr>
        <w:lastRenderedPageBreak/>
        <w:t>Now, we can inspect these psychometric functions visually to verify whether the values chosen above give rise to the expected psychometric functions in terms of PSE and slopes. Figure XX illustrates the simulated psychometric function for the above values. As is usual for psychometric functions, we have the difference in stimulus strength between test and comparison on the x axis, the probability to choose the test stimulus as stronger on the y axis. The Condition of Interest is color-coded in blue, while the baseline condition is color-coded in red.</w:t>
      </w:r>
      <w:r w:rsidR="00232DEC">
        <w:rPr>
          <w:noProof/>
        </w:rPr>
        <w:t xml:space="preserve"> </w:t>
      </w:r>
      <w:r>
        <w:rPr>
          <w:noProof/>
        </w:rPr>
        <w:t>The facets correspond to IDs and different standard stimulus strengths, respectively.</w:t>
      </w:r>
      <w:r w:rsidRPr="00856393">
        <w:rPr>
          <w:noProof/>
        </w:rPr>
        <w:t xml:space="preserve"> </w:t>
      </w:r>
    </w:p>
    <w:p w14:paraId="0692537B" w14:textId="58B20328" w:rsidR="00856393" w:rsidRDefault="00856393" w:rsidP="0091715E">
      <w:pPr>
        <w:pStyle w:val="NoSpacing"/>
        <w:jc w:val="both"/>
        <w:rPr>
          <w:noProof/>
        </w:rPr>
      </w:pPr>
      <w:r>
        <w:rPr>
          <w:noProof/>
        </w:rPr>
        <w:drawing>
          <wp:inline distT="0" distB="0" distL="0" distR="0" wp14:anchorId="3C67DF79" wp14:editId="7CA1862E">
            <wp:extent cx="3057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6550A398" w:rsidR="009446EB" w:rsidRDefault="009446EB" w:rsidP="009F1770">
      <w:pPr>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F64C22">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2012)"},"properties":{"noteIndex":0},"schema":"https://github.com/citation-style-language/schema/raw/master/csl-citation.json"}</w:instrText>
      </w:r>
      <w:r w:rsidR="00F64C22">
        <w:rPr>
          <w:noProof/>
        </w:rPr>
        <w:fldChar w:fldCharType="separate"/>
      </w:r>
      <w:r w:rsidR="00F64C22" w:rsidRPr="00F64C22">
        <w:rPr>
          <w:noProof/>
        </w:rPr>
        <w:t>(Moscatelli, Mezzetti, &amp; Lacquaniti,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ConditioN”)</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0"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0"/>
                <m:r>
                  <w:rPr>
                    <w:rFonts w:ascii="Cambria Math" w:hAnsi="Cambria Math"/>
                  </w:rPr>
                  <m:t>~ Condition</m:t>
                </m:r>
                <m:r>
                  <w:rPr>
                    <w:rFonts w:ascii="Cambria Math" w:hAnsi="Cambria Math"/>
                  </w:rPr>
                  <m:t>O</m:t>
                </m:r>
                <m:r>
                  <w:rPr>
                    <w:rFonts w:ascii="Cambria Math" w:hAnsi="Cambria Math"/>
                  </w:rPr>
                  <m:t>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lastRenderedPageBreak/>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6F47BD">
      <w:pPr>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m:t>
                </m:r>
                <m:r>
                  <w:rPr>
                    <w:rFonts w:ascii="Cambria Math" w:hAnsi="Cambria Math"/>
                  </w:rPr>
                  <m:t>O</m:t>
                </m:r>
                <m:r>
                  <w:rPr>
                    <w:rFonts w:ascii="Cambria Math" w:hAnsi="Cambria Math"/>
                  </w:rPr>
                  <m:t>fInterest</m:t>
                </m:r>
                <m:r>
                  <w:rPr>
                    <w:rFonts w:ascii="Cambria Math" w:hAnsi="Cambria Math"/>
                  </w:rPr>
                  <m:t>*Diff</m:t>
                </m:r>
                <m:r>
                  <w:rPr>
                    <w:rFonts w:ascii="Cambria Math" w:hAnsi="Cambria Math"/>
                  </w:rPr>
                  <m: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lastRenderedPageBreak/>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65E98592" w:rsidR="007D0ECC" w:rsidRDefault="007D0ECC" w:rsidP="007D0ECC">
      <w:pPr>
        <w:pStyle w:val="Caption"/>
        <w:jc w:val="both"/>
        <w:rPr>
          <w:noProof/>
        </w:rPr>
      </w:pPr>
      <w:r>
        <w:t xml:space="preserve">Figure </w:t>
      </w:r>
      <w:fldSimple w:instr=" SEQ Figure \* ARABIC ">
        <w:r>
          <w:rPr>
            <w:noProof/>
          </w:rPr>
          <w:t>1</w:t>
        </w:r>
      </w:fldSimple>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77777777" w:rsidR="00656C7B" w:rsidRDefault="00656C7B" w:rsidP="0091715E">
      <w:pPr>
        <w:pStyle w:val="NoSpacing"/>
        <w:jc w:val="both"/>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28DFE955"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m:t>
            </m:r>
            <m:r>
              <w:rPr>
                <w:rFonts w:ascii="Cambria Math" w:hAnsi="Cambria Math"/>
                <w:noProof/>
              </w:rPr>
              <m:t xml:space="preserv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 xml:space="preserve">False </m:t>
            </m:r>
            <m:r>
              <w:rPr>
                <w:rFonts w:ascii="Cambria Math" w:hAnsi="Cambria Math"/>
                <w:noProof/>
              </w:rPr>
              <m:t>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bookmarkStart w:id="1" w:name="_GoBack"/>
      <w:bookmarkEnd w:id="1"/>
    </w:p>
    <w:sectPr w:rsidR="00A0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55B22"/>
    <w:rsid w:val="0006511D"/>
    <w:rsid w:val="000A0A4C"/>
    <w:rsid w:val="000A60D3"/>
    <w:rsid w:val="000A74F9"/>
    <w:rsid w:val="000C1191"/>
    <w:rsid w:val="001059AD"/>
    <w:rsid w:val="00167063"/>
    <w:rsid w:val="00173447"/>
    <w:rsid w:val="001A02F7"/>
    <w:rsid w:val="001A0A4D"/>
    <w:rsid w:val="00232DEC"/>
    <w:rsid w:val="002505AC"/>
    <w:rsid w:val="00277FC4"/>
    <w:rsid w:val="00287858"/>
    <w:rsid w:val="002A0D12"/>
    <w:rsid w:val="002D2481"/>
    <w:rsid w:val="002E0125"/>
    <w:rsid w:val="00356920"/>
    <w:rsid w:val="004330F3"/>
    <w:rsid w:val="00463638"/>
    <w:rsid w:val="004F2F02"/>
    <w:rsid w:val="005020AA"/>
    <w:rsid w:val="00532A08"/>
    <w:rsid w:val="0053634C"/>
    <w:rsid w:val="00566282"/>
    <w:rsid w:val="00566DD9"/>
    <w:rsid w:val="00583554"/>
    <w:rsid w:val="00586BEF"/>
    <w:rsid w:val="006158D2"/>
    <w:rsid w:val="00652EB8"/>
    <w:rsid w:val="00656C7B"/>
    <w:rsid w:val="006632B6"/>
    <w:rsid w:val="00665BD9"/>
    <w:rsid w:val="006B6DB3"/>
    <w:rsid w:val="006F47BD"/>
    <w:rsid w:val="0070207D"/>
    <w:rsid w:val="007B1C23"/>
    <w:rsid w:val="007D0ECC"/>
    <w:rsid w:val="007F5F9D"/>
    <w:rsid w:val="00805342"/>
    <w:rsid w:val="00856393"/>
    <w:rsid w:val="008D255B"/>
    <w:rsid w:val="008F5E3E"/>
    <w:rsid w:val="0090370D"/>
    <w:rsid w:val="00904C9F"/>
    <w:rsid w:val="0091715E"/>
    <w:rsid w:val="00927C15"/>
    <w:rsid w:val="00937381"/>
    <w:rsid w:val="009446EB"/>
    <w:rsid w:val="00982C4B"/>
    <w:rsid w:val="009F1770"/>
    <w:rsid w:val="00A03271"/>
    <w:rsid w:val="00A57A97"/>
    <w:rsid w:val="00A734B7"/>
    <w:rsid w:val="00A80BC4"/>
    <w:rsid w:val="00B36D2B"/>
    <w:rsid w:val="00B4174F"/>
    <w:rsid w:val="00B97FA6"/>
    <w:rsid w:val="00BC58E0"/>
    <w:rsid w:val="00BF2016"/>
    <w:rsid w:val="00C36916"/>
    <w:rsid w:val="00C50134"/>
    <w:rsid w:val="00CB20C6"/>
    <w:rsid w:val="00CC4D9C"/>
    <w:rsid w:val="00CD6C80"/>
    <w:rsid w:val="00D41092"/>
    <w:rsid w:val="00DD572D"/>
    <w:rsid w:val="00DE5B29"/>
    <w:rsid w:val="00DF0FA4"/>
    <w:rsid w:val="00DF13AC"/>
    <w:rsid w:val="00E031D9"/>
    <w:rsid w:val="00E233D6"/>
    <w:rsid w:val="00EC353E"/>
    <w:rsid w:val="00EE2ABF"/>
    <w:rsid w:val="00F63588"/>
    <w:rsid w:val="00F64C22"/>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70C90-B14C-4F2F-BC19-BF845EDD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11487</Words>
  <Characters>65476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68</cp:revision>
  <dcterms:created xsi:type="dcterms:W3CDTF">2020-04-06T22:30:00Z</dcterms:created>
  <dcterms:modified xsi:type="dcterms:W3CDTF">2020-04-07T03:50:00Z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