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4834F9FA" w:rsidR="00961CC3" w:rsidRDefault="00961CC3" w:rsidP="00961CC3">
      <w:pPr>
        <w:pStyle w:val="Heading1"/>
        <w:jc w:val="center"/>
      </w:pPr>
      <w:r>
        <w:t>Power Analyses for Psychophysics</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3DD987A3"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D87BE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D87BE9">
        <w:t xml:space="preserve">better theory </w:t>
      </w:r>
      <w:r w:rsidR="00D87BE9">
        <w:fldChar w:fldCharType="begin" w:fldLock="1"/>
      </w:r>
      <w:r w:rsidR="00102607">
        <w:instrText>ADDIN CSL_CITATION {"citationItems":[{"id":"ITEM-1","itemData":{"abstract":"Drawing on the philosophy of psychological explanation (Cummins, 1983; 2000), we suggest that psychological science, by focusing on effects, may lose sight of its primary explananda: psychological capacities. We revisit Marr’s (1982) levels-of-analysis framework, which has been remarkably productive and useful for cognitive psychological explanation. We discuss ways in which Marr’s framework may be extended to other areas of psychology, such as social, developmental, and evolutionary psychology, bringing new benefits to these fields. Next, we show how theoretical analyses can endow a theory with minimal plausibility even prior to contact with empirical data: we call this the theoretical cycle. Finally, we explain how our proposal may contribute to addressing critical issues in psychological science, including how to leverage effects to understand capacities better.","author":[{"dropping-particle":"","family":"Rooij","given":"Iris","non-dropping-particle":"van","parse-names":false,"suffix":""},{"dropping-particle":"","family":"Baggio","given":"Giosue","non-dropping-particle":"","parse-names":false,"suffix":""}],"container-title":"PsyArXiv","id":"ITEM-1","issued":{"date-parts":[["2020"]]},"page":"1-24","title":"Theory before the test: How to build high-verisimilitude explanatory theories in psychological science","type":"article-journal"},"uris":["http://www.mendeley.com/documents/?uuid=b508aefb-16a4-4c9d-bbc6-20a718858487"]},{"id":"ITEM-2","itemData":{"DOI":"10.31234/OSF.IO/JCS6E","abstract":"In the face of unreplicable results, statistical anomalies, and outright fraud, introspection and changes in the psychological sciences have taken root. Vibrant reform and meta-science movements have emerged. These are exciting developments, and may point towards practical improvements in the future. Yet there is nothing so practical as good theory. This paper outlines aspects of reform and meta-science that appear ripe for an injection of theory, including a lot of excellent and overlooked theoretical work from different disciplines. I focus on theories of meta-science and scientific forensics, theories of scientific aspiration, and theories of cultural change in science. There is much room for theoretical growth -- a growth that can only benefit emerging movements -- and highlight some, focusing especially on the potential of cultural evolutionary theories to help direct reform efforts. We have unwittingly evolved a toxic scientific ecosystem; theory may help us intelligently design a better one.","author":[{"dropping-particle":"","family":"Gervais","given":"Will M","non-dropping-particle":"","parse-names":false,"suffix":""}],"container-title":"PsyArXiv","id":"ITEM-2","issue":"March","issued":{"date-parts":[["2020"]]},"page":"1-26","title":"Practical Methodological Reform Needs Good Theory","type":"article-journal"},"uris":["http://www.mendeley.com/documents/?uuid=642dc07a-5f0a-4fae-ad7d-29820a2d06c7"]}],"mendeley":{"formattedCitation":"(Gervais, 2020; van Rooij &amp; Baggio, 2020)","plainTextFormattedCitation":"(Gervais, 2020; van Rooij &amp; Baggio, 2020)","previouslyFormattedCitation":"(Gervais, 2020; van Rooij &amp; Baggio, 2020)"},"properties":{"noteIndex":0},"schema":"https://github.com/citation-style-language/schema/raw/master/csl-citation.json"}</w:instrText>
      </w:r>
      <w:r w:rsidR="00D87BE9">
        <w:fldChar w:fldCharType="separate"/>
      </w:r>
      <w:r w:rsidR="00D87BE9" w:rsidRPr="00D87BE9">
        <w:rPr>
          <w:noProof/>
        </w:rPr>
        <w:t>(Gervais, 2020; van Rooij &amp; Baggio, 2020)</w:t>
      </w:r>
      <w:r w:rsidR="00D87BE9">
        <w:fldChar w:fldCharType="end"/>
      </w:r>
      <w:r w:rsidR="00D87BE9">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EC0AB04"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boast 10000 data points and more. While data points are strongly correlated within participant and condition, this adds nonetheless a good measure of reliability. Last but not least</w:t>
      </w:r>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7C2A70">
        <w:lastRenderedPageBreak/>
        <w:t>Our discipline is thus not per se safe from lacking power and results that do not replicate. And with Registered Reports on the rise in Cognitive Psychology, with pioneer journals like</w:t>
      </w:r>
      <w:r w:rsidR="00655902">
        <w:t xml:space="preserve"> </w:t>
      </w:r>
      <w:r w:rsidR="007C2A70">
        <w:t xml:space="preserve">Attention, Perception and Action, </w:t>
      </w:r>
      <w:proofErr w:type="spellStart"/>
      <w:r w:rsidR="00655902">
        <w:t>i</w:t>
      </w:r>
      <w:proofErr w:type="spellEnd"/>
      <w:r w:rsidR="00655902">
        <w:t>-Perception, Perception or Applied Cognitive Psychology, it become increasingly important to plan studies efficiently, thoroughly and transparently.</w:t>
      </w:r>
    </w:p>
    <w:p w14:paraId="706DAAA4" w14:textId="6DB43F68" w:rsidR="00655902" w:rsidRDefault="00655902" w:rsidP="00B038E2">
      <w:pPr>
        <w:jc w:val="both"/>
      </w:pPr>
      <w:r>
        <w:t xml:space="preserve">An integral part of study planning is the planning of sample sizes. </w:t>
      </w:r>
      <w:r w:rsidR="00AD3525">
        <w:t>While power analyses are becoming more mainstream in other areas, they are the exception in the typical psychophysical study. The present paper thus aims to give advice on how to conduct power analyses for common psychophysical designs that investigate the effect of a categorical experimental variable on precision and accuracy in two-alternative forced-choice paradigms.</w:t>
      </w:r>
      <w:r w:rsidR="00CF58CE">
        <w:t xml:space="preserve"> We discuss how a General Linear Mixed Model approach</w:t>
      </w:r>
      <w:r w:rsidR="00102607">
        <w:t xml:space="preserve"> </w:t>
      </w:r>
      <w:r w:rsidR="00102607">
        <w:fldChar w:fldCharType="begin" w:fldLock="1"/>
      </w:r>
      <w:r w:rsidR="00102607">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2012)"},"properties":{"noteIndex":0},"schema":"https://github.com/citation-style-language/schema/raw/master/csl-citation.json"}</w:instrText>
      </w:r>
      <w:r w:rsidR="00102607">
        <w:fldChar w:fldCharType="separate"/>
      </w:r>
      <w:r w:rsidR="00102607" w:rsidRPr="00102607">
        <w:rPr>
          <w:noProof/>
        </w:rPr>
        <w:t>(Moscatelli, Mezzetti, &amp; Lacquaniti, 2012)</w:t>
      </w:r>
      <w:r w:rsidR="00102607">
        <w:fldChar w:fldCharType="end"/>
      </w:r>
      <w:r w:rsidR="00CF58CE">
        <w:t xml:space="preserve"> compares to other approaches</w:t>
      </w:r>
      <w:r w:rsidR="00102607">
        <w:t xml:space="preserve"> to Null-Hypothesis Testing in psychophysics</w:t>
      </w:r>
      <w:r w:rsidR="005042B4">
        <w:t xml:space="preserve"> in terms of power</w:t>
      </w:r>
      <w:r w:rsidR="00102607">
        <w:t xml:space="preserve">, provide example implementations in R and the much faster Julia, and show ways to </w:t>
      </w:r>
      <w:r w:rsidR="005042B4">
        <w:t>determine the best trials-per-participant ratio.</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729ADF59"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102607">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Mezzetti, &amp; Lacquaniti, 2012)"},"properties":{"noteIndex":0},"schema":"https://github.com/citation-style-language/schema/raw/master/csl-citation.json"}</w:instrText>
      </w:r>
      <w:r w:rsidR="009649D2">
        <w:fldChar w:fldCharType="separate"/>
      </w:r>
      <w:r w:rsidR="00102607" w:rsidRPr="00102607">
        <w:rPr>
          <w:noProof/>
        </w:rPr>
        <w:t>(Moscatelli et al., 2012)</w:t>
      </w:r>
      <w:r w:rsidR="009649D2">
        <w:fldChar w:fldCharType="end"/>
      </w:r>
      <w:r w:rsidR="009649D2">
        <w:t xml:space="preserve"> </w:t>
      </w:r>
      <w:r w:rsidR="00DD572D">
        <w:t xml:space="preserve">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69562F6F" w:rsidR="00DD572D" w:rsidRDefault="00DD572D" w:rsidP="0091715E">
      <w:pPr>
        <w:jc w:val="both"/>
      </w:pPr>
      <w:r>
        <w:t>Classically, psychometric functions (</w:t>
      </w:r>
      <w:r w:rsidR="00583554">
        <w:t>Cumulative</w:t>
      </w:r>
      <w:r>
        <w:t xml:space="preserve"> Gaussian</w:t>
      </w:r>
      <w:r w:rsidR="00775ACF">
        <w:t xml:space="preserve"> functions, Logistic functions</w:t>
      </w:r>
      <w:r>
        <w:t xml:space="preserve">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w:t>
      </w:r>
    </w:p>
    <w:p w14:paraId="35E6B013" w14:textId="77777777" w:rsidR="001A56FB" w:rsidRDefault="001A56FB" w:rsidP="001A56FB">
      <w:pPr>
        <w:keepNext/>
        <w:jc w:val="both"/>
      </w:pPr>
      <w:r>
        <w:rPr>
          <w:noProof/>
        </w:rPr>
        <w:lastRenderedPageBreak/>
        <w:drawing>
          <wp:inline distT="0" distB="0" distL="0" distR="0" wp14:anchorId="7EE54253" wp14:editId="53A6863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6E6598" w14:textId="16F62AB9" w:rsidR="00775ACF" w:rsidRDefault="001A56FB" w:rsidP="001A56FB">
      <w:pPr>
        <w:pStyle w:val="Caption"/>
        <w:jc w:val="both"/>
      </w:pPr>
      <w:r>
        <w:t xml:space="preserve">Figure </w:t>
      </w:r>
      <w:fldSimple w:instr=" SEQ Figure \* ARABIC ">
        <w:r>
          <w:rPr>
            <w:noProof/>
          </w:rPr>
          <w:t>1</w:t>
        </w:r>
      </w:fldSimple>
      <w:r>
        <w:t>. 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w:t>
      </w:r>
      <w:r w:rsidR="00091269">
        <w:t>; 0.7 in this example.</w:t>
      </w:r>
      <w:r>
        <w:t xml:space="preserve"> The PSE (Point of Subjective Equality), a measure of biases/accuracy, is that stimulus intensity that leads to 50 % correct responses</w:t>
      </w:r>
      <w:r w:rsidR="00091269">
        <w:t xml:space="preserve"> (red); 0 in this example.</w:t>
      </w:r>
    </w:p>
    <w:p w14:paraId="7C808969" w14:textId="12D59F68" w:rsidR="00DD572D" w:rsidRDefault="00DD572D" w:rsidP="0091715E">
      <w:pPr>
        <w:jc w:val="both"/>
      </w:pPr>
      <w:r>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lastRenderedPageBreak/>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w:t>
      </w:r>
      <w:proofErr w:type="spellStart"/>
      <w:r>
        <w:t>educatedly</w:t>
      </w:r>
      <w:proofErr w:type="spellEnd"/>
      <w:r>
        <w:t>).</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proofErr w:type="spellStart"/>
      <w:r w:rsidR="00665BD9" w:rsidRPr="00665BD9">
        <w:rPr>
          <w:b/>
          <w:bCs/>
        </w:rPr>
        <w:t>ConditionOfInterest</w:t>
      </w:r>
      <w:proofErr w:type="spellEnd"/>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proofErr w:type="spellStart"/>
      <w:r w:rsidR="00665BD9" w:rsidRPr="00665BD9">
        <w:rPr>
          <w:b/>
          <w:bCs/>
        </w:rPr>
        <w:t>StandardValues</w:t>
      </w:r>
      <w:proofErr w:type="spellEnd"/>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proofErr w:type="spellStart"/>
      <w:r w:rsidR="00665BD9" w:rsidRPr="00665BD9">
        <w:rPr>
          <w:b/>
          <w:bCs/>
        </w:rPr>
        <w:t>PSE_Difference</w:t>
      </w:r>
      <w:proofErr w:type="spellEnd"/>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proofErr w:type="spellStart"/>
      <w:r w:rsidR="00665BD9" w:rsidRPr="00665BD9">
        <w:rPr>
          <w:b/>
          <w:bCs/>
        </w:rPr>
        <w:t>JND_Difference</w:t>
      </w:r>
      <w:proofErr w:type="spellEnd"/>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proofErr w:type="spellStart"/>
      <w:r w:rsidR="00665BD9" w:rsidRPr="00665BD9">
        <w:rPr>
          <w:b/>
          <w:bCs/>
        </w:rPr>
        <w:t>Mean_Standard</w:t>
      </w:r>
      <w:proofErr w:type="spellEnd"/>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proofErr w:type="spellStart"/>
      <w:r w:rsidR="00665BD9" w:rsidRPr="00665BD9">
        <w:rPr>
          <w:b/>
          <w:bCs/>
        </w:rPr>
        <w:t>Multiplicator_SD_Standard</w:t>
      </w:r>
      <w:proofErr w:type="spellEnd"/>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lastRenderedPageBreak/>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w:t>
      </w:r>
      <w:proofErr w:type="spellStart"/>
      <w:r w:rsidRPr="008763B0">
        <w:rPr>
          <w:b/>
          <w:bCs/>
        </w:rPr>
        <w:t>SD_Standard</w:t>
      </w:r>
      <w:proofErr w:type="spellEnd"/>
      <w:r w:rsidRPr="008763B0">
        <w:rPr>
          <w:b/>
          <w:bCs/>
        </w:rPr>
        <w:t>”</w:t>
      </w:r>
      <w:r>
        <w:t xml:space="preserve"> is then the standard deviation</w:t>
      </w:r>
      <w:r w:rsidR="00C50B02">
        <w:t xml:space="preserve"> of the psychometric function</w:t>
      </w:r>
      <w:r>
        <w:t xml:space="preserve"> for each stimulus intensity</w:t>
      </w:r>
      <w:r w:rsidR="007E4B36">
        <w:t xml:space="preserve"> (</w:t>
      </w:r>
      <w:proofErr w:type="spellStart"/>
      <w:r w:rsidR="007E4B36" w:rsidRPr="007E4B36">
        <w:rPr>
          <w:b/>
          <w:bCs/>
        </w:rPr>
        <w:t>Multiplicator_SD_Standard</w:t>
      </w:r>
      <w:proofErr w:type="spellEnd"/>
      <w:r w:rsidR="007E4B36">
        <w:t xml:space="preserve"> * </w:t>
      </w:r>
      <w:proofErr w:type="spellStart"/>
      <w:r w:rsidR="007E4B36" w:rsidRPr="007E4B36">
        <w:rPr>
          <w:b/>
          <w:bCs/>
        </w:rPr>
        <w:t>Mean_Standard</w:t>
      </w:r>
      <w:proofErr w:type="spellEnd"/>
      <w:r w:rsidR="007E4B36">
        <w:t>)</w:t>
      </w:r>
      <w:r>
        <w:t>.</w:t>
      </w:r>
    </w:p>
    <w:p w14:paraId="2D152D43" w14:textId="7760D02D" w:rsidR="00665BD9" w:rsidRDefault="00CD6C80" w:rsidP="0091715E">
      <w:pPr>
        <w:jc w:val="both"/>
      </w:pPr>
      <w:r>
        <w:rPr>
          <w:b/>
          <w:bCs/>
        </w:rPr>
        <w:t>“</w:t>
      </w:r>
      <w:proofErr w:type="spellStart"/>
      <w:r w:rsidR="00665BD9" w:rsidRPr="00665BD9">
        <w:rPr>
          <w:b/>
          <w:bCs/>
        </w:rPr>
        <w:t>Type_ResponseFunction</w:t>
      </w:r>
      <w:proofErr w:type="spellEnd"/>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522B5421">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0DDA234E" w14:textId="42821162" w:rsidR="00665BD9" w:rsidRDefault="005405D2" w:rsidP="005405D2">
      <w:pPr>
        <w:pStyle w:val="Caption"/>
        <w:jc w:val="both"/>
        <w:rPr>
          <w:noProof/>
        </w:rPr>
      </w:pPr>
      <w:bookmarkStart w:id="2" w:name="_Ref37200780"/>
      <w:r>
        <w:t xml:space="preserve">Figure </w:t>
      </w:r>
      <w:fldSimple w:instr=" SEQ Figure \* ARABIC ">
        <w:r w:rsidR="001A56FB">
          <w:rPr>
            <w:noProof/>
          </w:rPr>
          <w:t>2</w:t>
        </w:r>
      </w:fldSimple>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5AAB8F07" w:rsidR="00B97FA6" w:rsidRDefault="006F4DEE" w:rsidP="00B97FA6">
      <w:pPr>
        <w:pStyle w:val="Heading3"/>
        <w:rPr>
          <w:noProof/>
        </w:rPr>
      </w:pPr>
      <w:r>
        <w:rPr>
          <w:noProof/>
        </w:rPr>
        <w:lastRenderedPageBreak/>
        <w:t>Simulating</w:t>
      </w:r>
      <w:r w:rsidR="00B97FA6">
        <w:rPr>
          <w:noProof/>
        </w:rPr>
        <w:t xml:space="preserve"> the</w:t>
      </w:r>
      <w:r>
        <w:rPr>
          <w:noProof/>
        </w:rPr>
        <w:t xml:space="preserve"> Data</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88BB6CC" w:rsidR="00856393" w:rsidRDefault="006C78E0" w:rsidP="00937381">
      <w:pPr>
        <w:jc w:val="both"/>
        <w:rPr>
          <w:noProof/>
        </w:rPr>
      </w:pPr>
      <w:r>
        <w:rPr>
          <w:noProof/>
        </w:rPr>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w:t>
      </w:r>
      <w:r w:rsidR="00856393" w:rsidRPr="00F85CB7">
        <w:rPr>
          <w:b/>
          <w:bCs/>
          <w:noProof/>
        </w:rPr>
        <w:t>staircase_facto</w:t>
      </w:r>
      <w:r w:rsidR="00856393" w:rsidRPr="00856393">
        <w:rPr>
          <w:noProof/>
        </w:rPr>
        <w:t>r") to compute the test stimulus strengths presented in the experiment ("</w:t>
      </w:r>
      <w:r w:rsidR="00856393" w:rsidRPr="00F85CB7">
        <w:rPr>
          <w:b/>
          <w:bCs/>
          <w:noProof/>
        </w:rPr>
        <w:t>Presented_TestStimulusStrength</w:t>
      </w:r>
      <w:r w:rsidR="00856393" w:rsidRPr="00856393">
        <w:rPr>
          <w:noProof/>
        </w:rPr>
        <w:t>"). Lastly, we compute the difference between test stimulus and standard stimulus for each trial ("</w:t>
      </w:r>
      <w:r w:rsidR="00856393" w:rsidRPr="00F85CB7">
        <w:rPr>
          <w:b/>
          <w:bCs/>
          <w:noProof/>
        </w:rPr>
        <w:t>Difference</w:t>
      </w:r>
      <w:r w:rsidR="00856393" w:rsidRPr="00856393">
        <w:rPr>
          <w:noProof/>
        </w:rPr>
        <w:t>").</w:t>
      </w:r>
    </w:p>
    <w:p w14:paraId="18BF71B5" w14:textId="148D99C3" w:rsidR="00A817BA"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sidR="00A817BA">
        <w:rPr>
          <w:noProof/>
        </w:rPr>
        <w:t xml:space="preserve"> </w:t>
      </w:r>
      <w:r w:rsidR="00A817BA">
        <w:rPr>
          <w:noProof/>
        </w:rPr>
        <w:fldChar w:fldCharType="begin"/>
      </w:r>
      <w:r w:rsidR="00A817BA">
        <w:rPr>
          <w:noProof/>
        </w:rPr>
        <w:instrText xml:space="preserve"> REF _Ref37198802 \h </w:instrText>
      </w:r>
      <w:r w:rsidR="00A817BA">
        <w:rPr>
          <w:noProof/>
        </w:rPr>
      </w:r>
      <w:r w:rsidR="00A817BA">
        <w:rPr>
          <w:noProof/>
        </w:rPr>
        <w:fldChar w:fldCharType="separate"/>
      </w:r>
      <w:r w:rsidR="00A817BA">
        <w:t xml:space="preserve">Figure </w:t>
      </w:r>
      <w:r w:rsidR="00A817BA">
        <w:rPr>
          <w:noProof/>
        </w:rPr>
        <w:t>3</w:t>
      </w:r>
      <w:r w:rsidR="00A817BA">
        <w:rPr>
          <w:noProof/>
        </w:rPr>
        <w:fldChar w:fldCharType="end"/>
      </w:r>
      <w:r w:rsidR="00A817BA">
        <w:rPr>
          <w:noProof/>
        </w:rPr>
        <w:t xml:space="preserve"> illustrates the stimulated data set for five subjects, where both PSE and JND differ between conditions.</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0F0EBA">
        <w:rPr>
          <w:noProof/>
        </w:rPr>
        <w:instrText xml:space="preserve"> \* MERGEFORMAT </w:instrText>
      </w:r>
      <w:r w:rsidR="00C33157">
        <w:rPr>
          <w:noProof/>
        </w:rPr>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lastRenderedPageBreak/>
        <w:drawing>
          <wp:inline distT="0" distB="0" distL="0" distR="0" wp14:anchorId="3FC5364C" wp14:editId="45B0DCF1">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783757EF" w:rsidR="00856393" w:rsidRDefault="00C073E4" w:rsidP="00C073E4">
      <w:pPr>
        <w:pStyle w:val="Caption"/>
        <w:jc w:val="both"/>
        <w:rPr>
          <w:noProof/>
        </w:rPr>
      </w:pPr>
      <w:bookmarkStart w:id="3" w:name="_Ref37198802"/>
      <w:r>
        <w:t xml:space="preserve">Figure </w:t>
      </w:r>
      <w:fldSimple w:instr=" SEQ Figure \* ARABIC ">
        <w:r w:rsidR="001A56FB">
          <w:rPr>
            <w:noProof/>
          </w:rPr>
          <w:t>3</w:t>
        </w:r>
      </w:fldSimple>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5827FDC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w:t>
      </w:r>
      <w:r w:rsidR="00173447" w:rsidRPr="00F65B6D">
        <w:rPr>
          <w:b/>
          <w:bCs/>
          <w:noProof/>
        </w:rPr>
        <w:t>Condition</w:t>
      </w:r>
      <w:r w:rsidR="00F65B6D">
        <w:rPr>
          <w:b/>
          <w:bCs/>
          <w:noProof/>
        </w:rPr>
        <w:t xml:space="preserve"> </w:t>
      </w:r>
      <w:r w:rsidR="00173447" w:rsidRPr="00F65B6D">
        <w:rPr>
          <w:b/>
          <w:bCs/>
          <w:noProof/>
        </w:rPr>
        <w:t>Of</w:t>
      </w:r>
      <w:r w:rsidR="00F65B6D">
        <w:rPr>
          <w:b/>
          <w:bCs/>
          <w:noProof/>
        </w:rPr>
        <w:t xml:space="preserve"> </w:t>
      </w:r>
      <w:r w:rsidR="00173447" w:rsidRPr="00F65B6D">
        <w:rPr>
          <w:b/>
          <w:bCs/>
          <w:noProof/>
        </w:rPr>
        <w:t>Interest</w:t>
      </w:r>
      <w:r w:rsidR="00173447">
        <w:rPr>
          <w:noProof/>
        </w:rPr>
        <w:t>”</w:t>
      </w:r>
      <w:r w:rsidR="00FC5577">
        <w:rPr>
          <w:noProof/>
        </w:rPr>
        <w:t xml:space="preserve"> (a binary categorical variable with the values “</w:t>
      </w:r>
      <w:r w:rsidR="00FC5577" w:rsidRPr="00F65B6D">
        <w:rPr>
          <w:b/>
          <w:bCs/>
          <w:noProof/>
        </w:rPr>
        <w:t>1</w:t>
      </w:r>
      <w:r w:rsidR="00FC5577">
        <w:rPr>
          <w:noProof/>
        </w:rPr>
        <w:t>” for “</w:t>
      </w:r>
      <w:r w:rsidR="00FC5577" w:rsidRPr="00F65B6D">
        <w:rPr>
          <w:b/>
          <w:bCs/>
          <w:noProof/>
        </w:rPr>
        <w:t>Test Condition</w:t>
      </w:r>
      <w:r w:rsidR="00FC5577">
        <w:rPr>
          <w:noProof/>
        </w:rPr>
        <w:t>” and “</w:t>
      </w:r>
      <w:r w:rsidR="00FC5577" w:rsidRPr="00F65B6D">
        <w:rPr>
          <w:b/>
          <w:bCs/>
          <w:noProof/>
        </w:rPr>
        <w:t>0</w:t>
      </w:r>
      <w:r w:rsidR="00FC5577">
        <w:rPr>
          <w:noProof/>
        </w:rPr>
        <w:t>” for “</w:t>
      </w:r>
      <w:r w:rsidR="00FC5577" w:rsidRPr="00F65B6D">
        <w:rPr>
          <w:b/>
          <w:bCs/>
          <w:noProof/>
        </w:rPr>
        <w:t>Standard Conditio</w:t>
      </w:r>
      <w:r w:rsidR="00BA3C0B" w:rsidRPr="00F65B6D">
        <w:rPr>
          <w:b/>
          <w:bCs/>
          <w:noProof/>
        </w:rPr>
        <w:t>n</w:t>
      </w:r>
      <w:r w:rsidR="00FC5577">
        <w:rPr>
          <w:noProof/>
        </w:rPr>
        <w:t>”)</w:t>
      </w:r>
      <w:r w:rsidR="00173447">
        <w:rPr>
          <w:noProof/>
        </w:rPr>
        <w:t xml:space="preserve"> as fixed effect, and random intercepts and slopes for the Difference between test stimulus and standard stimulus (“</w:t>
      </w:r>
      <w:r w:rsidR="00173447" w:rsidRPr="00F65B6D">
        <w:rPr>
          <w:b/>
          <w:bCs/>
          <w:noProof/>
        </w:rPr>
        <w:t>Diff</w:t>
      </w:r>
      <w:r w:rsidR="00173447">
        <w:rPr>
          <w:noProof/>
        </w:rPr>
        <w:t>”) per Participant (“</w:t>
      </w:r>
      <w:r w:rsidR="00173447" w:rsidRPr="00F65B6D">
        <w:rPr>
          <w:b/>
          <w:bCs/>
          <w:noProof/>
        </w:rPr>
        <w:t>ID</w:t>
      </w:r>
      <w:r w:rsidR="00173447">
        <w:rPr>
          <w:noProof/>
        </w:rPr>
        <w:t>”) and value of the standard stimulus (“</w:t>
      </w:r>
      <w:r w:rsidR="00173447" w:rsidRPr="00F65B6D">
        <w:rPr>
          <w:b/>
          <w:bCs/>
          <w:noProof/>
        </w:rPr>
        <w:t>Standard</w:t>
      </w:r>
      <w:r w:rsidR="00F65B6D" w:rsidRPr="00F65B6D">
        <w:rPr>
          <w:b/>
          <w:bCs/>
          <w:noProof/>
        </w:rPr>
        <w:t xml:space="preserve"> </w:t>
      </w:r>
      <w:r w:rsidR="00173447" w:rsidRPr="00F65B6D">
        <w:rPr>
          <w:b/>
          <w:bCs/>
          <w:noProof/>
        </w:rPr>
        <w:t>Value</w:t>
      </w:r>
      <w:r w:rsidR="00173447">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4"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4"/>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w:t>
      </w:r>
      <w:r w:rsidRPr="00F65B6D">
        <w:rPr>
          <w:b/>
          <w:bCs/>
          <w:noProof/>
        </w:rPr>
        <w:t>Condition of Interest</w:t>
      </w:r>
      <w:r>
        <w:rPr>
          <w:noProof/>
        </w:rPr>
        <w:t>" and "</w:t>
      </w:r>
      <w:r w:rsidRPr="00F65B6D">
        <w:rPr>
          <w:b/>
          <w:bCs/>
          <w:noProof/>
        </w:rPr>
        <w:t>Difference</w:t>
      </w:r>
      <w:r>
        <w:rPr>
          <w:noProof/>
        </w:rPr>
        <w:t>")</w:t>
      </w:r>
    </w:p>
    <w:p w14:paraId="7317DC1B" w14:textId="7EDC3444" w:rsidR="009446EB" w:rsidRDefault="009446EB" w:rsidP="009F1770">
      <w:pPr>
        <w:pStyle w:val="ListParagraph"/>
        <w:numPr>
          <w:ilvl w:val="0"/>
          <w:numId w:val="3"/>
        </w:numPr>
        <w:rPr>
          <w:noProof/>
        </w:rPr>
      </w:pPr>
      <w:r>
        <w:rPr>
          <w:noProof/>
        </w:rPr>
        <w:lastRenderedPageBreak/>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0ACE985" w:rsidR="002E0125" w:rsidRDefault="009446EB" w:rsidP="0091715E">
      <w:pPr>
        <w:pStyle w:val="NoSpacing"/>
        <w:jc w:val="both"/>
        <w:rPr>
          <w:noProof/>
        </w:rPr>
      </w:pPr>
      <w:r>
        <w:rPr>
          <w:noProof/>
        </w:rPr>
        <w:t>Keep in mind that, in the above model, the coefficient of "</w:t>
      </w:r>
      <w:r w:rsidRPr="0089698A">
        <w:rPr>
          <w:b/>
          <w:bCs/>
          <w:noProof/>
        </w:rPr>
        <w:t>Difference</w:t>
      </w:r>
      <w:r>
        <w:rPr>
          <w:noProof/>
        </w:rPr>
        <w:t xml:space="preserv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interaction between "</w:t>
      </w:r>
      <w:r w:rsidRPr="0089698A">
        <w:rPr>
          <w:b/>
          <w:bCs/>
          <w:noProof/>
        </w:rPr>
        <w:t>Condition of Interest</w:t>
      </w:r>
      <w:r>
        <w:rPr>
          <w:noProof/>
        </w:rPr>
        <w:t>" and "</w:t>
      </w:r>
      <w:r w:rsidRPr="0089698A">
        <w:rPr>
          <w:b/>
          <w:bCs/>
          <w:noProof/>
        </w:rPr>
        <w:t>Difference</w:t>
      </w:r>
      <w:r>
        <w:rPr>
          <w:noProof/>
        </w:rPr>
        <w:t xml:space="preserve">" in our model. </w:t>
      </w:r>
      <w:r w:rsidR="005020AA">
        <w:rPr>
          <w:noProof/>
        </w:rPr>
        <w:t>We thus add an interaction between “</w:t>
      </w:r>
      <w:r w:rsidR="005020AA" w:rsidRPr="0089698A">
        <w:rPr>
          <w:b/>
          <w:bCs/>
          <w:noProof/>
        </w:rPr>
        <w:t>Condition</w:t>
      </w:r>
      <w:r w:rsidR="0089698A">
        <w:rPr>
          <w:b/>
          <w:bCs/>
          <w:noProof/>
        </w:rPr>
        <w:t xml:space="preserve"> </w:t>
      </w:r>
      <w:r w:rsidR="005020AA" w:rsidRPr="0089698A">
        <w:rPr>
          <w:b/>
          <w:bCs/>
          <w:noProof/>
        </w:rPr>
        <w:t>Of</w:t>
      </w:r>
      <w:r w:rsidR="0089698A">
        <w:rPr>
          <w:b/>
          <w:bCs/>
          <w:noProof/>
        </w:rPr>
        <w:t xml:space="preserve"> </w:t>
      </w:r>
      <w:r w:rsidR="005020AA" w:rsidRPr="0089698A">
        <w:rPr>
          <w:b/>
          <w:bCs/>
          <w:noProof/>
        </w:rPr>
        <w:t>Interest</w:t>
      </w:r>
      <w:r w:rsidR="005020AA">
        <w:rPr>
          <w:noProof/>
        </w:rPr>
        <w:t>” and “</w:t>
      </w:r>
      <w:r w:rsidR="002E0125" w:rsidRPr="0089698A">
        <w:rPr>
          <w:b/>
          <w:bCs/>
          <w:noProof/>
        </w:rPr>
        <w:t>Difference</w:t>
      </w:r>
      <w:r w:rsidR="002E0125">
        <w:rPr>
          <w:noProof/>
        </w:rPr>
        <w:t>”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23D2868" w14:textId="4674BE3B" w:rsidR="00DF13AC"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w:t>
      </w:r>
      <w:r w:rsidR="007D3B6E">
        <w:rPr>
          <w:noProof/>
        </w:rPr>
        <w:t xml:space="preserve">in R </w:t>
      </w:r>
      <w:r>
        <w:rPr>
          <w:noProof/>
        </w:rPr>
        <w:t>for studies with a high count of subjects and</w:t>
      </w:r>
      <w:r w:rsidR="00F63588">
        <w:rPr>
          <w:noProof/>
        </w:rPr>
        <w:t>/</w:t>
      </w:r>
      <w:r>
        <w:rPr>
          <w:noProof/>
        </w:rPr>
        <w:t>or trials;</w:t>
      </w:r>
      <w:r w:rsidR="007D3B6E">
        <w:rPr>
          <w:noProof/>
        </w:rPr>
        <w:t xml:space="preserve"> a much faster Julia implementation can be found under  </w:t>
      </w:r>
      <w:hyperlink r:id="rId12" w:history="1">
        <w:r w:rsidR="007D3B6E">
          <w:rPr>
            <w:rStyle w:val="Hyperlink"/>
          </w:rPr>
          <w:t>https://github.com/b-jorges/Power-Analyses-Psychophysics</w:t>
        </w:r>
      </w:hyperlink>
      <w:r>
        <w:rPr>
          <w:noProof/>
        </w:rPr>
        <w:t>),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w:t>
      </w:r>
      <w:r w:rsidR="009E50EB">
        <w:rPr>
          <w:noProof/>
        </w:rPr>
        <w:t xml:space="preserve"> </w:t>
      </w:r>
      <w:r w:rsidR="009E50EB">
        <w:rPr>
          <w:noProof/>
        </w:rPr>
        <w:fldChar w:fldCharType="begin"/>
      </w:r>
      <w:r w:rsidR="009E50EB">
        <w:rPr>
          <w:noProof/>
        </w:rPr>
        <w:instrText xml:space="preserve"> REF _Ref37198802 \h </w:instrText>
      </w:r>
      <w:r w:rsidR="009E50EB">
        <w:rPr>
          <w:noProof/>
        </w:rPr>
      </w:r>
      <w:r w:rsidR="009E50EB">
        <w:rPr>
          <w:noProof/>
        </w:rPr>
        <w:fldChar w:fldCharType="separate"/>
      </w:r>
      <w:r w:rsidR="009E50EB">
        <w:t xml:space="preserve">Figure </w:t>
      </w:r>
      <w:r w:rsidR="009E50EB">
        <w:rPr>
          <w:noProof/>
        </w:rPr>
        <w:t>3</w:t>
      </w:r>
      <w:r w:rsidR="009E50EB">
        <w:rPr>
          <w:noProof/>
        </w:rPr>
        <w:fldChar w:fldCharType="end"/>
      </w:r>
      <w:r w:rsidR="007D0ECC">
        <w:rPr>
          <w:noProof/>
        </w:rPr>
        <w:t>.</w:t>
      </w:r>
    </w:p>
    <w:p w14:paraId="6142EC8E" w14:textId="17713DD4" w:rsidR="00656C7B" w:rsidRDefault="00656C7B" w:rsidP="0091715E">
      <w:pPr>
        <w:pStyle w:val="Heading1"/>
        <w:jc w:val="both"/>
        <w:rPr>
          <w:noProof/>
        </w:rPr>
      </w:pPr>
      <w:r>
        <w:rPr>
          <w:noProof/>
        </w:rPr>
        <w:lastRenderedPageBreak/>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4B685711" w:rsidR="00A126B0" w:rsidRDefault="00A126B0" w:rsidP="0091715E">
      <w:pPr>
        <w:pStyle w:val="NoSpacing"/>
        <w:jc w:val="both"/>
        <w:rPr>
          <w:noProof/>
        </w:rPr>
      </w:pPr>
    </w:p>
    <w:p w14:paraId="7CE0F506" w14:textId="77777777" w:rsidR="00A126B0" w:rsidRDefault="00A126B0" w:rsidP="0091715E">
      <w:pPr>
        <w:pStyle w:val="NoSpacing"/>
        <w:jc w:val="both"/>
        <w:rPr>
          <w:noProof/>
        </w:rPr>
      </w:pPr>
    </w:p>
    <w:sectPr w:rsidR="00A12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44D85"/>
    <w:rsid w:val="00055B22"/>
    <w:rsid w:val="0006511D"/>
    <w:rsid w:val="00091269"/>
    <w:rsid w:val="000A0A4C"/>
    <w:rsid w:val="000A2575"/>
    <w:rsid w:val="000A60D3"/>
    <w:rsid w:val="000A74F9"/>
    <w:rsid w:val="000C1191"/>
    <w:rsid w:val="000C5326"/>
    <w:rsid w:val="000D0776"/>
    <w:rsid w:val="000E221D"/>
    <w:rsid w:val="000F0EBA"/>
    <w:rsid w:val="00102607"/>
    <w:rsid w:val="001059AD"/>
    <w:rsid w:val="0015249C"/>
    <w:rsid w:val="00164B0B"/>
    <w:rsid w:val="00167063"/>
    <w:rsid w:val="00173447"/>
    <w:rsid w:val="001A02F7"/>
    <w:rsid w:val="001A0A4D"/>
    <w:rsid w:val="001A56FB"/>
    <w:rsid w:val="001C1490"/>
    <w:rsid w:val="00232D4A"/>
    <w:rsid w:val="00232DEC"/>
    <w:rsid w:val="002505AC"/>
    <w:rsid w:val="00277FC4"/>
    <w:rsid w:val="00282FEE"/>
    <w:rsid w:val="00287858"/>
    <w:rsid w:val="002A0D12"/>
    <w:rsid w:val="002C4F5B"/>
    <w:rsid w:val="002D2481"/>
    <w:rsid w:val="002E0125"/>
    <w:rsid w:val="002F28ED"/>
    <w:rsid w:val="00356920"/>
    <w:rsid w:val="00395CE5"/>
    <w:rsid w:val="00423EC7"/>
    <w:rsid w:val="004260CF"/>
    <w:rsid w:val="004330F3"/>
    <w:rsid w:val="00457411"/>
    <w:rsid w:val="00463638"/>
    <w:rsid w:val="00470A72"/>
    <w:rsid w:val="004D60B0"/>
    <w:rsid w:val="004E11D5"/>
    <w:rsid w:val="004E1C1C"/>
    <w:rsid w:val="004F2F02"/>
    <w:rsid w:val="005020AA"/>
    <w:rsid w:val="005042B4"/>
    <w:rsid w:val="00532A08"/>
    <w:rsid w:val="0053634C"/>
    <w:rsid w:val="005405D2"/>
    <w:rsid w:val="00542307"/>
    <w:rsid w:val="00566282"/>
    <w:rsid w:val="00566DD9"/>
    <w:rsid w:val="00573C02"/>
    <w:rsid w:val="00583554"/>
    <w:rsid w:val="00586BEF"/>
    <w:rsid w:val="006158D2"/>
    <w:rsid w:val="00652EB8"/>
    <w:rsid w:val="00655902"/>
    <w:rsid w:val="00656C7B"/>
    <w:rsid w:val="006632B6"/>
    <w:rsid w:val="00665BD9"/>
    <w:rsid w:val="006941F6"/>
    <w:rsid w:val="006B6DB3"/>
    <w:rsid w:val="006C78E0"/>
    <w:rsid w:val="006F47BD"/>
    <w:rsid w:val="006F4DEE"/>
    <w:rsid w:val="0070207D"/>
    <w:rsid w:val="00730F74"/>
    <w:rsid w:val="00775ACF"/>
    <w:rsid w:val="007B1C23"/>
    <w:rsid w:val="007C2A70"/>
    <w:rsid w:val="007C3868"/>
    <w:rsid w:val="007D0ECC"/>
    <w:rsid w:val="007D3B6E"/>
    <w:rsid w:val="007E4B36"/>
    <w:rsid w:val="007F5F9D"/>
    <w:rsid w:val="00805342"/>
    <w:rsid w:val="0081026C"/>
    <w:rsid w:val="00810B39"/>
    <w:rsid w:val="00856393"/>
    <w:rsid w:val="008763B0"/>
    <w:rsid w:val="0089698A"/>
    <w:rsid w:val="008D255B"/>
    <w:rsid w:val="008F5E3E"/>
    <w:rsid w:val="0090370D"/>
    <w:rsid w:val="00904C9F"/>
    <w:rsid w:val="0091715E"/>
    <w:rsid w:val="00927C15"/>
    <w:rsid w:val="00937381"/>
    <w:rsid w:val="009446EB"/>
    <w:rsid w:val="00961CC3"/>
    <w:rsid w:val="0096434E"/>
    <w:rsid w:val="009649D2"/>
    <w:rsid w:val="00982C4B"/>
    <w:rsid w:val="009E50EB"/>
    <w:rsid w:val="009E6301"/>
    <w:rsid w:val="009F1770"/>
    <w:rsid w:val="009F74D6"/>
    <w:rsid w:val="00A03271"/>
    <w:rsid w:val="00A126B0"/>
    <w:rsid w:val="00A32396"/>
    <w:rsid w:val="00A57A97"/>
    <w:rsid w:val="00A734B7"/>
    <w:rsid w:val="00A80BC4"/>
    <w:rsid w:val="00A817BA"/>
    <w:rsid w:val="00AD3525"/>
    <w:rsid w:val="00B038E2"/>
    <w:rsid w:val="00B14E59"/>
    <w:rsid w:val="00B36D2B"/>
    <w:rsid w:val="00B4174F"/>
    <w:rsid w:val="00B64CE4"/>
    <w:rsid w:val="00B658E6"/>
    <w:rsid w:val="00B926E9"/>
    <w:rsid w:val="00B97FA6"/>
    <w:rsid w:val="00BA3C0B"/>
    <w:rsid w:val="00BC58E0"/>
    <w:rsid w:val="00BF2016"/>
    <w:rsid w:val="00C073E4"/>
    <w:rsid w:val="00C2020E"/>
    <w:rsid w:val="00C33157"/>
    <w:rsid w:val="00C36916"/>
    <w:rsid w:val="00C40199"/>
    <w:rsid w:val="00C50134"/>
    <w:rsid w:val="00C50B02"/>
    <w:rsid w:val="00C54862"/>
    <w:rsid w:val="00C60A49"/>
    <w:rsid w:val="00C74EC2"/>
    <w:rsid w:val="00C84673"/>
    <w:rsid w:val="00CB20C6"/>
    <w:rsid w:val="00CC4D9C"/>
    <w:rsid w:val="00CD6C80"/>
    <w:rsid w:val="00CF05FC"/>
    <w:rsid w:val="00CF58CE"/>
    <w:rsid w:val="00D31892"/>
    <w:rsid w:val="00D41092"/>
    <w:rsid w:val="00D711EA"/>
    <w:rsid w:val="00D87BE9"/>
    <w:rsid w:val="00DA70CE"/>
    <w:rsid w:val="00DD572D"/>
    <w:rsid w:val="00DE5B29"/>
    <w:rsid w:val="00DF0FA4"/>
    <w:rsid w:val="00DF13AC"/>
    <w:rsid w:val="00E031D9"/>
    <w:rsid w:val="00E233D6"/>
    <w:rsid w:val="00EC353E"/>
    <w:rsid w:val="00ED4841"/>
    <w:rsid w:val="00EE2ABF"/>
    <w:rsid w:val="00EF7C3D"/>
    <w:rsid w:val="00F20BB5"/>
    <w:rsid w:val="00F359ED"/>
    <w:rsid w:val="00F63588"/>
    <w:rsid w:val="00F64C22"/>
    <w:rsid w:val="00F65B6D"/>
    <w:rsid w:val="00F85CB7"/>
    <w:rsid w:val="00FB6516"/>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 w:type="character" w:styleId="Hyperlink">
    <w:name w:val="Hyperlink"/>
    <w:basedOn w:val="DefaultParagraphFont"/>
    <w:uiPriority w:val="99"/>
    <w:semiHidden/>
    <w:unhideWhenUsed/>
    <w:rsid w:val="007D3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jorges/Power-Analyses-Psychophy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F5BB-3D75-46B7-892D-D670BD0B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9</Pages>
  <Words>24123</Words>
  <Characters>137504</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135</cp:revision>
  <dcterms:created xsi:type="dcterms:W3CDTF">2020-04-06T22:30:00Z</dcterms:created>
  <dcterms:modified xsi:type="dcterms:W3CDTF">2020-04-12T01:48:00Z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