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Heading1"/>
        <w:rPr>
          <w:lang w:val="en-US"/>
        </w:rPr>
      </w:pPr>
      <w:r>
        <w:rPr>
          <w:lang w:val="en-US"/>
        </w:rPr>
        <w:t>An upper bound for the Standard Deviation of a Strong Earth Gravity Prior</w:t>
      </w:r>
    </w:p>
    <w:p w14:paraId="40504E6E" w14:textId="7629226C" w:rsidR="00E32BF5" w:rsidRDefault="00E32BF5" w:rsidP="00E32BF5">
      <w:pPr>
        <w:pStyle w:val="Heading1"/>
        <w:rPr>
          <w:lang w:val="en-US"/>
        </w:rPr>
      </w:pPr>
      <w:r w:rsidRPr="00E32BF5">
        <w:rPr>
          <w:lang w:val="en-US"/>
        </w:rPr>
        <w:t>Abstract</w:t>
      </w:r>
    </w:p>
    <w:p w14:paraId="63F1F076" w14:textId="1BC0B944"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to determine the standard deviation of the Strong Earth Gravity Prior. To this end, we identify different sources of sensory and motor variability reflected in timing errors about gravitational motio</w:t>
      </w:r>
      <w:r>
        <w:t>n</w:t>
      </w:r>
      <w:r w:rsidR="001977EA">
        <w:t>. We then model</w:t>
      </w:r>
      <w:r w:rsidR="000A5B70">
        <w:t xml:space="preserve"> timing responses based on quantitative assumptions about these sensory and motor errors for a range of standard deviations of the earth gravity prior, and find that</w:t>
      </w:r>
      <w:r>
        <w:t>,</w:t>
      </w:r>
      <w:r w:rsidR="000A5B70">
        <w:t xml:space="preserve"> </w:t>
      </w:r>
      <w:r>
        <w:t>for a prior with a mean of 9.81 m/s², a sta</w:t>
      </w:r>
      <w:bookmarkStart w:id="0" w:name="_GoBack"/>
      <w:bookmarkEnd w:id="0"/>
      <w:r>
        <w:t xml:space="preserve">ndard deviation of 2 m/s² </w:t>
      </w:r>
      <w:r w:rsidR="000A5B70">
        <w:t>make</w:t>
      </w:r>
      <w:r>
        <w:t>s</w:t>
      </w:r>
      <w:r w:rsidR="000A5B70">
        <w:t xml:space="preserve"> for the best fit. This value is likely to represent an upper bound</w:t>
      </w:r>
      <w:r w:rsidR="0054296B">
        <w:t>, as there are strong theoretical reasons to believe that the standard deviation of the earth gravity prior is lower than the value we found.</w:t>
      </w:r>
    </w:p>
    <w:p w14:paraId="4B9018CE" w14:textId="72146C07" w:rsidR="00EF1EFA" w:rsidRDefault="00EF1EFA" w:rsidP="003A567D">
      <w:pPr>
        <w:jc w:val="both"/>
      </w:pPr>
    </w:p>
    <w:p w14:paraId="1481368A" w14:textId="7021C5FC" w:rsidR="00EF1EFA" w:rsidRDefault="00EF1EFA" w:rsidP="003A567D">
      <w:pPr>
        <w:jc w:val="both"/>
      </w:pPr>
      <w:r>
        <w:t xml:space="preserve">IDEA STUFFS: </w:t>
      </w:r>
    </w:p>
    <w:p w14:paraId="1EC79DE0" w14:textId="5B200829" w:rsidR="00EF1EFA" w:rsidRDefault="00EF1EFA" w:rsidP="00EF1EFA">
      <w:pPr>
        <w:pStyle w:val="ListParagraph"/>
        <w:numPr>
          <w:ilvl w:val="0"/>
          <w:numId w:val="1"/>
        </w:numPr>
        <w:jc w:val="both"/>
      </w:pPr>
      <w:r>
        <w:t>REPRODUCTION TASK TO MEASURE VELOCITY ESTIMATE</w:t>
      </w:r>
    </w:p>
    <w:p w14:paraId="7D241049" w14:textId="7657F5E0" w:rsidR="00EF1EFA" w:rsidRPr="00EF1EFA" w:rsidRDefault="00EF1EFA" w:rsidP="00EF1EFA">
      <w:pPr>
        <w:pStyle w:val="ListParagraph"/>
        <w:numPr>
          <w:ilvl w:val="0"/>
          <w:numId w:val="1"/>
        </w:numPr>
        <w:jc w:val="both"/>
      </w:pPr>
      <w:r w:rsidRPr="00EF1EFA">
        <w:t>INCLUDE AUBERT-FLEISCHL IN MODELLING OF</w:t>
      </w:r>
      <w:r>
        <w:t xml:space="preserve"> MEAN</w:t>
      </w:r>
    </w:p>
    <w:p w14:paraId="36B62A69" w14:textId="77777777" w:rsidR="00EF1EFA" w:rsidRPr="00EF1EFA" w:rsidRDefault="00EF1EFA" w:rsidP="003A567D">
      <w:pPr>
        <w:jc w:val="both"/>
      </w:pPr>
    </w:p>
    <w:p w14:paraId="67CDC4AE" w14:textId="0625D937" w:rsidR="00E32BF5" w:rsidRPr="00E32BF5" w:rsidRDefault="00E32BF5" w:rsidP="00E32BF5">
      <w:pPr>
        <w:pStyle w:val="Heading1"/>
        <w:rPr>
          <w:lang w:val="en-US"/>
        </w:rPr>
      </w:pPr>
      <w:r w:rsidRPr="00E32BF5">
        <w:rPr>
          <w:lang w:val="en-US"/>
        </w:rPr>
        <w:t>Introduction</w:t>
      </w:r>
    </w:p>
    <w:p w14:paraId="7DD42585" w14:textId="106E9996"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 xml:space="preserve">that the mean of this strong gravity prior is roughly at 1g (9.81 m/s²), but to fully characterize it, we also need to indicate </w:t>
      </w:r>
      <w:r w:rsidR="0053648B">
        <w:t xml:space="preserve">its </w:t>
      </w:r>
      <w:r w:rsidR="009A3299">
        <w:t>standard deviation.</w:t>
      </w:r>
      <w:r w:rsidR="00153916">
        <w:t xml:space="preserve"> </w:t>
      </w:r>
      <w:r w:rsidR="00402308">
        <w:t>The present paper sets out to determine this value by simulating responses based on assumptions about the different sources of noise relevant to the task at hand.</w:t>
      </w:r>
    </w:p>
    <w:p w14:paraId="1A65CF6C" w14:textId="2D1B1A10"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proofErr w:type="gramStart"/>
      <w:r>
        <w:t>low level</w:t>
      </w:r>
      <w:proofErr w:type="gramEnd"/>
      <w:r>
        <w:t xml:space="preserve"> sensory signals are ambiguous with respect to the state of the world:</w:t>
      </w:r>
      <w:r w:rsidR="00BD3838">
        <w:t xml:space="preserve"> </w:t>
      </w:r>
      <w:r>
        <w:t xml:space="preserve">for example, </w:t>
      </w:r>
      <w:r w:rsidR="00BD3838">
        <w:t xml:space="preserve">the same retinal velocities can correspond to vastly different physical velocities, </w:t>
      </w:r>
      <w:r w:rsidR="00BD3838">
        <w:lastRenderedPageBreak/>
        <w:t>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w:t>
      </w:r>
      <w:proofErr w:type="spellStart"/>
      <w:r>
        <w:t>its</w:t>
      </w:r>
      <w:proofErr w:type="spellEnd"/>
      <w:r>
        <w:t xml:space="preserve">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103D7A">
        <w:tc>
          <w:tcPr>
            <w:tcW w:w="805" w:type="dxa"/>
            <w:vAlign w:val="center"/>
          </w:tcPr>
          <w:p w14:paraId="4ED31CAE" w14:textId="77777777" w:rsidR="007774C7" w:rsidRPr="00B64F2D" w:rsidRDefault="007774C7" w:rsidP="00103D7A">
            <w:pPr>
              <w:jc w:val="center"/>
            </w:pPr>
            <w:r w:rsidRPr="00B64F2D">
              <w:t>(1)</w:t>
            </w:r>
          </w:p>
        </w:tc>
        <w:tc>
          <w:tcPr>
            <w:tcW w:w="8211" w:type="dxa"/>
          </w:tcPr>
          <w:p w14:paraId="14000CC4" w14:textId="43BDDCE3" w:rsidR="007774C7" w:rsidRPr="00B64F2D" w:rsidRDefault="007774C7" w:rsidP="00103D7A"/>
        </w:tc>
      </w:tr>
    </w:tbl>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103D7A">
        <w:trPr>
          <w:trHeight w:val="376"/>
        </w:trPr>
        <w:tc>
          <w:tcPr>
            <w:tcW w:w="8314" w:type="dxa"/>
            <w:shd w:val="clear" w:color="auto" w:fill="FFFFFF" w:themeFill="background1"/>
            <w:vAlign w:val="center"/>
          </w:tcPr>
          <w:p w14:paraId="4C8AF284" w14:textId="6D9F9A61" w:rsidR="00FA5BF0" w:rsidRPr="00277A48" w:rsidRDefault="00FA5BF0" w:rsidP="00103D7A">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103D7A">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w:t>
      </w:r>
      <w:r w:rsidR="00B117EC">
        <w:t>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3D24B7EB" w:rsidR="00864209" w:rsidRPr="00E23038" w:rsidRDefault="00E23038" w:rsidP="00E23038">
      <w:pPr>
        <w:pStyle w:val="Caption"/>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F515FC">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25E24B2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lastRenderedPageBreak/>
        <w:t>Methods</w:t>
      </w:r>
    </w:p>
    <w:p w14:paraId="2DF052F7" w14:textId="77777777" w:rsidR="008D72BE" w:rsidRDefault="008D72BE" w:rsidP="008D72BE">
      <w:pPr>
        <w:pStyle w:val="Heading2"/>
        <w:rPr>
          <w:lang w:val="en-US"/>
        </w:rPr>
      </w:pPr>
      <w:r>
        <w:rPr>
          <w:lang w:val="en-US"/>
        </w:rPr>
        <w:t>Participants</w:t>
      </w:r>
    </w:p>
    <w:p w14:paraId="77AB9D00" w14:textId="1685682A"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w:t>
      </w:r>
      <w:r w:rsidR="00B117EC">
        <w:t> </w:t>
      </w:r>
      <w:r w:rsidRPr="00C6356F">
        <w:t>=</w:t>
      </w:r>
      <w:r w:rsidR="00B117EC">
        <w:t> </w:t>
      </w:r>
      <w:r>
        <w:t>5</w:t>
      </w:r>
      <w:r w:rsidRPr="00C6356F">
        <w:t xml:space="preserve">) </w:t>
      </w:r>
      <w:r w:rsidR="00B117EC">
        <w:t>self-identified as women</w:t>
      </w:r>
      <w:r w:rsidRPr="00C6356F">
        <w:t>. We did not test their explicit knowledge of physics, as previous studies suggest that explicit knowledge about gravity has no effect on performance in related tasks</w:t>
      </w:r>
      <w:r w:rsidR="006D354B">
        <w:t xml:space="preserve"> </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751DB47F"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w:t>
      </w:r>
      <w:proofErr w:type="gramStart"/>
      <w:r w:rsidRPr="00DA4DDD">
        <w:t>g,-</w:t>
      </w:r>
      <w:proofErr w:type="gramEnd"/>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w:t>
      </w:r>
      <w:proofErr w:type="spellStart"/>
      <w:r w:rsidRPr="00DA4DDD">
        <w:t>fronto</w:t>
      </w:r>
      <w:proofErr w:type="spellEnd"/>
      <w:r w:rsidRPr="00DA4DDD">
        <w:t xml:space="preserve">-parallel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7"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D7504C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lastRenderedPageBreak/>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0FA269A5"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5A747A84" w:rsidR="002F6546" w:rsidRPr="00820822" w:rsidRDefault="002F6546"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515FC">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2F6546" w:rsidRPr="00820822" w:rsidRDefault="002F6546"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brM8W3wAAAAg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5A747A84" w:rsidR="002F6546" w:rsidRPr="00820822" w:rsidRDefault="002F6546"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515FC">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2F6546" w:rsidRPr="00820822" w:rsidRDefault="002F6546" w:rsidP="008D72BE">
                        <w:pPr>
                          <w:pStyle w:val="Caption"/>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xml:space="preserve">. The stimuli were programmed in </w:t>
      </w:r>
      <w:proofErr w:type="spellStart"/>
      <w:r w:rsidR="008D72BE">
        <w:t>PsychoPy</w:t>
      </w:r>
      <w:proofErr w:type="spellEnd"/>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0"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619D4439" w14:textId="694F31B8" w:rsidR="004A0054" w:rsidRDefault="004A0054" w:rsidP="00FD302A">
      <w:pPr>
        <w:jc w:val="both"/>
      </w:pPr>
    </w:p>
    <w:p w14:paraId="3635FFA9" w14:textId="794D9839" w:rsidR="004D3366" w:rsidRPr="00FB336F" w:rsidRDefault="004A0054" w:rsidP="00FB336F">
      <w:pPr>
        <w:pStyle w:val="Heading1"/>
        <w:rPr>
          <w:lang w:val="en-US"/>
        </w:rPr>
      </w:pPr>
      <w:r w:rsidRPr="004A0054">
        <w:rPr>
          <w:lang w:val="en-US"/>
        </w:rPr>
        <w:t>Results</w:t>
      </w:r>
    </w:p>
    <w:p w14:paraId="38ABB8CA" w14:textId="0D9692FB" w:rsidR="00A05C6A"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B117E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B117EC">
        <w:fldChar w:fldCharType="separate"/>
      </w:r>
      <w:r w:rsidR="00B117EC" w:rsidRPr="0031495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t>
      </w:r>
      <w:r w:rsidR="00B117EC">
        <w:t xml:space="preserve">We found that timing results from the Short Occlusion condition did not match 1g predictions as well as for the Long Occlusion condition; rather, they consistently occurred too late with regards to these predictions. A potential reason we identified was that, in this condition, subjects were likely to execute a saccade in the moment they also had to press the button to time their response, which may have delayed their response. </w:t>
      </w:r>
      <w:r w:rsidR="00A05C6A">
        <w:t>We</w:t>
      </w:r>
      <w:r w:rsidR="00B117EC">
        <w:t xml:space="preserve"> r</w:t>
      </w:r>
      <w:r w:rsidR="00A05C6A">
        <w:t>eport mean timing errors as well their standard deviations</w:t>
      </w:r>
      <w:r w:rsidR="00D90250">
        <w:t xml:space="preserve"> for the 0.7-1.3g trials in the Long Occlusion condition.</w:t>
      </w:r>
    </w:p>
    <w:p w14:paraId="6C2A60BB" w14:textId="77777777" w:rsidR="00F515FC" w:rsidRDefault="00982F21" w:rsidP="00F515FC">
      <w:pPr>
        <w:keepNext/>
        <w:jc w:val="both"/>
      </w:pPr>
      <w:r>
        <w:rPr>
          <w:noProof/>
          <w:lang w:val="de-DE"/>
        </w:rPr>
        <w:drawing>
          <wp:inline distT="0" distB="0" distL="0" distR="0" wp14:anchorId="5EBB5114" wp14:editId="6947DB6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73D128" w14:textId="115883F6" w:rsidR="0031495E" w:rsidRPr="00B377BA" w:rsidRDefault="00F515FC" w:rsidP="00B377BA">
      <w:pPr>
        <w:pStyle w:val="Caption"/>
        <w:jc w:val="both"/>
        <w:rPr>
          <w:lang w:val="en-US"/>
        </w:rPr>
      </w:pPr>
      <w:bookmarkStart w:id="1"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Pr="00F515FC">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r>
        <w:rPr>
          <w:lang w:val="en-US"/>
        </w:rPr>
        <w:t>.</w:t>
      </w:r>
      <w:bookmarkEnd w:id="1"/>
      <w:r w:rsidRPr="00B377BA">
        <w:rPr>
          <w:lang w:val="en-US"/>
        </w:rPr>
        <w:t xml:space="preserve"> </w:t>
      </w:r>
    </w:p>
    <w:p w14:paraId="02A5EBA2" w14:textId="77777777" w:rsidR="00F515FC" w:rsidRDefault="00E470D6" w:rsidP="00FD302A">
      <w:pPr>
        <w:jc w:val="both"/>
      </w:pPr>
      <w:r w:rsidRPr="00E470D6">
        <w:lastRenderedPageBreak/>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r>
            <w:rPr>
              <w:rFonts w:ascii="Cambria Math" w:hAnsi="Cambria Math"/>
            </w:rPr>
            <m:t>+</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131756DA"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absolute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B13CEC" w:rsidRPr="00F515FC">
        <w:t xml:space="preserve">Figure </w:t>
      </w:r>
      <w:r w:rsidR="00B13CEC" w:rsidRPr="00F515FC">
        <w:rPr>
          <w:noProof/>
        </w:rPr>
        <w:t>3</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4F703DC3" w:rsidR="00F515FC"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 xml:space="preserve">Absolute </m:t>
          </m:r>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m:t>
          </m:r>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DC4107" w14:paraId="2A469646" w14:textId="77777777" w:rsidTr="00DC4107">
        <w:tc>
          <w:tcPr>
            <w:tcW w:w="972" w:type="dxa"/>
          </w:tcPr>
          <w:p w14:paraId="494F3E2B" w14:textId="70A64617" w:rsidR="00DC4107" w:rsidRPr="00744972" w:rsidRDefault="002F6546"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bl>
    <w:p w14:paraId="7BA640E4" w14:textId="38CAA7B5" w:rsidR="00B377BA" w:rsidRPr="00B377BA" w:rsidRDefault="00B377BA">
      <w:pPr>
        <w:pStyle w:val="Caption"/>
        <w:rPr>
          <w:lang w:val="en-US"/>
        </w:rPr>
      </w:pPr>
      <w:r w:rsidRPr="00B377BA">
        <w:rPr>
          <w:lang w:val="en-US"/>
        </w:rPr>
        <w:t xml:space="preserve">Table </w:t>
      </w:r>
      <w:r>
        <w:fldChar w:fldCharType="begin"/>
      </w:r>
      <w:r w:rsidRPr="00B377BA">
        <w:rPr>
          <w:lang w:val="en-US"/>
        </w:rPr>
        <w:instrText xml:space="preserve"> SEQ Table \* ARABIC </w:instrText>
      </w:r>
      <w:r>
        <w:fldChar w:fldCharType="separate"/>
      </w:r>
      <w:r>
        <w:rPr>
          <w:noProof/>
          <w:lang w:val="en-US"/>
        </w:rPr>
        <w:t>2</w:t>
      </w:r>
      <w: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w:lastRenderedPageBreak/>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Heading1"/>
        <w:rPr>
          <w:lang w:val="en-US"/>
        </w:rPr>
      </w:pPr>
    </w:p>
    <w:p w14:paraId="35A7B314" w14:textId="1304DE70" w:rsidR="00FD302A" w:rsidRDefault="00FD302A" w:rsidP="004A0054">
      <w:pPr>
        <w:pStyle w:val="Heading1"/>
        <w:rPr>
          <w:lang w:val="en-US"/>
        </w:rPr>
      </w:pPr>
      <w:r w:rsidRPr="00FD302A">
        <w:rPr>
          <w:lang w:val="en-US"/>
        </w:rPr>
        <w:t>Modelling</w:t>
      </w:r>
    </w:p>
    <w:p w14:paraId="6E794359" w14:textId="3D1999E7" w:rsidR="004A0054" w:rsidRPr="004A0054" w:rsidRDefault="004A0054" w:rsidP="004A0054">
      <w:pPr>
        <w:spacing w:after="0"/>
        <w:rPr>
          <w:rStyle w:val="Heading2Char"/>
          <w:lang w:val="en-US"/>
        </w:rPr>
      </w:pPr>
    </w:p>
    <w:p w14:paraId="1A321467" w14:textId="218336D7" w:rsidR="004A0054" w:rsidRPr="004A0054" w:rsidRDefault="004A0054" w:rsidP="004A0054">
      <w:pPr>
        <w:spacing w:after="0"/>
        <w:rPr>
          <w:rStyle w:val="Heading2Char"/>
          <w:lang w:val="en-US"/>
        </w:rPr>
      </w:pPr>
      <w:r>
        <w:rPr>
          <w:rStyle w:val="Heading2Char"/>
          <w:lang w:val="en-US"/>
        </w:rPr>
        <w:t>Procedure</w:t>
      </w:r>
    </w:p>
    <w:p w14:paraId="7D8DD46A" w14:textId="1C030229" w:rsidR="0038698B" w:rsidRDefault="00FD302A" w:rsidP="00FD302A">
      <w:r>
        <w:t>As the temporal difference between air drag present and air drag absent</w:t>
      </w:r>
      <w:r w:rsidR="0038698B">
        <w:t xml:space="preserve"> are miniscule for our trajectories, we decided to neglect air drag for these simulations and use the equation for linear</w:t>
      </w:r>
      <w:r w:rsidR="00B650B7">
        <w:t>ly</w:t>
      </w:r>
      <w:r w:rsidR="0038698B">
        <w:t xml:space="preserve"> accelerated motion as an approximation.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38698B" w:rsidRPr="00277A48" w14:paraId="18CD943D" w14:textId="77777777" w:rsidTr="00334100">
        <w:trPr>
          <w:trHeight w:val="376"/>
        </w:trPr>
        <w:tc>
          <w:tcPr>
            <w:tcW w:w="8314" w:type="dxa"/>
            <w:shd w:val="clear" w:color="auto" w:fill="FFFFFF" w:themeFill="background1"/>
            <w:vAlign w:val="center"/>
          </w:tcPr>
          <w:p w14:paraId="451AD1A8" w14:textId="43CA61B7" w:rsidR="0038698B" w:rsidRPr="00277A48" w:rsidRDefault="002F6546" w:rsidP="00334100">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r>
                  <w:rPr>
                    <w:rFonts w:ascii="Cambria Math" w:hAnsi="Cambria Math"/>
                  </w:rPr>
                  <m:t>t</m:t>
                </m:r>
              </m:oMath>
            </m:oMathPara>
          </w:p>
        </w:tc>
        <w:tc>
          <w:tcPr>
            <w:tcW w:w="783" w:type="dxa"/>
            <w:shd w:val="clear" w:color="auto" w:fill="FFFFFF" w:themeFill="background1"/>
            <w:vAlign w:val="center"/>
          </w:tcPr>
          <w:p w14:paraId="30E9EA48" w14:textId="49125877" w:rsidR="0038698B" w:rsidRPr="00277A48" w:rsidRDefault="0038698B" w:rsidP="00334100">
            <w:pPr>
              <w:pStyle w:val="MaterialsandMethodsText"/>
            </w:pPr>
            <w:r w:rsidRPr="00277A48">
              <w:t>[</w:t>
            </w:r>
            <w:r w:rsidR="00FA5BF0">
              <w:t>4</w:t>
            </w:r>
            <w:r w:rsidRPr="00277A48">
              <w:t>]</w:t>
            </w:r>
          </w:p>
        </w:tc>
      </w:tr>
      <w:tr w:rsidR="0038698B" w:rsidRPr="00277A48" w14:paraId="33677187" w14:textId="77777777" w:rsidTr="00334100">
        <w:trPr>
          <w:trHeight w:val="675"/>
        </w:trPr>
        <w:tc>
          <w:tcPr>
            <w:tcW w:w="8314" w:type="dxa"/>
            <w:shd w:val="clear" w:color="auto" w:fill="FFFFFF" w:themeFill="background1"/>
            <w:vAlign w:val="center"/>
          </w:tcPr>
          <w:p w14:paraId="21BCB7F6" w14:textId="77777777" w:rsidR="0038698B" w:rsidRDefault="002F6546" w:rsidP="00334100">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5FEA1D00" w14:textId="163207D8" w:rsidR="0038698B" w:rsidRPr="00277A48" w:rsidRDefault="0038698B" w:rsidP="00334100">
            <w:pPr>
              <w:pStyle w:val="MaterialsandMethodsText"/>
            </w:pPr>
            <w:r w:rsidRPr="00277A48">
              <w:t>[</w:t>
            </w:r>
            <w:r w:rsidR="00FA5BF0">
              <w:t>5</w:t>
            </w:r>
            <w:r w:rsidRPr="00277A48">
              <w:t>]</w:t>
            </w:r>
          </w:p>
        </w:tc>
      </w:tr>
    </w:tbl>
    <w:p w14:paraId="227B0A6E" w14:textId="186D864B" w:rsidR="00FD302A" w:rsidRDefault="0038698B" w:rsidP="0038698B">
      <w:pPr>
        <w:jc w:val="both"/>
      </w:pPr>
      <w:r>
        <w:t>As evidenced by a comparison between equations (1) and (2) and equations (3) and (4), the computational complexity increases significantly if we want to accommodate air drag</w:t>
      </w:r>
      <w:r w:rsidR="00AC189D">
        <w:t xml:space="preserve">, while the gains in </w:t>
      </w:r>
      <w:r>
        <w:t>accuracy</w:t>
      </w:r>
      <w:r w:rsidR="00AC189D">
        <w:t xml:space="preserve"> are margina</w:t>
      </w:r>
      <w:r w:rsidR="00FA5BF0">
        <w:t>l (see below)</w:t>
      </w:r>
      <w:r>
        <w:t>.</w:t>
      </w:r>
    </w:p>
    <w:p w14:paraId="14266157" w14:textId="77777777" w:rsidR="008734D9" w:rsidRDefault="00FD302A" w:rsidP="0038698B">
      <w:pPr>
        <w:jc w:val="both"/>
        <w:rPr>
          <w:rFonts w:eastAsiaTheme="minorEastAsia"/>
        </w:rPr>
      </w:pPr>
      <w:r>
        <w:t>There are two different ways to approach this problem. First, we can model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4C340C72"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2F6546"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4BB15777" w:rsidR="003405B4" w:rsidRPr="00EE6444" w:rsidRDefault="00EE6444" w:rsidP="00EE6444">
      <w:pPr>
        <w:jc w:val="both"/>
        <w:rPr>
          <w:rFonts w:eastAsiaTheme="minorEastAsia"/>
        </w:rPr>
      </w:pPr>
      <w:r>
        <w:rPr>
          <w:rFonts w:eastAsiaTheme="minorEastAsia"/>
        </w:rPr>
        <w:t xml:space="preserve">However, as evident from Equation 5, this would entail 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Pr>
          <w:rFonts w:eastAsiaTheme="minorEastAsia"/>
        </w:rPr>
        <w:t xml:space="preserve">, for which reason we will focus on </w:t>
      </w:r>
      <w:r w:rsidR="00FA5BF0">
        <w:rPr>
          <w:rFonts w:eastAsiaTheme="minorEastAsia"/>
        </w:rPr>
        <w:t>the modelling 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Heading3"/>
      </w:pPr>
      <w:r w:rsidRPr="00FD302A">
        <w:t>Assumptions</w:t>
      </w:r>
    </w:p>
    <w:p w14:paraId="141593B7" w14:textId="77777777" w:rsidR="00FD302A" w:rsidRDefault="00F1488E" w:rsidP="00FD302A">
      <w:r>
        <w:t>Before presenting the results, we outline our assumptions and provide the underlying rationale.</w:t>
      </w:r>
    </w:p>
    <w:p w14:paraId="1AD07D85" w14:textId="323E98AB"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4CD13B5A" w14:textId="77777777" w:rsidR="00FE5C97" w:rsidRDefault="002F6546"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 </w:t>
      </w:r>
      <w:r w:rsidR="00A340F9">
        <w:rPr>
          <w:rFonts w:eastAsiaTheme="minorEastAsia"/>
        </w:rPr>
        <w:t xml:space="preserve">The last observed velocity in y direction serves as mean for the distribution from which we draw the velocity for each trial. Weber fractions for velocity discrimination reported in the literature are about 5 % for </w:t>
      </w:r>
      <w:r w:rsidR="00A431AE">
        <w:rPr>
          <w:rFonts w:eastAsiaTheme="minorEastAsia"/>
        </w:rPr>
        <w:t>motion presented in the fovea.</w:t>
      </w:r>
      <w:r w:rsidR="00F2167B">
        <w:rPr>
          <w:rFonts w:eastAsiaTheme="minorEastAsia"/>
        </w:rPr>
        <w:t xml:space="preserve"> </w:t>
      </w:r>
      <w:r w:rsidR="00A431AE">
        <w:rPr>
          <w:rFonts w:eastAsiaTheme="minorEastAsia"/>
        </w:rPr>
        <w:t xml:space="preserve">This is relevant as lower thresholds have been reported for motion presented in the peripheral vision. </w:t>
      </w:r>
      <w:r w:rsidR="00F2167B">
        <w:rPr>
          <w:rFonts w:eastAsiaTheme="minorEastAsia"/>
        </w:rPr>
        <w:t xml:space="preserve">However, our participants had the added difficulty of having to extract the vertical velocity component from parabolic motion. We estimate that this might double the difficulty, which would correspond to a Weber fraction of 10 %. </w:t>
      </w:r>
      <w:r w:rsidR="00A431AE">
        <w:rPr>
          <w:rFonts w:eastAsiaTheme="minorEastAsia"/>
        </w:rPr>
        <w:t xml:space="preserve">Weber fractions are that difference in stimulus intensity where subjects display a 75 % chance of discrimination.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10 %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0.148.</w:t>
      </w:r>
      <w:r w:rsidR="008A7B56">
        <w:rPr>
          <w:rFonts w:eastAsiaTheme="minorEastAsia"/>
        </w:rPr>
        <w:t xml:space="preserve"> Note that, by using a standardized normal distribution, we assume that Weber fractions are constant across the relevant range of stimulus strengths. </w:t>
      </w:r>
    </w:p>
    <w:p w14:paraId="4B6C06F8" w14:textId="2B3B7FB5"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need to take</w:t>
      </w:r>
      <w:r>
        <w:rPr>
          <w:rFonts w:eastAsiaTheme="minorEastAsia"/>
        </w:rPr>
        <w:t xml:space="preserve"> the Aubert-</w:t>
      </w:r>
      <w:proofErr w:type="spellStart"/>
      <w:r>
        <w:rPr>
          <w:rFonts w:eastAsiaTheme="minorEastAsia"/>
        </w:rPr>
        <w:t>Fleischl</w:t>
      </w:r>
      <w:proofErr w:type="spellEnd"/>
      <w:r>
        <w:rPr>
          <w:rFonts w:eastAsiaTheme="minorEastAsia"/>
        </w:rPr>
        <w:t xml:space="preserve"> phenomenon</w:t>
      </w:r>
      <w:r w:rsidR="001C3968">
        <w:rPr>
          <w:rFonts w:eastAsiaTheme="minorEastAsia"/>
        </w:rPr>
        <w:t xml:space="preserve"> under consideration</w:t>
      </w:r>
      <w:r>
        <w:rPr>
          <w:rFonts w:eastAsiaTheme="minorEastAsia"/>
        </w:rPr>
        <w:t xml:space="preserve">, which </w:t>
      </w:r>
      <w:r w:rsidR="001C3968">
        <w:rPr>
          <w:rFonts w:eastAsiaTheme="minorEastAsia"/>
        </w:rPr>
        <w:t xml:space="preserve">consists in an underestimation of the velocity of a moving target </w:t>
      </w:r>
      <w:r w:rsidR="00751D13">
        <w:rPr>
          <w:rFonts w:eastAsiaTheme="minorEastAsia"/>
        </w:rPr>
        <w:t>during smooth pursuit</w:t>
      </w:r>
      <w:r w:rsidR="00613131">
        <w:rPr>
          <w:rFonts w:eastAsiaTheme="minorEastAsia"/>
        </w:rPr>
        <w:t xml:space="preserve"> </w:t>
      </w:r>
      <w:r w:rsidR="00613131">
        <w:rPr>
          <w:rFonts w:eastAsiaTheme="minorEastAsia"/>
        </w:rPr>
        <w:fldChar w:fldCharType="begin" w:fldLock="1"/>
      </w:r>
      <w:r w:rsidR="00613131">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Gesammt</w:instrText>
      </w:r>
      <w:r w:rsidR="00613131" w:rsidRPr="00613131">
        <w:rPr>
          <w:rFonts w:eastAsiaTheme="minorEastAsia"/>
          <w:lang w:val="de-DE"/>
        </w:rPr>
        <w:instrText>e Physiologie des Menschen und der Thiere","id":"ITEM-4","issue":"1","issued":{"date-parts":[["1887","12"]]},"page":"459-480","publisher":"Springer-Verlag","title":"Die Bewegungsempfindung - Zweite Mittheilung","type":"article-journal","volume":"40"},"uris":["http://www.mendeley.com/documents/?uuid=8909db35-7e47-32e8-998c-20fd4f11db43"]},{"id":"ITEM-5","itemData":{"abstract":"von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Wien","id":"ITEM-5","issue":"3","issued":{"date-parts":[["1882"]]},"page":"7-25","title":"No Title","type":"article-journal"},"uris":["http://www.mendeley.com/documents/?uuid=eaa07795-4081-46d6-994a-4e678a06c13c"]}],"mendeley":{"formattedCitation":"(Aubert,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1990)","previouslyFormattedCitation":"(de Graaf, Wertheim, &amp; Bles, 1991; Spering &amp; Montagnini, 2011; Wertheim &amp; Van Gelder, 1990)"},"properties":{"noteIndex":0},"schema":"https://github.com/citation-style-language/schema/raw/master/csl-citation.json"}</w:instrText>
      </w:r>
      <w:r w:rsidR="00613131">
        <w:rPr>
          <w:rFonts w:eastAsiaTheme="minorEastAsia"/>
        </w:rPr>
        <w:fldChar w:fldCharType="separate"/>
      </w:r>
      <w:r w:rsidR="00613131" w:rsidRPr="00613131">
        <w:rPr>
          <w:rFonts w:eastAsiaTheme="minorEastAsia"/>
          <w:noProof/>
          <w:lang w:val="de-DE"/>
        </w:rPr>
        <w:t>(Aubert, 1887; de Graaf, Wertheim, &amp; Bles, 1991; Fleischl, 1882; Spering &amp; Montagnini, 2011; Wertheim &amp; Van Gelder, 1990)</w:t>
      </w:r>
      <w:r w:rsidR="00613131">
        <w:rPr>
          <w:rFonts w:eastAsiaTheme="minorEastAsia"/>
        </w:rPr>
        <w:fldChar w:fldCharType="end"/>
      </w:r>
      <w:r w:rsidR="00613131" w:rsidRPr="00613131">
        <w:rPr>
          <w:rFonts w:eastAsiaTheme="minorEastAsia"/>
          <w:lang w:val="de-DE"/>
        </w:rPr>
        <w:t>.</w:t>
      </w:r>
      <w:r w:rsidR="00613131">
        <w:rPr>
          <w:rFonts w:eastAsiaTheme="minorEastAsia"/>
          <w:lang w:val="de-DE"/>
        </w:rPr>
        <w:t xml:space="preserve"> </w:t>
      </w:r>
      <w:r w:rsidR="00751D13" w:rsidRPr="00751D13">
        <w:rPr>
          <w:rFonts w:eastAsiaTheme="minorEastAsia"/>
        </w:rPr>
        <w:t>Ho</w:t>
      </w:r>
      <w:r w:rsidR="00751D13">
        <w:rPr>
          <w:rFonts w:eastAsiaTheme="minorEastAsia"/>
        </w:rPr>
        <w:t>wever, we expect this effect to be greatly reduced for gravitational motion, as earth gravity-based predictions should offset biases to some extent.</w:t>
      </w:r>
      <w:r w:rsidR="008E5B63">
        <w:rPr>
          <w:rFonts w:eastAsiaTheme="minorEastAsia"/>
        </w:rPr>
        <w:t xml:space="preserve"> Since we have shown that the accuracy of predictions based on the last presented velocity is satisfactory for the Long Occlusion condition which we model here, we decide not to implement any correction</w:t>
      </w:r>
      <w:r w:rsidR="00FE5C97">
        <w:rPr>
          <w:rFonts w:eastAsiaTheme="minorEastAsia"/>
        </w:rPr>
        <w:t xml:space="preserve"> for this phenomenon</w:t>
      </w:r>
      <w:r w:rsidR="008E5B63">
        <w:rPr>
          <w:rFonts w:eastAsiaTheme="minorEastAsia"/>
        </w:rPr>
        <w:t>.</w:t>
      </w:r>
    </w:p>
    <w:p w14:paraId="0A544604" w14:textId="1C0A6284" w:rsidR="00F2167B" w:rsidRDefault="002F6546"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FA5BF0">
        <w:rPr>
          <w:rFonts w:eastAsiaTheme="minorEastAsia"/>
        </w:rPr>
        <w:t>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FA5BF0">
        <w:rPr>
          <w:rFonts w:eastAsiaTheme="minorEastAsia"/>
        </w:rPr>
        <w:t xml:space="preserve"> carries more weight for </w:t>
      </w:r>
      <w:proofErr w:type="gramStart"/>
      <w:r w:rsidR="00FA5BF0">
        <w:rPr>
          <w:rFonts w:eastAsiaTheme="minorEastAsia"/>
        </w:rPr>
        <w:t>the final result</w:t>
      </w:r>
      <w:proofErr w:type="gramEnd"/>
      <w:r w:rsidR="00FA5BF0">
        <w:rPr>
          <w:rFonts w:eastAsiaTheme="minorEastAsia"/>
        </w:rPr>
        <w:t xml:space="preserve"> of the computation. </w:t>
      </w:r>
      <w:r w:rsidR="00595505">
        <w:rPr>
          <w:rFonts w:eastAsiaTheme="minorEastAsia"/>
        </w:rPr>
        <w:t>In very easy conditions, 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distance, the precision of these estimates is likely lower than reported for the above task. We thus work with a Weber fraction of twice the reported value (10 %), which incidentally is identical to the Weber fractions we use for velocity. The </w:t>
      </w:r>
      <w:r w:rsidR="00282356">
        <w:rPr>
          <w:rFonts w:eastAsiaTheme="minorEastAsia"/>
        </w:rPr>
        <w:t xml:space="preserve">standardized standard deviation </w:t>
      </w:r>
      <w:r w:rsidR="00236BC9">
        <w:rPr>
          <w:rFonts w:eastAsiaTheme="minorEastAsia"/>
        </w:rPr>
        <w:t xml:space="preserve">for this distribution is thus also </w:t>
      </w:r>
      <w:r w:rsidR="00282356">
        <w:rPr>
          <w:rFonts w:eastAsiaTheme="minorEastAsia"/>
        </w:rPr>
        <w:t>of 0.</w:t>
      </w:r>
      <w:r w:rsidR="00236BC9">
        <w:rPr>
          <w:rFonts w:eastAsiaTheme="minorEastAsia"/>
        </w:rPr>
        <w:t>148</w:t>
      </w:r>
      <w:r w:rsidR="00282356">
        <w:rPr>
          <w:rFonts w:eastAsiaTheme="minorEastAsia"/>
        </w:rPr>
        <w:t>.</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w:t>
      </w:r>
      <w:proofErr w:type="gramStart"/>
      <w:r>
        <w:rPr>
          <w:rFonts w:eastAsiaTheme="minorEastAsia"/>
        </w:rPr>
        <w:t>–  </w:t>
      </w:r>
      <w:r w:rsidR="004D128E">
        <w:rPr>
          <w:rFonts w:eastAsiaTheme="minorEastAsia"/>
        </w:rPr>
        <w:t>The</w:t>
      </w:r>
      <w:proofErr w:type="gramEnd"/>
      <w:r w:rsidR="004D128E">
        <w:rPr>
          <w:rFonts w:eastAsiaTheme="minorEastAsia"/>
        </w:rPr>
        <w:t xml:space="preserve"> response time t is measured directly in our task, both in mean and variability.</w:t>
      </w:r>
    </w:p>
    <w:p w14:paraId="2BC6A025" w14:textId="77777777" w:rsidR="008734D9" w:rsidRDefault="008734D9" w:rsidP="00F2167B">
      <w:pPr>
        <w:jc w:val="both"/>
        <w:rPr>
          <w:rFonts w:eastAsiaTheme="minorEastAsia"/>
        </w:rPr>
      </w:pPr>
    </w:p>
    <w:p w14:paraId="78D50F39" w14:textId="44185518" w:rsidR="00E034DA" w:rsidRDefault="008734D9" w:rsidP="008734D9">
      <w:pPr>
        <w:pStyle w:val="Heading3"/>
      </w:pPr>
      <w:r>
        <w:lastRenderedPageBreak/>
        <w:t xml:space="preserve">Remaining </w:t>
      </w:r>
      <w:r w:rsidR="00EB5FB9">
        <w:t>Variability</w:t>
      </w:r>
    </w:p>
    <w:p w14:paraId="7F529505" w14:textId="03223E05" w:rsidR="006D769B" w:rsidRDefault="008734D9" w:rsidP="007614EE">
      <w:pPr>
        <w:jc w:val="both"/>
        <w:rPr>
          <w:rFonts w:eastAsiaTheme="minorEastAsia"/>
        </w:rPr>
      </w:pPr>
      <w:r w:rsidRPr="007614EE">
        <w:rPr>
          <w:rFonts w:eastAsiaTheme="minorEastAsia"/>
        </w:rPr>
        <w:t>For our simulations, we rely on accounting for every source of variability in the responses. In our understanding, there are two further sources of error beyond</w:t>
      </w:r>
      <w:r w:rsidR="00880A31">
        <w:rPr>
          <w:rFonts w:eastAsiaTheme="minorEastAsia"/>
        </w:rPr>
        <w:t xml:space="preserve"> perceiving and representing</w:t>
      </w:r>
      <w:r w:rsidRPr="007614EE">
        <w:rPr>
          <w:rFonts w:eastAsiaTheme="minorEastAsia"/>
        </w:rPr>
        <w:t xml:space="preserve"> </w:t>
      </w:r>
      <w:r w:rsidRPr="006D11B3">
        <w:rPr>
          <w:rFonts w:eastAsiaTheme="minorEastAsia"/>
          <w:b/>
          <w:bCs/>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Pr="007614EE">
        <w:rPr>
          <w:rFonts w:eastAsiaTheme="minorEastAsia"/>
        </w:rPr>
        <w:t xml:space="preserve">: the motor response and the </w:t>
      </w:r>
      <w:r w:rsidR="00C148B2" w:rsidRPr="007614EE">
        <w:rPr>
          <w:rFonts w:eastAsiaTheme="minorEastAsia"/>
        </w:rPr>
        <w:t>integrative mechanism that combines different pieces of information</w:t>
      </w:r>
      <w:r w:rsidR="00EB5FB9" w:rsidRPr="007614EE">
        <w:rPr>
          <w:rFonts w:eastAsiaTheme="minorEastAsia"/>
        </w:rPr>
        <w:t>.</w:t>
      </w:r>
      <w:r w:rsidR="00580FFB">
        <w:rPr>
          <w:rFonts w:eastAsiaTheme="minorEastAsia"/>
        </w:rPr>
        <w:t xml:space="preserve"> Such errors are 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7777A57C" w14:textId="6098EC98"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DC2DE7">
        <w:softHyphen/>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accelerations are represented.</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We </w:t>
      </w:r>
      <w:r w:rsidR="00FA364D">
        <w:rPr>
          <w:rFonts w:eastAsiaTheme="minorEastAsia"/>
        </w:rPr>
        <w:t xml:space="preserve">use these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w:r w:rsidR="00FA364D">
        <w:rPr>
          <w:rFonts w:eastAsiaTheme="minorEastAsia"/>
        </w:rPr>
        <w:softHyphen/>
      </w:r>
      <w:r w:rsidR="00FA364D">
        <w:rPr>
          <w:rFonts w:eastAsiaTheme="minorEastAsia"/>
        </w:rPr>
        <w:softHyphen/>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to</w:t>
      </w:r>
      <w:r w:rsidR="00B94CFD">
        <w:rPr>
          <w:rFonts w:eastAsiaTheme="minorEastAsia"/>
        </w:rPr>
        <w:t xml:space="preserve"> stimulate data sets for the -1g trials</w:t>
      </w:r>
      <w:r w:rsidR="00EE79BD">
        <w:rPr>
          <w:rFonts w:eastAsiaTheme="minorEastAsia"/>
        </w:rPr>
        <w:t xml:space="preserve">. Using the </w:t>
      </w:r>
      <w:proofErr w:type="spellStart"/>
      <w:proofErr w:type="gramStart"/>
      <w:r w:rsidR="00EE79BD">
        <w:rPr>
          <w:rFonts w:eastAsiaTheme="minorEastAsia"/>
        </w:rPr>
        <w:t>optim</w:t>
      </w:r>
      <w:proofErr w:type="spellEnd"/>
      <w:r w:rsidR="00EE79BD">
        <w:rPr>
          <w:rFonts w:eastAsiaTheme="minorEastAsia"/>
        </w:rPr>
        <w:t>(</w:t>
      </w:r>
      <w:proofErr w:type="gramEnd"/>
      <w:r w:rsidR="00EE79BD">
        <w:rPr>
          <w:rFonts w:eastAsiaTheme="minorEastAsia"/>
        </w:rPr>
        <w:t>) function implemented in R, we</w:t>
      </w:r>
      <w:r w:rsidR="00B94CFD">
        <w:rPr>
          <w:rFonts w:eastAsiaTheme="minorEastAsia"/>
        </w:rPr>
        <w:t xml:space="preserve"> optimiz</w:t>
      </w:r>
      <w:r w:rsidR="00EE79BD">
        <w:rPr>
          <w:rFonts w:eastAsiaTheme="minorEastAsia"/>
        </w:rPr>
        <w:t>e</w:t>
      </w:r>
      <w:r w:rsidR="00B94CFD">
        <w:rPr>
          <w:rFonts w:eastAsiaTheme="minorEastAsia"/>
        </w:rPr>
        <w:t xml:space="preserve"> over different standard deviations representing the </w:t>
      </w:r>
      <w:r w:rsidR="00FA364D">
        <w:rPr>
          <w:rFonts w:eastAsiaTheme="minorEastAsia"/>
        </w:rPr>
        <w:t>remaining error</w:t>
      </w:r>
      <w:r w:rsidR="00EE79BD">
        <w:rPr>
          <w:rFonts w:eastAsiaTheme="minorEastAsia"/>
        </w:rPr>
        <w:t xml:space="preserve">, to minimize the quadratic error between the standard deviations of the simulated timing error and the observed timing error. </w:t>
      </w:r>
      <w:r w:rsidR="00B94CFD">
        <w:rPr>
          <w:rFonts w:eastAsiaTheme="minorEastAsia"/>
        </w:rPr>
        <w:t xml:space="preserve">We found the best fit for </w:t>
      </w:r>
      <w:r w:rsidR="004850CC">
        <w:rPr>
          <w:rFonts w:eastAsiaTheme="minorEastAsia"/>
        </w:rPr>
        <w:t>a normalized standard deviation of 0.125.</w:t>
      </w:r>
    </w:p>
    <w:p w14:paraId="65B95EC7" w14:textId="77777777" w:rsidR="00335AF6" w:rsidRDefault="00335AF6" w:rsidP="007614EE">
      <w:pPr>
        <w:jc w:val="both"/>
        <w:rPr>
          <w:rFonts w:eastAsiaTheme="minorEastAsia"/>
        </w:rPr>
      </w:pPr>
    </w:p>
    <w:p w14:paraId="3986126C" w14:textId="27D3A2E9" w:rsidR="00FA364D" w:rsidRDefault="00FA364D" w:rsidP="00FA364D">
      <w:pPr>
        <w:pStyle w:val="Heading3"/>
      </w:pPr>
      <w:r w:rsidRPr="00FA364D">
        <w:t>The Standard Deviation of the Gravity Prior</w:t>
      </w:r>
    </w:p>
    <w:p w14:paraId="7D1D7ABD" w14:textId="668FFBC9" w:rsidR="00FA364D"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We furthermore only use the Long Occlusion condition, for which we have previously shown that an earth-gravity based predictions fit the data best.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0.01, corresponding to an extremely precise representation, to 0.5, corresponding to a very </w:t>
      </w:r>
      <w:r w:rsidR="006C6CE5">
        <w:rPr>
          <w:rFonts w:eastAsiaTheme="minorEastAsia"/>
        </w:rPr>
        <w:t>imprecise representation with barely any impact on the final percept</w:t>
      </w:r>
      <w:r w:rsidR="0065543C">
        <w:rPr>
          <w:rFonts w:eastAsiaTheme="minorEastAsia"/>
        </w:rPr>
        <w:t xml:space="preserve">, in steps of 0.02) to determine the lower and upper bounds of the optimization interval. We find </w:t>
      </w:r>
      <w:r w:rsidR="006C6CE5">
        <w:rPr>
          <w:rFonts w:eastAsiaTheme="minorEastAsia"/>
        </w:rPr>
        <w:t xml:space="preserve">the errors </w:t>
      </w:r>
      <w:r w:rsidR="0065543C">
        <w:rPr>
          <w:rFonts w:eastAsiaTheme="minorEastAsia"/>
        </w:rPr>
        <w:t xml:space="preserve">to be lowest around </w:t>
      </w:r>
      <w:proofErr w:type="gramStart"/>
      <w:r w:rsidR="0065543C">
        <w:rPr>
          <w:rFonts w:eastAsiaTheme="minorEastAsia"/>
        </w:rPr>
        <w:t>0.2, and</w:t>
      </w:r>
      <w:proofErr w:type="gramEnd"/>
      <w:r w:rsidR="0065543C">
        <w:rPr>
          <w:rFonts w:eastAsiaTheme="minorEastAsia"/>
        </w:rPr>
        <w:t xml:space="preserve"> choose thus 0.15 as the lower bound and 0.25 as the upper bound. </w:t>
      </w:r>
      <w:r>
        <w:rPr>
          <w:rFonts w:eastAsiaTheme="minorEastAsia"/>
        </w:rPr>
        <w:t xml:space="preserve">We </w:t>
      </w:r>
      <w:r w:rsidR="0065543C">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sidR="0065543C">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500 data sets and </w:t>
      </w:r>
      <w:r w:rsidR="006C6CE5">
        <w:rPr>
          <w:rFonts w:eastAsiaTheme="minorEastAsia"/>
        </w:rPr>
        <w:t xml:space="preserve">minimize the mean error between simulated and observed timing errors across these 500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w:t>
      </w:r>
      <w:proofErr w:type="spellStart"/>
      <w:r w:rsidR="00B94CFD">
        <w:rPr>
          <w:rFonts w:eastAsiaTheme="minorEastAsia"/>
        </w:rPr>
        <w:t>Github</w:t>
      </w:r>
      <w:proofErr w:type="spellEnd"/>
      <w:r w:rsidR="00B94CFD">
        <w:rPr>
          <w:rFonts w:eastAsiaTheme="minorEastAsia"/>
        </w:rPr>
        <w:t xml:space="preserve"> (</w:t>
      </w:r>
      <w:hyperlink r:id="rId12"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0.2 for the gravity prior, which corresponds to a standard deviation of about 2</w:t>
      </w:r>
      <w:r w:rsidR="00355892">
        <w:rPr>
          <w:rFonts w:eastAsiaTheme="minorEastAsia"/>
        </w:rPr>
        <w:t> m/s²</w:t>
      </w:r>
      <w:r w:rsidR="004850CC">
        <w:rPr>
          <w:rFonts w:eastAsiaTheme="minorEastAsia"/>
        </w:rPr>
        <w:t xml:space="preserve"> for a mean of 9.81 m/s².</w:t>
      </w:r>
    </w:p>
    <w:p w14:paraId="6B4ED07C" w14:textId="49A11EA8" w:rsidR="004850CC" w:rsidRDefault="004850CC" w:rsidP="00FA364D">
      <w:pPr>
        <w:jc w:val="both"/>
        <w:rPr>
          <w:rFonts w:eastAsiaTheme="minorEastAsia"/>
        </w:rPr>
      </w:pPr>
    </w:p>
    <w:p w14:paraId="742C6723" w14:textId="6526FC46" w:rsidR="00604840" w:rsidRPr="00D42F15" w:rsidRDefault="004850CC" w:rsidP="00D42F15">
      <w:pPr>
        <w:pStyle w:val="Heading2"/>
        <w:rPr>
          <w:lang w:val="en-US"/>
        </w:rPr>
      </w:pPr>
      <w:r w:rsidRPr="004850CC">
        <w:rPr>
          <w:lang w:val="en-US"/>
        </w:rPr>
        <w:lastRenderedPageBreak/>
        <w:t>Discussion</w:t>
      </w:r>
    </w:p>
    <w:p w14:paraId="336F2279" w14:textId="5C454B79" w:rsidR="00D42F15" w:rsidRDefault="006F7F5C" w:rsidP="00D22200">
      <w:pPr>
        <w:jc w:val="both"/>
        <w:rPr>
          <w:rFonts w:eastAsiaTheme="minorEastAsia"/>
        </w:rPr>
      </w:pPr>
      <w:r w:rsidRPr="00D22200">
        <w:rPr>
          <w:rFonts w:eastAsiaTheme="minorEastAsia"/>
        </w:rPr>
        <w:t xml:space="preserve">Based on the fact that humans in many tasks and circumstances assume that objects in their environment are affected by earth gravity, it has been suggested that we maintain a representation of this value, which we then recruit to predict the behavior of objects in our environment. We recently interpreted this representation as a Strong Prior in a Bayesian framework </w:t>
      </w:r>
      <w:r w:rsidRPr="00D22200">
        <w:rPr>
          <w:rFonts w:eastAsiaTheme="minorEastAsia"/>
        </w:rPr>
        <w:fldChar w:fldCharType="begin" w:fldLock="1"/>
      </w:r>
      <w:r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Pr="00D22200">
        <w:rPr>
          <w:rFonts w:eastAsiaTheme="minorEastAsia"/>
        </w:rPr>
        <w:fldChar w:fldCharType="separate"/>
      </w:r>
      <w:r w:rsidRPr="00D22200">
        <w:rPr>
          <w:rFonts w:eastAsiaTheme="minorEastAsia"/>
          <w:noProof/>
        </w:rPr>
        <w:t>(Jörges &amp; López-Moliner, 2017)</w:t>
      </w:r>
      <w:r w:rsidRPr="00D22200">
        <w:rPr>
          <w:rFonts w:eastAsiaTheme="minorEastAsia"/>
        </w:rPr>
        <w:fldChar w:fldCharType="end"/>
      </w:r>
      <w:r w:rsidRPr="00D22200">
        <w:rPr>
          <w:rFonts w:eastAsiaTheme="minorEastAsia"/>
        </w:rPr>
        <w:t xml:space="preserve">. A “Strong Prior” is a prior with a reliability so high that it overrules any sensory input represented in the likelihood. Based on data from timing task </w:t>
      </w:r>
      <w:r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Pr="00D22200">
        <w:rPr>
          <w:rFonts w:eastAsiaTheme="minorEastAsia"/>
        </w:rPr>
        <w:fldChar w:fldCharType="separate"/>
      </w:r>
      <w:r w:rsidRPr="00D22200">
        <w:rPr>
          <w:rFonts w:eastAsiaTheme="minorEastAsia"/>
          <w:noProof/>
        </w:rPr>
        <w:t>(previously reported in Jörges &amp; López-Moliner, 2019)</w:t>
      </w:r>
      <w:r w:rsidRPr="00D22200">
        <w:rPr>
          <w:rFonts w:eastAsiaTheme="minorEastAsia"/>
        </w:rPr>
        <w:fldChar w:fldCharType="end"/>
      </w:r>
      <w:r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w:t>
      </w:r>
      <w:proofErr w:type="spellStart"/>
      <w:r w:rsidR="00D22200" w:rsidRPr="00D22200">
        <w:rPr>
          <w:rFonts w:eastAsiaTheme="minorEastAsia"/>
        </w:rPr>
        <w:t>perceptuo</w:t>
      </w:r>
      <w:proofErr w:type="spellEnd"/>
      <w:r w:rsidR="00D22200" w:rsidRPr="00D22200">
        <w:rPr>
          <w:rFonts w:eastAsiaTheme="minorEastAsia"/>
        </w:rPr>
        <w:t xml:space="preserve">-motor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2 m/s², for a prior with a mean of 9.81 m/s²</w:t>
      </w:r>
      <w:r w:rsidR="00562DCA">
        <w:rPr>
          <w:rFonts w:eastAsiaTheme="minorEastAsia"/>
        </w:rPr>
        <w:t>, which corresponds to a Weber fraction of 13,8 %. This is considerably lower than Weber fractions generally observed for acceleration discrimination, but higher than Weber fractions for speed discrimination.</w:t>
      </w:r>
    </w:p>
    <w:p w14:paraId="4938728C" w14:textId="1EBA1E5D" w:rsidR="00562DCA" w:rsidRDefault="00562DCA" w:rsidP="00D22200">
      <w:pPr>
        <w:jc w:val="both"/>
        <w:rPr>
          <w:rFonts w:eastAsiaTheme="minorEastAsia"/>
        </w:rPr>
      </w:pPr>
      <w:r>
        <w:rPr>
          <w:rFonts w:eastAsiaTheme="minorEastAsia"/>
        </w:rPr>
        <w:t>Interestingly, when we modelled 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a value set at 1g; </w:t>
      </w:r>
      <w:r w:rsidR="00F6145E">
        <w:rPr>
          <w:rFonts w:eastAsiaTheme="minorEastAsia"/>
        </w:rPr>
        <w:fldChar w:fldCharType="begin" w:fldLock="1"/>
      </w:r>
      <w:r w:rsidR="00DA76F4">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possibly if the Likelihood is extremely shallow and/or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xml:space="preserve">, and a Weber fraction of 13.8 % for the prior </w:t>
      </w:r>
      <w:r w:rsidR="004840BE">
        <w:rPr>
          <w:rFonts w:eastAsiaTheme="minorEastAsia"/>
        </w:rPr>
        <w:t xml:space="preserve">(as modelled) </w:t>
      </w:r>
      <w:r w:rsidR="00E82D8F">
        <w:rPr>
          <w:rFonts w:eastAsiaTheme="minorEastAsia"/>
        </w:rPr>
        <w:t>would not result in completely discarding the likelihood</w:t>
      </w:r>
      <w:r w:rsidR="004054A3">
        <w:rPr>
          <w:rFonts w:eastAsiaTheme="minorEastAsia"/>
        </w:rPr>
        <w:t xml:space="preserve"> (see also Figure 1)</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observed mean, the modelled standard deviation, behavioral results and a Bayesian explanation.</w:t>
      </w:r>
    </w:p>
    <w:p w14:paraId="762D8149" w14:textId="131D77D3"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estimated 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lower the Weber fraction we assumed when determining the motor error. This in turn would give us a higher estimate of motor variability, 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w:t>
      </w:r>
      <w:proofErr w:type="spellStart"/>
      <w:r w:rsidR="007434FD">
        <w:rPr>
          <w:rFonts w:eastAsiaTheme="minorEastAsia"/>
        </w:rPr>
        <w:t>perceptuo</w:t>
      </w:r>
      <w:proofErr w:type="spellEnd"/>
      <w:r w:rsidR="007434FD">
        <w:rPr>
          <w:rFonts w:eastAsiaTheme="minorEastAsia"/>
        </w:rPr>
        <w:t xml:space="preserve">-motor tasks, which has been </w:t>
      </w:r>
      <w:r w:rsidR="00DA76F4">
        <w:rPr>
          <w:rFonts w:eastAsiaTheme="minorEastAsia"/>
        </w:rPr>
        <w:t xml:space="preserve">reported repeatedly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334100">
        <w:rPr>
          <w:rFonts w:eastAsiaTheme="minorEastAsia"/>
        </w:rPr>
        <w:t>The value of 2 m/s² we modelled above may nonetheless be an upper bound for the standard deviation of the Earth Gravity Prior.</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w:t>
      </w:r>
      <w:r w:rsidR="00AD59E9">
        <w:rPr>
          <w:rFonts w:eastAsiaTheme="minorEastAsia"/>
        </w:rPr>
        <w:lastRenderedPageBreak/>
        <w:t xml:space="preserve">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Heading2"/>
        <w:rPr>
          <w:lang w:val="en-US"/>
        </w:rPr>
      </w:pPr>
      <w:r w:rsidRPr="004850CC">
        <w:rPr>
          <w:lang w:val="en-US"/>
        </w:rPr>
        <w:t>Conclusion</w:t>
      </w:r>
    </w:p>
    <w:p w14:paraId="78C3E78A" w14:textId="5B813473" w:rsidR="004850CC" w:rsidRDefault="00EC3AAF" w:rsidP="00955A21">
      <w:pPr>
        <w:jc w:val="both"/>
      </w:pPr>
      <w:r w:rsidRPr="00955A21">
        <w:rPr>
          <w:rFonts w:eastAsiaTheme="minorEastAsia"/>
        </w:rPr>
        <w:t xml:space="preserve">In this paper, we propose a procedure to determine the standard deviation of a potential gravity </w:t>
      </w:r>
      <w:proofErr w:type="gramStart"/>
      <w:r w:rsidRPr="00955A21">
        <w:rPr>
          <w:rFonts w:eastAsiaTheme="minorEastAsia"/>
        </w:rPr>
        <w:t>prior, and</w:t>
      </w:r>
      <w:proofErr w:type="gramEnd"/>
      <w:r w:rsidRPr="00955A21">
        <w:rPr>
          <w:rFonts w:eastAsiaTheme="minorEastAsia"/>
        </w:rPr>
        <w:t xml:space="preserve"> apply it to pre-existing data from a timing task. A standard deviation of 2 m/s² explains empirical observations best. However, considering the literature we would expect an even lower standard deviation, as a Prior with a mean of 9.81 m/s² and a standard deviation of 2 m/s² would usually not attract the Posterior as strongly as has been commonly observed. We thus believe that we are not able to fully disentangle different sources of noise in our data; the value we find for the standard deviation of</w:t>
      </w:r>
      <w:r>
        <w:t xml:space="preserve"> the earth gravity prior is thus more likely an upper bound, and further experiments are likely to find a lower value.</w:t>
      </w:r>
    </w:p>
    <w:p w14:paraId="6E019C04" w14:textId="2ABD0201" w:rsidR="00E32BF5" w:rsidRDefault="00E32BF5" w:rsidP="004850CC"/>
    <w:p w14:paraId="4FC3F797" w14:textId="77777777" w:rsidR="00E32BF5" w:rsidRDefault="00E32BF5" w:rsidP="004850CC"/>
    <w:p w14:paraId="6EAC6918" w14:textId="61AF2E7E" w:rsidR="00613131" w:rsidRPr="00613131" w:rsidRDefault="00E32BF5" w:rsidP="00613131">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6F7F5C">
        <w:instrText xml:space="preserve">ADDIN Mendeley Bibliography CSL_BIBLIOGRAPHY </w:instrText>
      </w:r>
      <w:r>
        <w:fldChar w:fldCharType="separate"/>
      </w:r>
      <w:r w:rsidR="00613131" w:rsidRPr="00613131">
        <w:rPr>
          <w:rFonts w:ascii="Calibri" w:hAnsi="Calibri" w:cs="Calibri"/>
          <w:noProof/>
          <w:szCs w:val="24"/>
        </w:rPr>
        <w:t xml:space="preserve">Aubert, H. (1887). Die Bewegungsempfindung - Zweite Mittheilung. </w:t>
      </w:r>
      <w:r w:rsidR="00613131" w:rsidRPr="00613131">
        <w:rPr>
          <w:rFonts w:ascii="Calibri" w:hAnsi="Calibri" w:cs="Calibri"/>
          <w:i/>
          <w:iCs/>
          <w:noProof/>
          <w:szCs w:val="24"/>
        </w:rPr>
        <w:t>Pflüger, Archiv Für Die Gesammte Physiologie Des Menschen Und Der Thiere</w:t>
      </w:r>
      <w:r w:rsidR="00613131" w:rsidRPr="00613131">
        <w:rPr>
          <w:rFonts w:ascii="Calibri" w:hAnsi="Calibri" w:cs="Calibri"/>
          <w:noProof/>
          <w:szCs w:val="24"/>
        </w:rPr>
        <w:t xml:space="preserve">, </w:t>
      </w:r>
      <w:r w:rsidR="00613131" w:rsidRPr="00613131">
        <w:rPr>
          <w:rFonts w:ascii="Calibri" w:hAnsi="Calibri" w:cs="Calibri"/>
          <w:i/>
          <w:iCs/>
          <w:noProof/>
          <w:szCs w:val="24"/>
        </w:rPr>
        <w:t>40</w:t>
      </w:r>
      <w:r w:rsidR="00613131" w:rsidRPr="00613131">
        <w:rPr>
          <w:rFonts w:ascii="Calibri" w:hAnsi="Calibri" w:cs="Calibri"/>
          <w:noProof/>
          <w:szCs w:val="24"/>
        </w:rPr>
        <w:t>(1), 459–480. https://doi.org/10.1007/BF01612710</w:t>
      </w:r>
    </w:p>
    <w:p w14:paraId="6748B35B"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Benguigui, N., Ripoll, H., &amp; Broderick, M. P. (2003). Time-to-contact estimation of accelerated stimuli is based on first-order information. </w:t>
      </w:r>
      <w:r w:rsidRPr="00613131">
        <w:rPr>
          <w:rFonts w:ascii="Calibri" w:hAnsi="Calibri" w:cs="Calibri"/>
          <w:i/>
          <w:iCs/>
          <w:noProof/>
          <w:szCs w:val="24"/>
        </w:rPr>
        <w:t>Journal of Experimental Psychology. Human Perception and Performance</w:t>
      </w:r>
      <w:r w:rsidRPr="00613131">
        <w:rPr>
          <w:rFonts w:ascii="Calibri" w:hAnsi="Calibri" w:cs="Calibri"/>
          <w:noProof/>
          <w:szCs w:val="24"/>
        </w:rPr>
        <w:t xml:space="preserve">, </w:t>
      </w:r>
      <w:r w:rsidRPr="00613131">
        <w:rPr>
          <w:rFonts w:ascii="Calibri" w:hAnsi="Calibri" w:cs="Calibri"/>
          <w:i/>
          <w:iCs/>
          <w:noProof/>
          <w:szCs w:val="24"/>
        </w:rPr>
        <w:t>29</w:t>
      </w:r>
      <w:r w:rsidRPr="00613131">
        <w:rPr>
          <w:rFonts w:ascii="Calibri" w:hAnsi="Calibri" w:cs="Calibri"/>
          <w:noProof/>
          <w:szCs w:val="24"/>
        </w:rPr>
        <w:t>(6), 1083–1101. https://doi.org/10.1037/0096-1523.29.6.1083</w:t>
      </w:r>
    </w:p>
    <w:p w14:paraId="6B158ACA"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Bennett, S. J., &amp; Benguigui, N. (2013). Is Acceleration Used for Ocular Pursuit and Spatial Estimation during Prediction Motion? </w:t>
      </w:r>
      <w:r w:rsidRPr="00613131">
        <w:rPr>
          <w:rFonts w:ascii="Calibri" w:hAnsi="Calibri" w:cs="Calibri"/>
          <w:i/>
          <w:iCs/>
          <w:noProof/>
          <w:szCs w:val="24"/>
        </w:rPr>
        <w:t>PLoS ONE</w:t>
      </w:r>
      <w:r w:rsidRPr="00613131">
        <w:rPr>
          <w:rFonts w:ascii="Calibri" w:hAnsi="Calibri" w:cs="Calibri"/>
          <w:noProof/>
          <w:szCs w:val="24"/>
        </w:rPr>
        <w:t xml:space="preserve">, </w:t>
      </w:r>
      <w:r w:rsidRPr="00613131">
        <w:rPr>
          <w:rFonts w:ascii="Calibri" w:hAnsi="Calibri" w:cs="Calibri"/>
          <w:i/>
          <w:iCs/>
          <w:noProof/>
          <w:szCs w:val="24"/>
        </w:rPr>
        <w:t>8</w:t>
      </w:r>
      <w:r w:rsidRPr="00613131">
        <w:rPr>
          <w:rFonts w:ascii="Calibri" w:hAnsi="Calibri" w:cs="Calibri"/>
          <w:noProof/>
          <w:szCs w:val="24"/>
        </w:rPr>
        <w:t>(5). https://doi.org/10.1371/journal.pone.0063382</w:t>
      </w:r>
    </w:p>
    <w:p w14:paraId="347A5454"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613131">
        <w:rPr>
          <w:rFonts w:ascii="Calibri" w:hAnsi="Calibri" w:cs="Calibri"/>
          <w:i/>
          <w:iCs/>
          <w:noProof/>
          <w:szCs w:val="24"/>
        </w:rPr>
        <w:t>I-Perception</w:t>
      </w:r>
      <w:r w:rsidRPr="00613131">
        <w:rPr>
          <w:rFonts w:ascii="Calibri" w:hAnsi="Calibri" w:cs="Calibri"/>
          <w:noProof/>
          <w:szCs w:val="24"/>
        </w:rPr>
        <w:t xml:space="preserve">, </w:t>
      </w:r>
      <w:r w:rsidRPr="00613131">
        <w:rPr>
          <w:rFonts w:ascii="Calibri" w:hAnsi="Calibri" w:cs="Calibri"/>
          <w:i/>
          <w:iCs/>
          <w:noProof/>
          <w:szCs w:val="24"/>
        </w:rPr>
        <w:t>7</w:t>
      </w:r>
      <w:r w:rsidRPr="00613131">
        <w:rPr>
          <w:rFonts w:ascii="Calibri" w:hAnsi="Calibri" w:cs="Calibri"/>
          <w:noProof/>
          <w:szCs w:val="24"/>
        </w:rPr>
        <w:t>(1), 1–13. https://doi.org/10.1177/2041669515624317</w:t>
      </w:r>
    </w:p>
    <w:p w14:paraId="5401F88D"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613131">
        <w:rPr>
          <w:rFonts w:ascii="Calibri" w:hAnsi="Calibri" w:cs="Calibri"/>
          <w:i/>
          <w:iCs/>
          <w:noProof/>
          <w:szCs w:val="24"/>
        </w:rPr>
        <w:t>Frontiers in Neuroscience</w:t>
      </w:r>
      <w:r w:rsidRPr="00613131">
        <w:rPr>
          <w:rFonts w:ascii="Calibri" w:hAnsi="Calibri" w:cs="Calibri"/>
          <w:noProof/>
          <w:szCs w:val="24"/>
        </w:rPr>
        <w:t xml:space="preserve">, </w:t>
      </w:r>
      <w:r w:rsidRPr="00613131">
        <w:rPr>
          <w:rFonts w:ascii="Calibri" w:hAnsi="Calibri" w:cs="Calibri"/>
          <w:i/>
          <w:iCs/>
          <w:noProof/>
          <w:szCs w:val="24"/>
        </w:rPr>
        <w:t>12</w:t>
      </w:r>
      <w:r w:rsidRPr="00613131">
        <w:rPr>
          <w:rFonts w:ascii="Calibri" w:hAnsi="Calibri" w:cs="Calibri"/>
          <w:noProof/>
          <w:szCs w:val="24"/>
        </w:rPr>
        <w:t>(JUN), 1–22. https://doi.org/10.3389/fnins.2018.00406</w:t>
      </w:r>
    </w:p>
    <w:p w14:paraId="6AA9117C"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de Graaf, B., Wertheim, A. H., &amp; Bles, W. (1991). The Aubert-Fleischl paradox does appear in visually induced self-motion. </w:t>
      </w:r>
      <w:r w:rsidRPr="00613131">
        <w:rPr>
          <w:rFonts w:ascii="Calibri" w:hAnsi="Calibri" w:cs="Calibri"/>
          <w:i/>
          <w:iCs/>
          <w:noProof/>
          <w:szCs w:val="24"/>
        </w:rPr>
        <w:t>Vision Research</w:t>
      </w:r>
      <w:r w:rsidRPr="00613131">
        <w:rPr>
          <w:rFonts w:ascii="Calibri" w:hAnsi="Calibri" w:cs="Calibri"/>
          <w:noProof/>
          <w:szCs w:val="24"/>
        </w:rPr>
        <w:t xml:space="preserve">, </w:t>
      </w:r>
      <w:r w:rsidRPr="00613131">
        <w:rPr>
          <w:rFonts w:ascii="Calibri" w:hAnsi="Calibri" w:cs="Calibri"/>
          <w:i/>
          <w:iCs/>
          <w:noProof/>
          <w:szCs w:val="24"/>
        </w:rPr>
        <w:t>31</w:t>
      </w:r>
      <w:r w:rsidRPr="00613131">
        <w:rPr>
          <w:rFonts w:ascii="Calibri" w:hAnsi="Calibri" w:cs="Calibri"/>
          <w:noProof/>
          <w:szCs w:val="24"/>
        </w:rPr>
        <w:t>(5), 845–849. https://doi.org/10.1016/0042-6989(91)90151-T</w:t>
      </w:r>
    </w:p>
    <w:p w14:paraId="7310C133"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Flavell, J. C. (2014). </w:t>
      </w:r>
      <w:r w:rsidRPr="00613131">
        <w:rPr>
          <w:rFonts w:ascii="Calibri" w:hAnsi="Calibri" w:cs="Calibri"/>
          <w:i/>
          <w:iCs/>
          <w:noProof/>
          <w:szCs w:val="24"/>
        </w:rPr>
        <w:t>An investigation into the directional and amplitude aspects of an internal model of gravity</w:t>
      </w:r>
      <w:r w:rsidRPr="00613131">
        <w:rPr>
          <w:rFonts w:ascii="Calibri" w:hAnsi="Calibri" w:cs="Calibri"/>
          <w:noProof/>
          <w:szCs w:val="24"/>
        </w:rPr>
        <w:t>. Manchester Metropolitan University.</w:t>
      </w:r>
    </w:p>
    <w:p w14:paraId="64D0A4BB"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Fleischl, V. (1882). No Title. </w:t>
      </w:r>
      <w:r w:rsidRPr="00613131">
        <w:rPr>
          <w:rFonts w:ascii="Calibri" w:hAnsi="Calibri" w:cs="Calibri"/>
          <w:i/>
          <w:iCs/>
          <w:noProof/>
          <w:szCs w:val="24"/>
        </w:rPr>
        <w:t>Sitzungsberichte Der Akademia Der Wissenschaften Wien</w:t>
      </w:r>
      <w:r w:rsidRPr="00613131">
        <w:rPr>
          <w:rFonts w:ascii="Calibri" w:hAnsi="Calibri" w:cs="Calibri"/>
          <w:noProof/>
          <w:szCs w:val="24"/>
        </w:rPr>
        <w:t>, (3), 7–25.</w:t>
      </w:r>
    </w:p>
    <w:p w14:paraId="334C86A8"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Indovina, I., Maffei, V., Bosco, G., Zago, M., Macaluso, E., &amp; Lacquaniti, F. (2005). Representation of visual gravitational motion in the human vestibular cortex. </w:t>
      </w:r>
      <w:r w:rsidRPr="00613131">
        <w:rPr>
          <w:rFonts w:ascii="Calibri" w:hAnsi="Calibri" w:cs="Calibri"/>
          <w:i/>
          <w:iCs/>
          <w:noProof/>
          <w:szCs w:val="24"/>
        </w:rPr>
        <w:t>Science (New York, N.Y.)</w:t>
      </w:r>
      <w:r w:rsidRPr="00613131">
        <w:rPr>
          <w:rFonts w:ascii="Calibri" w:hAnsi="Calibri" w:cs="Calibri"/>
          <w:noProof/>
          <w:szCs w:val="24"/>
        </w:rPr>
        <w:t xml:space="preserve">, </w:t>
      </w:r>
      <w:r w:rsidRPr="00613131">
        <w:rPr>
          <w:rFonts w:ascii="Calibri" w:hAnsi="Calibri" w:cs="Calibri"/>
          <w:i/>
          <w:iCs/>
          <w:noProof/>
          <w:szCs w:val="24"/>
        </w:rPr>
        <w:t>308</w:t>
      </w:r>
      <w:r w:rsidRPr="00613131">
        <w:rPr>
          <w:rFonts w:ascii="Calibri" w:hAnsi="Calibri" w:cs="Calibri"/>
          <w:noProof/>
          <w:szCs w:val="24"/>
        </w:rPr>
        <w:t>(April), 416–419. https://doi.org/10.1126/science.1107961</w:t>
      </w:r>
    </w:p>
    <w:p w14:paraId="19D6A404"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Jörges, B., Hagenfeld, L., &amp; López-Moliner, J. (2018). The use of visual cues in gravity judgements on parabolic motion. </w:t>
      </w:r>
      <w:r w:rsidRPr="00613131">
        <w:rPr>
          <w:rFonts w:ascii="Calibri" w:hAnsi="Calibri" w:cs="Calibri"/>
          <w:i/>
          <w:iCs/>
          <w:noProof/>
          <w:szCs w:val="24"/>
        </w:rPr>
        <w:t>Vision Research</w:t>
      </w:r>
      <w:r w:rsidRPr="00613131">
        <w:rPr>
          <w:rFonts w:ascii="Calibri" w:hAnsi="Calibri" w:cs="Calibri"/>
          <w:noProof/>
          <w:szCs w:val="24"/>
        </w:rPr>
        <w:t xml:space="preserve">, </w:t>
      </w:r>
      <w:r w:rsidRPr="00613131">
        <w:rPr>
          <w:rFonts w:ascii="Calibri" w:hAnsi="Calibri" w:cs="Calibri"/>
          <w:i/>
          <w:iCs/>
          <w:noProof/>
          <w:szCs w:val="24"/>
        </w:rPr>
        <w:t>149</w:t>
      </w:r>
      <w:r w:rsidRPr="00613131">
        <w:rPr>
          <w:rFonts w:ascii="Calibri" w:hAnsi="Calibri" w:cs="Calibri"/>
          <w:noProof/>
          <w:szCs w:val="24"/>
        </w:rPr>
        <w:t>, 47–58. https://doi.org/10.1016/J.VISRES.2018.06.002</w:t>
      </w:r>
    </w:p>
    <w:p w14:paraId="5A5EDDC8"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Jörges, B., &amp; López-Moliner, J. (2017). Gravity as a Strong Prior: Implications for Perception and Action. </w:t>
      </w:r>
      <w:r w:rsidRPr="00613131">
        <w:rPr>
          <w:rFonts w:ascii="Calibri" w:hAnsi="Calibri" w:cs="Calibri"/>
          <w:i/>
          <w:iCs/>
          <w:noProof/>
          <w:szCs w:val="24"/>
        </w:rPr>
        <w:lastRenderedPageBreak/>
        <w:t>Frontiers in Human Neuroscience</w:t>
      </w:r>
      <w:r w:rsidRPr="00613131">
        <w:rPr>
          <w:rFonts w:ascii="Calibri" w:hAnsi="Calibri" w:cs="Calibri"/>
          <w:noProof/>
          <w:szCs w:val="24"/>
        </w:rPr>
        <w:t xml:space="preserve">, </w:t>
      </w:r>
      <w:r w:rsidRPr="00613131">
        <w:rPr>
          <w:rFonts w:ascii="Calibri" w:hAnsi="Calibri" w:cs="Calibri"/>
          <w:i/>
          <w:iCs/>
          <w:noProof/>
          <w:szCs w:val="24"/>
        </w:rPr>
        <w:t>11</w:t>
      </w:r>
      <w:r w:rsidRPr="00613131">
        <w:rPr>
          <w:rFonts w:ascii="Calibri" w:hAnsi="Calibri" w:cs="Calibri"/>
          <w:noProof/>
          <w:szCs w:val="24"/>
        </w:rPr>
        <w:t>(203). https://doi.org/10.3389/fnhum.2017.00203</w:t>
      </w:r>
    </w:p>
    <w:p w14:paraId="046F2192"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Jörges, B., &amp; López-Moliner, J. (2019). Earth-Gravity Congruent Motion Facilitates Ocular Control for Pursuit of Parabolic Trajectories. </w:t>
      </w:r>
      <w:r w:rsidRPr="00613131">
        <w:rPr>
          <w:rFonts w:ascii="Calibri" w:hAnsi="Calibri" w:cs="Calibri"/>
          <w:i/>
          <w:iCs/>
          <w:noProof/>
          <w:szCs w:val="24"/>
        </w:rPr>
        <w:t>Scientific Reports</w:t>
      </w:r>
      <w:r w:rsidRPr="00613131">
        <w:rPr>
          <w:rFonts w:ascii="Calibri" w:hAnsi="Calibri" w:cs="Calibri"/>
          <w:noProof/>
          <w:szCs w:val="24"/>
        </w:rPr>
        <w:t xml:space="preserve">, </w:t>
      </w:r>
      <w:r w:rsidRPr="00613131">
        <w:rPr>
          <w:rFonts w:ascii="Calibri" w:hAnsi="Calibri" w:cs="Calibri"/>
          <w:i/>
          <w:iCs/>
          <w:noProof/>
          <w:szCs w:val="24"/>
        </w:rPr>
        <w:t>9</w:t>
      </w:r>
      <w:r w:rsidRPr="00613131">
        <w:rPr>
          <w:rFonts w:ascii="Calibri" w:hAnsi="Calibri" w:cs="Calibri"/>
          <w:noProof/>
          <w:szCs w:val="24"/>
        </w:rPr>
        <w:t>(1), 1–13. https://doi.org/10.1038/s41598-019-50512-6</w:t>
      </w:r>
    </w:p>
    <w:p w14:paraId="36677E56"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Kozhevnikov, M., &amp; Hegarty, M. (2001). Impetus beliefs as default heuristics: dissociation between explicit and implicit knowledge about motion. </w:t>
      </w:r>
      <w:r w:rsidRPr="00613131">
        <w:rPr>
          <w:rFonts w:ascii="Calibri" w:hAnsi="Calibri" w:cs="Calibri"/>
          <w:i/>
          <w:iCs/>
          <w:noProof/>
          <w:szCs w:val="24"/>
        </w:rPr>
        <w:t>Psychonomic Bulletin &amp; Review</w:t>
      </w:r>
      <w:r w:rsidRPr="00613131">
        <w:rPr>
          <w:rFonts w:ascii="Calibri" w:hAnsi="Calibri" w:cs="Calibri"/>
          <w:noProof/>
          <w:szCs w:val="24"/>
        </w:rPr>
        <w:t xml:space="preserve">, </w:t>
      </w:r>
      <w:r w:rsidRPr="00613131">
        <w:rPr>
          <w:rFonts w:ascii="Calibri" w:hAnsi="Calibri" w:cs="Calibri"/>
          <w:i/>
          <w:iCs/>
          <w:noProof/>
          <w:szCs w:val="24"/>
        </w:rPr>
        <w:t>8</w:t>
      </w:r>
      <w:r w:rsidRPr="00613131">
        <w:rPr>
          <w:rFonts w:ascii="Calibri" w:hAnsi="Calibri" w:cs="Calibri"/>
          <w:noProof/>
          <w:szCs w:val="24"/>
        </w:rPr>
        <w:t>(3), 439–453. https://doi.org/10.3758/BF03196179</w:t>
      </w:r>
    </w:p>
    <w:p w14:paraId="3B6667BC"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La Scaleia, B., Zago, M., Moscatelli, A., Lacquaniti, F., &amp; Viviani, P. (2014). Implied dynamics biases the visual perception of velocity. </w:t>
      </w:r>
      <w:r w:rsidRPr="00613131">
        <w:rPr>
          <w:rFonts w:ascii="Calibri" w:hAnsi="Calibri" w:cs="Calibri"/>
          <w:i/>
          <w:iCs/>
          <w:noProof/>
          <w:szCs w:val="24"/>
        </w:rPr>
        <w:t>PLoS ONE</w:t>
      </w:r>
      <w:r w:rsidRPr="00613131">
        <w:rPr>
          <w:rFonts w:ascii="Calibri" w:hAnsi="Calibri" w:cs="Calibri"/>
          <w:noProof/>
          <w:szCs w:val="24"/>
        </w:rPr>
        <w:t xml:space="preserve">, </w:t>
      </w:r>
      <w:r w:rsidRPr="00613131">
        <w:rPr>
          <w:rFonts w:ascii="Calibri" w:hAnsi="Calibri" w:cs="Calibri"/>
          <w:i/>
          <w:iCs/>
          <w:noProof/>
          <w:szCs w:val="24"/>
        </w:rPr>
        <w:t>9</w:t>
      </w:r>
      <w:r w:rsidRPr="00613131">
        <w:rPr>
          <w:rFonts w:ascii="Calibri" w:hAnsi="Calibri" w:cs="Calibri"/>
          <w:noProof/>
          <w:szCs w:val="24"/>
        </w:rPr>
        <w:t>(3). https://doi.org/10.1371/journal.pone.0093020</w:t>
      </w:r>
    </w:p>
    <w:p w14:paraId="62A65D81"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Lacquaniti, F., Bosco, G., Indovina, I., La Scaleia, B., Maffei, V., Moscatelli, A., &amp; Zago, M. (2013). Visual gravitational motion and the vestibular system in humans. </w:t>
      </w:r>
      <w:r w:rsidRPr="00613131">
        <w:rPr>
          <w:rFonts w:ascii="Calibri" w:hAnsi="Calibri" w:cs="Calibri"/>
          <w:i/>
          <w:iCs/>
          <w:noProof/>
          <w:szCs w:val="24"/>
        </w:rPr>
        <w:t>Frontiers in Integrative Neuroscience</w:t>
      </w:r>
      <w:r w:rsidRPr="00613131">
        <w:rPr>
          <w:rFonts w:ascii="Calibri" w:hAnsi="Calibri" w:cs="Calibri"/>
          <w:noProof/>
          <w:szCs w:val="24"/>
        </w:rPr>
        <w:t xml:space="preserve">, </w:t>
      </w:r>
      <w:r w:rsidRPr="00613131">
        <w:rPr>
          <w:rFonts w:ascii="Calibri" w:hAnsi="Calibri" w:cs="Calibri"/>
          <w:i/>
          <w:iCs/>
          <w:noProof/>
          <w:szCs w:val="24"/>
        </w:rPr>
        <w:t>7</w:t>
      </w:r>
      <w:r w:rsidRPr="00613131">
        <w:rPr>
          <w:rFonts w:ascii="Calibri" w:hAnsi="Calibri" w:cs="Calibri"/>
          <w:noProof/>
          <w:szCs w:val="24"/>
        </w:rPr>
        <w:t>(December), 101. https://doi.org/10.3389/fnint.2013.00101</w:t>
      </w:r>
    </w:p>
    <w:p w14:paraId="235DFF46"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613131">
        <w:rPr>
          <w:rFonts w:ascii="Calibri" w:hAnsi="Calibri" w:cs="Calibri"/>
          <w:i/>
          <w:iCs/>
          <w:noProof/>
          <w:szCs w:val="24"/>
        </w:rPr>
        <w:t>NeuroImage</w:t>
      </w:r>
      <w:r w:rsidRPr="00613131">
        <w:rPr>
          <w:rFonts w:ascii="Calibri" w:hAnsi="Calibri" w:cs="Calibri"/>
          <w:noProof/>
          <w:szCs w:val="24"/>
        </w:rPr>
        <w:t xml:space="preserve">, </w:t>
      </w:r>
      <w:r w:rsidRPr="00613131">
        <w:rPr>
          <w:rFonts w:ascii="Calibri" w:hAnsi="Calibri" w:cs="Calibri"/>
          <w:i/>
          <w:iCs/>
          <w:noProof/>
          <w:szCs w:val="24"/>
        </w:rPr>
        <w:t>104</w:t>
      </w:r>
      <w:r w:rsidRPr="00613131">
        <w:rPr>
          <w:rFonts w:ascii="Calibri" w:hAnsi="Calibri" w:cs="Calibri"/>
          <w:noProof/>
          <w:szCs w:val="24"/>
        </w:rPr>
        <w:t>(October 2014), 221–230. https://doi.org/10.1016/j.neuroimage.2014.10.006</w:t>
      </w:r>
    </w:p>
    <w:p w14:paraId="6816D900"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McIntyre, J., Zago, M., &amp; Berthoz, A. (2001). Does the Brain Model Newton’s Laws. </w:t>
      </w:r>
      <w:r w:rsidRPr="00613131">
        <w:rPr>
          <w:rFonts w:ascii="Calibri" w:hAnsi="Calibri" w:cs="Calibri"/>
          <w:i/>
          <w:iCs/>
          <w:noProof/>
          <w:szCs w:val="24"/>
        </w:rPr>
        <w:t>Nature Neuroscience</w:t>
      </w:r>
      <w:r w:rsidRPr="00613131">
        <w:rPr>
          <w:rFonts w:ascii="Calibri" w:hAnsi="Calibri" w:cs="Calibri"/>
          <w:noProof/>
          <w:szCs w:val="24"/>
        </w:rPr>
        <w:t xml:space="preserve">, </w:t>
      </w:r>
      <w:r w:rsidRPr="00613131">
        <w:rPr>
          <w:rFonts w:ascii="Calibri" w:hAnsi="Calibri" w:cs="Calibri"/>
          <w:i/>
          <w:iCs/>
          <w:noProof/>
          <w:szCs w:val="24"/>
        </w:rPr>
        <w:t>12</w:t>
      </w:r>
      <w:r w:rsidRPr="00613131">
        <w:rPr>
          <w:rFonts w:ascii="Calibri" w:hAnsi="Calibri" w:cs="Calibri"/>
          <w:noProof/>
          <w:szCs w:val="24"/>
        </w:rPr>
        <w:t>(17), 109–110. https://doi.org/10.1097/00001756-200112040-00004</w:t>
      </w:r>
    </w:p>
    <w:p w14:paraId="4F8FB429"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Monache, S. D., Lacquaniti, F., &amp; Bosco, G. (2019). Ocular tracking of occluded ballistic trajectories: Effects of visual context and of target law of motion. </w:t>
      </w:r>
      <w:r w:rsidRPr="00613131">
        <w:rPr>
          <w:rFonts w:ascii="Calibri" w:hAnsi="Calibri" w:cs="Calibri"/>
          <w:i/>
          <w:iCs/>
          <w:noProof/>
          <w:szCs w:val="24"/>
        </w:rPr>
        <w:t>Journal of Vision</w:t>
      </w:r>
      <w:r w:rsidRPr="00613131">
        <w:rPr>
          <w:rFonts w:ascii="Calibri" w:hAnsi="Calibri" w:cs="Calibri"/>
          <w:noProof/>
          <w:szCs w:val="24"/>
        </w:rPr>
        <w:t xml:space="preserve">, </w:t>
      </w:r>
      <w:r w:rsidRPr="00613131">
        <w:rPr>
          <w:rFonts w:ascii="Calibri" w:hAnsi="Calibri" w:cs="Calibri"/>
          <w:i/>
          <w:iCs/>
          <w:noProof/>
          <w:szCs w:val="24"/>
        </w:rPr>
        <w:t>19</w:t>
      </w:r>
      <w:r w:rsidRPr="00613131">
        <w:rPr>
          <w:rFonts w:ascii="Calibri" w:hAnsi="Calibri" w:cs="Calibri"/>
          <w:noProof/>
          <w:szCs w:val="24"/>
        </w:rPr>
        <w:t>(4), 1–21. https://doi.org/10.1167/19.4.13</w:t>
      </w:r>
    </w:p>
    <w:p w14:paraId="56FF5698"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Moscatelli, A., &amp; Lacquaniti, F. (2011). The weight of time: Gravitational force enhances discrimination of visual motion duration. </w:t>
      </w:r>
      <w:r w:rsidRPr="00613131">
        <w:rPr>
          <w:rFonts w:ascii="Calibri" w:hAnsi="Calibri" w:cs="Calibri"/>
          <w:i/>
          <w:iCs/>
          <w:noProof/>
          <w:szCs w:val="24"/>
        </w:rPr>
        <w:t>Journal of Vision</w:t>
      </w:r>
      <w:r w:rsidRPr="00613131">
        <w:rPr>
          <w:rFonts w:ascii="Calibri" w:hAnsi="Calibri" w:cs="Calibri"/>
          <w:noProof/>
          <w:szCs w:val="24"/>
        </w:rPr>
        <w:t xml:space="preserve">, </w:t>
      </w:r>
      <w:r w:rsidRPr="00613131">
        <w:rPr>
          <w:rFonts w:ascii="Calibri" w:hAnsi="Calibri" w:cs="Calibri"/>
          <w:i/>
          <w:iCs/>
          <w:noProof/>
          <w:szCs w:val="24"/>
        </w:rPr>
        <w:t>11</w:t>
      </w:r>
      <w:r w:rsidRPr="00613131">
        <w:rPr>
          <w:rFonts w:ascii="Calibri" w:hAnsi="Calibri" w:cs="Calibri"/>
          <w:noProof/>
          <w:szCs w:val="24"/>
        </w:rPr>
        <w:t>(4), 1–17. https://doi.org/10.1167/11.4.1</w:t>
      </w:r>
    </w:p>
    <w:p w14:paraId="1CA9ECEC"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Norman, J. F., Todd, J. T., Perotti, V. J., &amp; Tittle, J. S. (1996). The Visual Perception of Three-Dimensional Length. </w:t>
      </w:r>
      <w:r w:rsidRPr="00613131">
        <w:rPr>
          <w:rFonts w:ascii="Calibri" w:hAnsi="Calibri" w:cs="Calibri"/>
          <w:i/>
          <w:iCs/>
          <w:noProof/>
          <w:szCs w:val="24"/>
        </w:rPr>
        <w:t>Journal of Experimental Psychology: Human Perception and Performance</w:t>
      </w:r>
      <w:r w:rsidRPr="00613131">
        <w:rPr>
          <w:rFonts w:ascii="Calibri" w:hAnsi="Calibri" w:cs="Calibri"/>
          <w:noProof/>
          <w:szCs w:val="24"/>
        </w:rPr>
        <w:t xml:space="preserve">, </w:t>
      </w:r>
      <w:r w:rsidRPr="00613131">
        <w:rPr>
          <w:rFonts w:ascii="Calibri" w:hAnsi="Calibri" w:cs="Calibri"/>
          <w:i/>
          <w:iCs/>
          <w:noProof/>
          <w:szCs w:val="24"/>
        </w:rPr>
        <w:t>22</w:t>
      </w:r>
      <w:r w:rsidRPr="00613131">
        <w:rPr>
          <w:rFonts w:ascii="Calibri" w:hAnsi="Calibri" w:cs="Calibri"/>
          <w:noProof/>
          <w:szCs w:val="24"/>
        </w:rPr>
        <w:t>(1), 173–186. https://doi.org/10.1037/0096-1523.22.1.173</w:t>
      </w:r>
    </w:p>
    <w:p w14:paraId="3DF2DC32"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Peirce, J. W. (2007). PsychoPy—Psychophysics software in Python. </w:t>
      </w:r>
      <w:r w:rsidRPr="00613131">
        <w:rPr>
          <w:rFonts w:ascii="Calibri" w:hAnsi="Calibri" w:cs="Calibri"/>
          <w:i/>
          <w:iCs/>
          <w:noProof/>
          <w:szCs w:val="24"/>
        </w:rPr>
        <w:t>Journal of Neuroscience Methods</w:t>
      </w:r>
      <w:r w:rsidRPr="00613131">
        <w:rPr>
          <w:rFonts w:ascii="Calibri" w:hAnsi="Calibri" w:cs="Calibri"/>
          <w:noProof/>
          <w:szCs w:val="24"/>
        </w:rPr>
        <w:t xml:space="preserve">, </w:t>
      </w:r>
      <w:r w:rsidRPr="00613131">
        <w:rPr>
          <w:rFonts w:ascii="Calibri" w:hAnsi="Calibri" w:cs="Calibri"/>
          <w:i/>
          <w:iCs/>
          <w:noProof/>
          <w:szCs w:val="24"/>
        </w:rPr>
        <w:t>162</w:t>
      </w:r>
      <w:r w:rsidRPr="00613131">
        <w:rPr>
          <w:rFonts w:ascii="Calibri" w:hAnsi="Calibri" w:cs="Calibri"/>
          <w:noProof/>
          <w:szCs w:val="24"/>
        </w:rPr>
        <w:t>(1–2), 8–13. https://doi.org/10.1016/J.JNEUMETH.2006.11.017</w:t>
      </w:r>
    </w:p>
    <w:p w14:paraId="28F6486D"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R Core Team. (2017). </w:t>
      </w:r>
      <w:r w:rsidRPr="00613131">
        <w:rPr>
          <w:rFonts w:ascii="Calibri" w:hAnsi="Calibri" w:cs="Calibri"/>
          <w:i/>
          <w:iCs/>
          <w:noProof/>
          <w:szCs w:val="24"/>
        </w:rPr>
        <w:t>A Language and Environment for Statistical Computing. R Foundation for Statistical Computing,</w:t>
      </w:r>
      <w:r w:rsidRPr="00613131">
        <w:rPr>
          <w:rFonts w:ascii="Calibri" w:hAnsi="Calibri" w:cs="Calibri"/>
          <w:noProof/>
          <w:szCs w:val="24"/>
        </w:rPr>
        <w:t>. Retrieved from http://www.r-project.org/.</w:t>
      </w:r>
    </w:p>
    <w:p w14:paraId="0B454469"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613131">
        <w:rPr>
          <w:rFonts w:ascii="Calibri" w:hAnsi="Calibri" w:cs="Calibri"/>
          <w:i/>
          <w:iCs/>
          <w:noProof/>
          <w:szCs w:val="24"/>
        </w:rPr>
        <w:t>Journal of Neuroscience</w:t>
      </w:r>
      <w:r w:rsidRPr="00613131">
        <w:rPr>
          <w:rFonts w:ascii="Calibri" w:hAnsi="Calibri" w:cs="Calibri"/>
          <w:noProof/>
          <w:szCs w:val="24"/>
        </w:rPr>
        <w:t xml:space="preserve">, </w:t>
      </w:r>
      <w:r w:rsidRPr="00613131">
        <w:rPr>
          <w:rFonts w:ascii="Calibri" w:hAnsi="Calibri" w:cs="Calibri"/>
          <w:i/>
          <w:iCs/>
          <w:noProof/>
          <w:szCs w:val="24"/>
        </w:rPr>
        <w:t>32</w:t>
      </w:r>
      <w:r w:rsidRPr="00613131">
        <w:rPr>
          <w:rFonts w:ascii="Calibri" w:hAnsi="Calibri" w:cs="Calibri"/>
          <w:noProof/>
          <w:szCs w:val="24"/>
        </w:rPr>
        <w:t>(6), 1969–1973. https://doi.org/10.1523/JNEUROSCI.3886-11.2012</w:t>
      </w:r>
    </w:p>
    <w:p w14:paraId="7B5E1634"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Spering, M., &amp; Montagnini, A. (2011). Do we track what we see? Common versus independent processing for motion perception and smooth pursuit eye movements: A review. </w:t>
      </w:r>
      <w:r w:rsidRPr="00613131">
        <w:rPr>
          <w:rFonts w:ascii="Calibri" w:hAnsi="Calibri" w:cs="Calibri"/>
          <w:i/>
          <w:iCs/>
          <w:noProof/>
          <w:szCs w:val="24"/>
        </w:rPr>
        <w:t>Vision Research</w:t>
      </w:r>
      <w:r w:rsidRPr="00613131">
        <w:rPr>
          <w:rFonts w:ascii="Calibri" w:hAnsi="Calibri" w:cs="Calibri"/>
          <w:noProof/>
          <w:szCs w:val="24"/>
        </w:rPr>
        <w:t xml:space="preserve">, </w:t>
      </w:r>
      <w:r w:rsidRPr="00613131">
        <w:rPr>
          <w:rFonts w:ascii="Calibri" w:hAnsi="Calibri" w:cs="Calibri"/>
          <w:i/>
          <w:iCs/>
          <w:noProof/>
          <w:szCs w:val="24"/>
        </w:rPr>
        <w:t>51</w:t>
      </w:r>
      <w:r w:rsidRPr="00613131">
        <w:rPr>
          <w:rFonts w:ascii="Calibri" w:hAnsi="Calibri" w:cs="Calibri"/>
          <w:noProof/>
          <w:szCs w:val="24"/>
        </w:rPr>
        <w:t>(8), 836–852. https://doi.org/10.1016/j.visres.2010.10.017</w:t>
      </w:r>
    </w:p>
    <w:p w14:paraId="6386D395"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Werkhoven, P., Snippe, H. P., &amp; Alexander, T. (1992). Visual processing of optic acceleration. </w:t>
      </w:r>
      <w:r w:rsidRPr="00613131">
        <w:rPr>
          <w:rFonts w:ascii="Calibri" w:hAnsi="Calibri" w:cs="Calibri"/>
          <w:i/>
          <w:iCs/>
          <w:noProof/>
          <w:szCs w:val="24"/>
        </w:rPr>
        <w:t>Vision Research</w:t>
      </w:r>
      <w:r w:rsidRPr="00613131">
        <w:rPr>
          <w:rFonts w:ascii="Calibri" w:hAnsi="Calibri" w:cs="Calibri"/>
          <w:noProof/>
          <w:szCs w:val="24"/>
        </w:rPr>
        <w:t xml:space="preserve">, </w:t>
      </w:r>
      <w:r w:rsidRPr="00613131">
        <w:rPr>
          <w:rFonts w:ascii="Calibri" w:hAnsi="Calibri" w:cs="Calibri"/>
          <w:i/>
          <w:iCs/>
          <w:noProof/>
          <w:szCs w:val="24"/>
        </w:rPr>
        <w:t>32</w:t>
      </w:r>
      <w:r w:rsidRPr="00613131">
        <w:rPr>
          <w:rFonts w:ascii="Calibri" w:hAnsi="Calibri" w:cs="Calibri"/>
          <w:noProof/>
          <w:szCs w:val="24"/>
        </w:rPr>
        <w:t>(12), 2313–2329. https://doi.org/10.1016/0042-6989(92)90095-Z</w:t>
      </w:r>
    </w:p>
    <w:p w14:paraId="466FDD5C"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Wertheim, A. H., &amp; Van Gelder, P. (1990). An acceleration illusion caused by underestimation of stimulus velocity during pursuit eye movements: Aubert-Fleischl revisited. </w:t>
      </w:r>
      <w:r w:rsidRPr="00613131">
        <w:rPr>
          <w:rFonts w:ascii="Calibri" w:hAnsi="Calibri" w:cs="Calibri"/>
          <w:i/>
          <w:iCs/>
          <w:noProof/>
          <w:szCs w:val="24"/>
        </w:rPr>
        <w:t>Perception</w:t>
      </w:r>
      <w:r w:rsidRPr="00613131">
        <w:rPr>
          <w:rFonts w:ascii="Calibri" w:hAnsi="Calibri" w:cs="Calibri"/>
          <w:noProof/>
          <w:szCs w:val="24"/>
        </w:rPr>
        <w:t xml:space="preserve">, </w:t>
      </w:r>
      <w:r w:rsidRPr="00613131">
        <w:rPr>
          <w:rFonts w:ascii="Calibri" w:hAnsi="Calibri" w:cs="Calibri"/>
          <w:i/>
          <w:iCs/>
          <w:noProof/>
          <w:szCs w:val="24"/>
        </w:rPr>
        <w:t>19</w:t>
      </w:r>
      <w:r w:rsidRPr="00613131">
        <w:rPr>
          <w:rFonts w:ascii="Calibri" w:hAnsi="Calibri" w:cs="Calibri"/>
          <w:noProof/>
          <w:szCs w:val="24"/>
        </w:rPr>
        <w:t xml:space="preserve">(4), 471–482. </w:t>
      </w:r>
      <w:r w:rsidRPr="00613131">
        <w:rPr>
          <w:rFonts w:ascii="Calibri" w:hAnsi="Calibri" w:cs="Calibri"/>
          <w:noProof/>
          <w:szCs w:val="24"/>
        </w:rPr>
        <w:lastRenderedPageBreak/>
        <w:t>https://doi.org/10.1068/p190471</w:t>
      </w:r>
    </w:p>
    <w:p w14:paraId="4C8BF148"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szCs w:val="24"/>
        </w:rPr>
      </w:pPr>
      <w:r w:rsidRPr="00613131">
        <w:rPr>
          <w:rFonts w:ascii="Calibri" w:hAnsi="Calibri" w:cs="Calibri"/>
          <w:noProof/>
          <w:szCs w:val="24"/>
        </w:rPr>
        <w:t xml:space="preserve">Zago, M., La Scaleia, B., Miller, W. L., &amp; Lacquaniti, F. (2011). Coherence of structural visual cues and pictorial gravity paves the way for interceptive actions. </w:t>
      </w:r>
      <w:r w:rsidRPr="00613131">
        <w:rPr>
          <w:rFonts w:ascii="Calibri" w:hAnsi="Calibri" w:cs="Calibri"/>
          <w:i/>
          <w:iCs/>
          <w:noProof/>
          <w:szCs w:val="24"/>
        </w:rPr>
        <w:t>Journal of Vision</w:t>
      </w:r>
      <w:r w:rsidRPr="00613131">
        <w:rPr>
          <w:rFonts w:ascii="Calibri" w:hAnsi="Calibri" w:cs="Calibri"/>
          <w:noProof/>
          <w:szCs w:val="24"/>
        </w:rPr>
        <w:t xml:space="preserve">, </w:t>
      </w:r>
      <w:r w:rsidRPr="00613131">
        <w:rPr>
          <w:rFonts w:ascii="Calibri" w:hAnsi="Calibri" w:cs="Calibri"/>
          <w:i/>
          <w:iCs/>
          <w:noProof/>
          <w:szCs w:val="24"/>
        </w:rPr>
        <w:t>11</w:t>
      </w:r>
      <w:r w:rsidRPr="00613131">
        <w:rPr>
          <w:rFonts w:ascii="Calibri" w:hAnsi="Calibri" w:cs="Calibri"/>
          <w:noProof/>
          <w:szCs w:val="24"/>
        </w:rPr>
        <w:t>(10), 1–10. https://doi.org/10.1167/11.10.13.Introduction</w:t>
      </w:r>
    </w:p>
    <w:p w14:paraId="2FB42F59" w14:textId="77777777" w:rsidR="00613131" w:rsidRPr="00613131" w:rsidRDefault="00613131" w:rsidP="00613131">
      <w:pPr>
        <w:widowControl w:val="0"/>
        <w:autoSpaceDE w:val="0"/>
        <w:autoSpaceDN w:val="0"/>
        <w:adjustRightInd w:val="0"/>
        <w:spacing w:line="240" w:lineRule="auto"/>
        <w:ind w:left="480" w:hanging="480"/>
        <w:rPr>
          <w:rFonts w:ascii="Calibri" w:hAnsi="Calibri" w:cs="Calibri"/>
          <w:noProof/>
        </w:rPr>
      </w:pPr>
      <w:r w:rsidRPr="00613131">
        <w:rPr>
          <w:rFonts w:ascii="Calibri" w:hAnsi="Calibri" w:cs="Calibri"/>
          <w:noProof/>
          <w:szCs w:val="24"/>
        </w:rPr>
        <w:t xml:space="preserve">Zago, M., McIntyre, J., Senot, P., &amp; Lacquaniti, F. (2008). Internal models and prediction of visual gravitational motion. </w:t>
      </w:r>
      <w:r w:rsidRPr="00613131">
        <w:rPr>
          <w:rFonts w:ascii="Calibri" w:hAnsi="Calibri" w:cs="Calibri"/>
          <w:i/>
          <w:iCs/>
          <w:noProof/>
          <w:szCs w:val="24"/>
        </w:rPr>
        <w:t>Vision Research</w:t>
      </w:r>
      <w:r w:rsidRPr="00613131">
        <w:rPr>
          <w:rFonts w:ascii="Calibri" w:hAnsi="Calibri" w:cs="Calibri"/>
          <w:noProof/>
          <w:szCs w:val="24"/>
        </w:rPr>
        <w:t xml:space="preserve">, </w:t>
      </w:r>
      <w:r w:rsidRPr="00613131">
        <w:rPr>
          <w:rFonts w:ascii="Calibri" w:hAnsi="Calibri" w:cs="Calibri"/>
          <w:i/>
          <w:iCs/>
          <w:noProof/>
          <w:szCs w:val="24"/>
        </w:rPr>
        <w:t>48</w:t>
      </w:r>
      <w:r w:rsidRPr="00613131">
        <w:rPr>
          <w:rFonts w:ascii="Calibri" w:hAnsi="Calibri" w:cs="Calibri"/>
          <w:noProof/>
          <w:szCs w:val="24"/>
        </w:rPr>
        <w:t>(14), 1532–1538. https://doi.org/10.1016/j.visres.2008.04.005</w:t>
      </w:r>
    </w:p>
    <w:p w14:paraId="65F45E85" w14:textId="042666E5" w:rsidR="00E32BF5" w:rsidRPr="004850CC" w:rsidRDefault="00E32BF5" w:rsidP="004850CC">
      <w:r>
        <w:fldChar w:fldCharType="end"/>
      </w:r>
    </w:p>
    <w:sectPr w:rsidR="00E32BF5" w:rsidRPr="0048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41577"/>
    <w:rsid w:val="000A198D"/>
    <w:rsid w:val="000A5B70"/>
    <w:rsid w:val="00112346"/>
    <w:rsid w:val="00121569"/>
    <w:rsid w:val="00130202"/>
    <w:rsid w:val="00153916"/>
    <w:rsid w:val="0016268C"/>
    <w:rsid w:val="001977EA"/>
    <w:rsid w:val="001C29B3"/>
    <w:rsid w:val="001C3968"/>
    <w:rsid w:val="00236BC9"/>
    <w:rsid w:val="00261565"/>
    <w:rsid w:val="0026775F"/>
    <w:rsid w:val="00282356"/>
    <w:rsid w:val="0029217A"/>
    <w:rsid w:val="00297476"/>
    <w:rsid w:val="002C490B"/>
    <w:rsid w:val="002F6546"/>
    <w:rsid w:val="0031495E"/>
    <w:rsid w:val="00334100"/>
    <w:rsid w:val="00335AF6"/>
    <w:rsid w:val="003405B4"/>
    <w:rsid w:val="00355892"/>
    <w:rsid w:val="0038698B"/>
    <w:rsid w:val="003A567D"/>
    <w:rsid w:val="00402308"/>
    <w:rsid w:val="004054A3"/>
    <w:rsid w:val="0045191F"/>
    <w:rsid w:val="00455516"/>
    <w:rsid w:val="004840BE"/>
    <w:rsid w:val="004850CC"/>
    <w:rsid w:val="004851B6"/>
    <w:rsid w:val="004A0054"/>
    <w:rsid w:val="004A0320"/>
    <w:rsid w:val="004D128E"/>
    <w:rsid w:val="004D3366"/>
    <w:rsid w:val="004F7B12"/>
    <w:rsid w:val="0053648B"/>
    <w:rsid w:val="0054296B"/>
    <w:rsid w:val="00562DCA"/>
    <w:rsid w:val="00580FFB"/>
    <w:rsid w:val="00595505"/>
    <w:rsid w:val="005A3235"/>
    <w:rsid w:val="005C2993"/>
    <w:rsid w:val="00604840"/>
    <w:rsid w:val="00613131"/>
    <w:rsid w:val="00640D5C"/>
    <w:rsid w:val="0065543C"/>
    <w:rsid w:val="006C6CE5"/>
    <w:rsid w:val="006D11B3"/>
    <w:rsid w:val="006D354B"/>
    <w:rsid w:val="006D769B"/>
    <w:rsid w:val="006E01DB"/>
    <w:rsid w:val="006F7F5C"/>
    <w:rsid w:val="007434FD"/>
    <w:rsid w:val="00744972"/>
    <w:rsid w:val="00751D13"/>
    <w:rsid w:val="007614EE"/>
    <w:rsid w:val="007774C7"/>
    <w:rsid w:val="007F0B9A"/>
    <w:rsid w:val="007F3FAE"/>
    <w:rsid w:val="00844D24"/>
    <w:rsid w:val="00855B76"/>
    <w:rsid w:val="00864209"/>
    <w:rsid w:val="008734D9"/>
    <w:rsid w:val="00880A31"/>
    <w:rsid w:val="00882444"/>
    <w:rsid w:val="00891775"/>
    <w:rsid w:val="008A7B56"/>
    <w:rsid w:val="008D72BE"/>
    <w:rsid w:val="008E5B63"/>
    <w:rsid w:val="00900F96"/>
    <w:rsid w:val="00955A21"/>
    <w:rsid w:val="00982F21"/>
    <w:rsid w:val="009A3299"/>
    <w:rsid w:val="009C1994"/>
    <w:rsid w:val="009F6043"/>
    <w:rsid w:val="00A05C6A"/>
    <w:rsid w:val="00A340F9"/>
    <w:rsid w:val="00A431AE"/>
    <w:rsid w:val="00A47DA8"/>
    <w:rsid w:val="00A6526E"/>
    <w:rsid w:val="00A6648E"/>
    <w:rsid w:val="00A86944"/>
    <w:rsid w:val="00AC189D"/>
    <w:rsid w:val="00AD59E9"/>
    <w:rsid w:val="00B117EC"/>
    <w:rsid w:val="00B13CEC"/>
    <w:rsid w:val="00B377BA"/>
    <w:rsid w:val="00B650B7"/>
    <w:rsid w:val="00B94CFD"/>
    <w:rsid w:val="00BD3838"/>
    <w:rsid w:val="00BF3834"/>
    <w:rsid w:val="00C148B2"/>
    <w:rsid w:val="00C660CF"/>
    <w:rsid w:val="00CA2A72"/>
    <w:rsid w:val="00CF0115"/>
    <w:rsid w:val="00D22200"/>
    <w:rsid w:val="00D42F15"/>
    <w:rsid w:val="00D62B98"/>
    <w:rsid w:val="00D90250"/>
    <w:rsid w:val="00D94AEE"/>
    <w:rsid w:val="00DA76F4"/>
    <w:rsid w:val="00DC2DE7"/>
    <w:rsid w:val="00DC3E91"/>
    <w:rsid w:val="00DC4107"/>
    <w:rsid w:val="00DD1FC4"/>
    <w:rsid w:val="00E034DA"/>
    <w:rsid w:val="00E23038"/>
    <w:rsid w:val="00E32BF5"/>
    <w:rsid w:val="00E470D6"/>
    <w:rsid w:val="00E642AA"/>
    <w:rsid w:val="00E82D8F"/>
    <w:rsid w:val="00E95B1F"/>
    <w:rsid w:val="00EB5FB9"/>
    <w:rsid w:val="00EC3AAF"/>
    <w:rsid w:val="00EE6444"/>
    <w:rsid w:val="00EE79BD"/>
    <w:rsid w:val="00EF1EFA"/>
    <w:rsid w:val="00F12838"/>
    <w:rsid w:val="00F1488E"/>
    <w:rsid w:val="00F168DD"/>
    <w:rsid w:val="00F2167B"/>
    <w:rsid w:val="00F34E8D"/>
    <w:rsid w:val="00F515FC"/>
    <w:rsid w:val="00F6145E"/>
    <w:rsid w:val="00F9735A"/>
    <w:rsid w:val="00FA364D"/>
    <w:rsid w:val="00FA5BF0"/>
    <w:rsid w:val="00FB336F"/>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demonstrations.wolfram.com/ProjectileWithAirDrag/" TargetMode="External"/><Relationship Id="rId12" Type="http://schemas.openxmlformats.org/officeDocument/2006/relationships/hyperlink" Target="https://github.com/b-jorges/SD-of-Gravity-Prio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hyperlink" Target="https://osf.io/8vg95/"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65A6-DD9F-4D12-BF57-6B4DDF029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6044</TotalTime>
  <Pages>13</Pages>
  <Words>16237</Words>
  <Characters>92551</Characters>
  <Application>Microsoft Office Word</Application>
  <DocSecurity>0</DocSecurity>
  <Lines>771</Lines>
  <Paragraphs>217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48</cp:revision>
  <dcterms:created xsi:type="dcterms:W3CDTF">2019-10-21T22:38:00Z</dcterms:created>
  <dcterms:modified xsi:type="dcterms:W3CDTF">2019-12-20T01:21:00Z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