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Heading1"/>
        <w:rPr>
          <w:lang w:val="en-US"/>
        </w:rPr>
      </w:pPr>
      <w:r>
        <w:rPr>
          <w:lang w:val="en-US"/>
        </w:rPr>
        <w:t>An upper bound for the Standard Deviation of a Strong Earth Gravity Prior</w:t>
      </w:r>
    </w:p>
    <w:p w14:paraId="40504E6E" w14:textId="7629226C" w:rsidR="00E32BF5" w:rsidRDefault="00E32BF5" w:rsidP="00E32BF5">
      <w:pPr>
        <w:pStyle w:val="Heading1"/>
        <w:rPr>
          <w:lang w:val="en-US"/>
        </w:rPr>
      </w:pPr>
      <w:r w:rsidRPr="00E32BF5">
        <w:rPr>
          <w:lang w:val="en-US"/>
        </w:rPr>
        <w:t>Abstract</w:t>
      </w:r>
    </w:p>
    <w:p w14:paraId="231A9008" w14:textId="26E0EBD0" w:rsidR="00E32BF5" w:rsidRPr="00E32BF5" w:rsidRDefault="00E32BF5" w:rsidP="00E32BF5">
      <w:r>
        <w:t>Ugh.</w:t>
      </w:r>
    </w:p>
    <w:p w14:paraId="63F1F076" w14:textId="1DC348D5" w:rsidR="00E32BF5" w:rsidRDefault="00E32BF5" w:rsidP="003A567D">
      <w:pPr>
        <w:jc w:val="both"/>
      </w:pPr>
    </w:p>
    <w:p w14:paraId="67CDC4AE" w14:textId="0625D937" w:rsidR="00E32BF5" w:rsidRPr="00E32BF5" w:rsidRDefault="00E32BF5" w:rsidP="00E32BF5">
      <w:pPr>
        <w:pStyle w:val="Heading1"/>
        <w:rPr>
          <w:lang w:val="en-US"/>
        </w:rPr>
      </w:pPr>
      <w:r w:rsidRPr="00E32BF5">
        <w:rPr>
          <w:lang w:val="en-US"/>
        </w:rPr>
        <w:t>Introduction</w:t>
      </w:r>
    </w:p>
    <w:p w14:paraId="7DD42585" w14:textId="77777777"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did not only match performance under a 1g expectation,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 xml:space="preserve">that the mean of this strong gravity prior is roughly at 1g (9.81 m/s²), but to fully characterize it, we also need to indicate </w:t>
      </w:r>
      <w:r w:rsidR="0053648B">
        <w:t xml:space="preserve">its </w:t>
      </w:r>
      <w:r w:rsidR="009A3299">
        <w:t>standard deviation.</w:t>
      </w:r>
      <w:r w:rsidR="00153916">
        <w:t xml:space="preserve"> </w:t>
      </w:r>
    </w:p>
    <w:p w14:paraId="737F43B2" w14:textId="7FB13264" w:rsidR="00BD3838" w:rsidRPr="004F7B12" w:rsidRDefault="00BD3838" w:rsidP="003A567D">
      <w:pPr>
        <w:jc w:val="both"/>
      </w:pPr>
      <w:r>
        <w:t>We envision</w:t>
      </w:r>
      <w:r w:rsidR="00E23038">
        <w:t xml:space="preserve"> (visual)</w:t>
      </w:r>
      <w:r>
        <w:t xml:space="preserve"> perception as a</w:t>
      </w:r>
      <w:r w:rsidR="00E23038">
        <w:t xml:space="preserve"> two-step</w:t>
      </w:r>
      <w:r>
        <w:t xml:space="preserve"> process: Encoding and Decoding. During Encoding, low level signals such as luminosity, retinal velocities or orientation are picked up by the perceptual system. However, 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 In some, if not many instances, this combination occurs according to Bayes’ formula, which combines sensory input (Likelihood) and prior knowledge (Prior) according to their respective precisions to yield a more precise</w:t>
      </w:r>
      <w:r w:rsidR="00855B76">
        <w:t xml:space="preserve"> and more accurate final percept (Posterior).</w:t>
      </w:r>
      <w:r w:rsidR="004F7B12">
        <w:t xml:space="preserve"> Now, usually the likelihood might be weighted a bit more heavily; for </w:t>
      </w:r>
      <w:proofErr w:type="gramStart"/>
      <w:r w:rsidR="004F7B12">
        <w:t>example</w:t>
      </w:r>
      <w:proofErr w:type="gramEnd"/>
      <w:r w:rsidR="004F7B12">
        <w:t xml:space="preserve"> when we know that our opponent in tennis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4F7B12">
        <w:t xml:space="preserve">. We thus take sensory input (e. g. about his 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p>
    <w:p w14:paraId="5D9D00A7" w14:textId="77777777" w:rsidR="00E23038" w:rsidRDefault="00864209" w:rsidP="00E23038">
      <w:pPr>
        <w:keepNext/>
        <w:jc w:val="both"/>
      </w:pPr>
      <w:r>
        <w:rPr>
          <w:noProof/>
        </w:rPr>
        <w:lastRenderedPageBreak/>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5D03503E"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Pr="00E23038">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5B204BBA" w14:textId="1132752D" w:rsidR="00153916" w:rsidRDefault="00153916" w:rsidP="003A567D">
      <w:pPr>
        <w:jc w:val="both"/>
      </w:pPr>
      <w:r>
        <w:t xml:space="preserve">According to our interpretation, we </w:t>
      </w:r>
      <w:r w:rsidR="008D72BE">
        <w:t xml:space="preserve">would </w:t>
      </w:r>
      <w:r>
        <w:t>expect</w:t>
      </w:r>
      <w:r w:rsidR="009A3299">
        <w:t xml:space="preserve"> </w:t>
      </w:r>
      <w:r>
        <w:t>a</w:t>
      </w:r>
      <w:r w:rsidR="008D72BE">
        <w:t>n extremely</w:t>
      </w:r>
      <w:r>
        <w:t xml:space="preserve"> low value.</w:t>
      </w:r>
    </w:p>
    <w:p w14:paraId="010605AD" w14:textId="4AF60ADA"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t>Methods</w:t>
      </w:r>
    </w:p>
    <w:p w14:paraId="2DF052F7" w14:textId="77777777" w:rsidR="008D72BE" w:rsidRDefault="008D72BE" w:rsidP="008D72BE">
      <w:pPr>
        <w:pStyle w:val="Heading2"/>
        <w:rPr>
          <w:lang w:val="en-US"/>
        </w:rPr>
      </w:pPr>
      <w:r>
        <w:rPr>
          <w:lang w:val="en-US"/>
        </w:rPr>
        <w:t>Participants</w:t>
      </w:r>
    </w:p>
    <w:p w14:paraId="77AB9D00" w14:textId="3574C6D8" w:rsidR="008D72BE" w:rsidRDefault="008D72BE" w:rsidP="008D72BE">
      <w:pPr>
        <w:jc w:val="both"/>
      </w:pPr>
      <w:r>
        <w:t>A total of eleven (n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 = </w:t>
      </w:r>
      <w:r>
        <w:t>5</w:t>
      </w:r>
      <w:r w:rsidRPr="00C6356F">
        <w:t>) were female. We did not test their explicit knowledge of physics, as previous studies suggest that explicit knowledge about gravity has no effect on performance in related tasks</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77777777"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6"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77777777" w:rsidR="008D72BE" w:rsidRPr="00277A48" w:rsidRDefault="008D72BE" w:rsidP="00334100">
            <w:pPr>
              <w:pStyle w:val="MaterialsandMethodsText"/>
            </w:pPr>
            <w:r w:rsidRPr="00277A48">
              <w:t>[</w:t>
            </w:r>
            <w:r>
              <w:t>1</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w:lastRenderedPageBreak/>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77777777" w:rsidR="008D72BE" w:rsidRPr="00277A48" w:rsidRDefault="008D72BE" w:rsidP="00334100">
            <w:pPr>
              <w:pStyle w:val="MaterialsandMethodsText"/>
            </w:pPr>
            <w:r w:rsidRPr="00277A48">
              <w:t>[</w:t>
            </w:r>
            <w:r>
              <w:t>2</w:t>
            </w:r>
            <w:r w:rsidRPr="00277A48">
              <w:t>]</w:t>
            </w:r>
          </w:p>
        </w:tc>
      </w:tr>
    </w:tbl>
    <w:p w14:paraId="7CD79C17" w14:textId="77777777" w:rsidR="008D72BE" w:rsidRPr="00E1293C" w:rsidRDefault="008D72BE" w:rsidP="008D72BE">
      <w:pPr>
        <w:keepNext/>
        <w:jc w:val="both"/>
      </w:pPr>
      <w:r>
        <w:rPr>
          <w:noProof/>
        </w:rPr>
        <mc:AlternateContent>
          <mc:Choice Requires="wpg">
            <w:drawing>
              <wp:anchor distT="0" distB="0" distL="114300" distR="114300" simplePos="0" relativeHeight="251659264" behindDoc="0" locked="0" layoutInCell="1" allowOverlap="1" wp14:anchorId="20B5E39D" wp14:editId="7CE9B2B5">
                <wp:simplePos x="0" y="0"/>
                <wp:positionH relativeFrom="margin">
                  <wp:align>right</wp:align>
                </wp:positionH>
                <wp:positionV relativeFrom="paragraph">
                  <wp:posOffset>422275</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026DF549" w:rsidR="00BD3838" w:rsidRPr="00820822" w:rsidRDefault="00BD3838"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23038">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BD3838" w:rsidRPr="00820822" w:rsidRDefault="00BD3838"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33.25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SABGn3wAAAAc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026DF549" w:rsidR="00BD3838" w:rsidRPr="00820822" w:rsidRDefault="00BD3838"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23038">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BD3838" w:rsidRPr="00820822" w:rsidRDefault="00BD3838" w:rsidP="008D72BE">
                        <w:pPr>
                          <w:pStyle w:val="Caption"/>
                          <w:rPr>
                            <w:noProof/>
                            <w:lang w:val="en-US"/>
                          </w:rPr>
                        </w:pPr>
                      </w:p>
                    </w:txbxContent>
                  </v:textbox>
                </v:shape>
                <w10:wrap type="square" anchorx="margin"/>
              </v:group>
            </w:pict>
          </mc:Fallback>
        </mc:AlternateContent>
      </w: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5CB8A481"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w:t>
      </w:r>
      <w:r w:rsidRPr="00DA4DDD">
        <w:lastRenderedPageBreak/>
        <w:t>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092CD1DB" w:rsidR="008D72BE" w:rsidRDefault="008D72BE" w:rsidP="008D72BE">
      <w:pPr>
        <w:jc w:val="both"/>
      </w:pPr>
      <w:r w:rsidRPr="00DA4DDD">
        <w:t>Two Sony laser projectors (VPL-FH</w:t>
      </w:r>
      <w:r>
        <w:t>Z</w:t>
      </w:r>
      <w:r w:rsidRPr="00DA4DDD">
        <w:t xml:space="preserve">57) </w:t>
      </w:r>
      <w:r>
        <w:t xml:space="preserve">were </w:t>
      </w:r>
      <w:r w:rsidRPr="00DA4DDD">
        <w:t xml:space="preserve">used to provide overlaid images on a back-projection screen (244 cm height and 184 cm width) with a resolution of 1920x1080 pixels. The frequency of refresh of the image </w:t>
      </w:r>
      <w:r>
        <w:t xml:space="preserve">was </w:t>
      </w:r>
      <w:r w:rsidRPr="00DA4DDD">
        <w:t xml:space="preserve">85 Hz for </w:t>
      </w:r>
      <w:r w:rsidRPr="000C32F9">
        <w:t>each</w:t>
      </w:r>
      <w:r w:rsidRPr="00DA4DDD">
        <w:t xml:space="preserve"> eye. Circular polarizing filters </w:t>
      </w:r>
      <w:r>
        <w:t xml:space="preserve">were </w:t>
      </w:r>
      <w:r w:rsidRPr="00DA4DDD">
        <w:t xml:space="preserve">used to provide stereoscopic images. Participants </w:t>
      </w:r>
      <w:r>
        <w:t xml:space="preserve">stood </w:t>
      </w:r>
      <w:r w:rsidRPr="00DA4DDD">
        <w:t>at 2</w:t>
      </w:r>
      <w:r>
        <w:t> </w:t>
      </w:r>
      <w:r w:rsidRPr="00DA4DDD">
        <w:t>m distance centrally in front of the screen and use</w:t>
      </w:r>
      <w:r>
        <w:t>d</w:t>
      </w:r>
      <w:r w:rsidRPr="00DA4DDD">
        <w:t xml:space="preserve"> polarized glasses to achieve stereoscopic vision of the visual scene and the target. The shown disparity </w:t>
      </w:r>
      <w:r>
        <w:t xml:space="preserve">was </w:t>
      </w:r>
      <w:r w:rsidRPr="00DA4DDD">
        <w:t>adapted to each participant's inter-ocular distance</w:t>
      </w:r>
      <w:r>
        <w:t xml:space="preserve">. The stimuli were programmed in </w:t>
      </w:r>
      <w:proofErr w:type="spellStart"/>
      <w:r>
        <w:t>PsychoPy</w:t>
      </w:r>
      <w:proofErr w:type="spellEnd"/>
      <w:r>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fldChar w:fldCharType="separate"/>
      </w:r>
      <w:r w:rsidR="00595505" w:rsidRPr="00595505">
        <w:rPr>
          <w:noProof/>
        </w:rPr>
        <w:t>(Peirce, 2007)</w:t>
      </w:r>
      <w:r>
        <w:fldChar w:fldCharType="end"/>
      </w:r>
      <w:r>
        <w:t>; we added the code to our pre-registration (</w:t>
      </w:r>
      <w:hyperlink r:id="rId9" w:history="1">
        <w:r w:rsidRPr="00000C40">
          <w:rPr>
            <w:rStyle w:val="Hyperlink"/>
          </w:rPr>
          <w:t>https://osf.io/8vg95/</w:t>
        </w:r>
      </w:hyperlink>
      <w:r w:rsidRPr="006F3126">
        <w:t>)</w:t>
      </w:r>
      <w:r>
        <w:t>. The projectors introduced a delay of</w:t>
      </w:r>
      <w:r w:rsidRPr="00D95CE3">
        <w:t xml:space="preserve"> </w:t>
      </w:r>
      <w:r w:rsidRPr="00315663">
        <w:t>0.049259 s (SD = 0.001894 s) that will be accounted for in the analysis of timing responses.</w:t>
      </w:r>
      <w:r>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76EC4844"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For our eye-tracking hypothesis, we furthermore tested one block of -1g/1g motion, which will not be used in the simulations presented in this paper</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619D4439" w14:textId="694F31B8" w:rsidR="004A0054" w:rsidRDefault="004A0054"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06854CAC" w:rsidR="00A05C6A" w:rsidRDefault="004D3366" w:rsidP="00FD302A">
      <w:pPr>
        <w:jc w:val="both"/>
      </w:pPr>
      <w:r>
        <w:t>While</w:t>
      </w:r>
      <w:r w:rsidR="0031495E">
        <w:t xml:space="preserve"> we have reported the main results of this experiment in a previous paper </w:t>
      </w:r>
      <w:r w:rsidR="0031495E">
        <w:fldChar w:fldCharType="begin" w:fldLock="1"/>
      </w:r>
      <w:r w:rsidR="006F7F5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1495E">
        <w:fldChar w:fldCharType="separate"/>
      </w:r>
      <w:r w:rsidR="0031495E" w:rsidRPr="0031495E">
        <w:rPr>
          <w:noProof/>
        </w:rPr>
        <w:t>(Jörges &amp; López-Moliner, 2019)</w:t>
      </w:r>
      <w:r w:rsidR="0031495E">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 will report mean timing errors as well their standard deviations</w:t>
      </w:r>
      <w:r w:rsidR="00D90250">
        <w:t xml:space="preserve"> for the 0.7-1.3g trials in the Long Occlusion condition.</w:t>
      </w:r>
    </w:p>
    <w:p w14:paraId="7673D128" w14:textId="04B99D66" w:rsidR="0031495E" w:rsidRPr="00982F21" w:rsidRDefault="00982F21" w:rsidP="00FD302A">
      <w:pPr>
        <w:jc w:val="both"/>
        <w:rPr>
          <w:lang w:val="de-DE"/>
        </w:rPr>
      </w:pPr>
      <w:r>
        <w:rPr>
          <w:noProof/>
          <w:lang w:val="de-DE"/>
        </w:rPr>
        <w:lastRenderedPageBreak/>
        <w:drawing>
          <wp:inline distT="0" distB="0" distL="0" distR="0" wp14:anchorId="5EBB5114" wp14:editId="6947DB6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4FADD7" w14:textId="7D4C4DCA" w:rsidR="0031495E" w:rsidRPr="00E470D6" w:rsidRDefault="00E470D6" w:rsidP="00FD302A">
      <w:pPr>
        <w:jc w:val="both"/>
      </w:pPr>
      <w:r w:rsidRPr="00E470D6">
        <w:t>To</w:t>
      </w:r>
      <w:r>
        <w:t xml:space="preserve"> assess biases, we fit</w:t>
      </w:r>
      <w:r w:rsidR="00D94AEE">
        <w:t>ted</w:t>
      </w:r>
      <w:r>
        <w:t xml:space="preserve"> a Linear Mixed Model </w:t>
      </w:r>
      <w:r w:rsidR="00D94AEE">
        <w:t>where the Temporal Error is explained by</w:t>
      </w:r>
      <w:r w:rsidR="00D94AEE">
        <w:softHyphen/>
      </w:r>
      <w:r>
        <w:t xml:space="preserve"> Gravity as fixed effect, and intercepts per Subject as random effects. We compare this Test Model to a Null Model, without fixed effects and only intercepts per Subject as random effects. An ANOVA showed that the Test Model is significantly better than the Null Model (p &lt; 0.001</w:t>
      </w:r>
      <w:r w:rsidRPr="00E470D6">
        <w:t>)</w:t>
      </w:r>
      <w:r>
        <w:t>, and the regression coefficient for Gravity is 0.022 (SE = 0.0007). That is, higher gravities are related to higher absolute values of the temporal errors; higher gravities thus lead to too late responses, while lower gravities lead to too early responses.</w:t>
      </w:r>
      <w:r w:rsidR="00D62B98">
        <w:t xml:space="preserve"> Figure 1 shows the Temporal Errors </w:t>
      </w:r>
    </w:p>
    <w:p w14:paraId="7C9212A2" w14:textId="684DCC7D" w:rsidR="001C29B3"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 We compare this Test Model to a Null Model, without fixed effects and only intercepts per Subject as random effects. An ANOVA showed that the Test Model was significantly better than the Null Model (p &lt; 0.001</w:t>
      </w:r>
      <w:r w:rsidR="005A3235" w:rsidRPr="00E470D6">
        <w:t>)</w:t>
      </w:r>
      <w:r w:rsidR="005A3235">
        <w:t xml:space="preserve">, and the regression coefficient for the fixed effect Gravity is -0.003 (SE = 0.0004). This indicates that higher gravities are related to lower variability, most likely </w:t>
      </w:r>
      <w:proofErr w:type="gramStart"/>
      <w:r w:rsidR="005A3235">
        <w:t>due to the fact that</w:t>
      </w:r>
      <w:proofErr w:type="gramEnd"/>
      <w:r w:rsidR="005A3235">
        <w:t xml:space="preserve"> the interval for which the motion has to be extrapolated is shorter.</w:t>
      </w:r>
      <w:r w:rsidR="00D62B98">
        <w:t xml:space="preserve"> Interestingly, when comparing -1g and 1g, we find that </w:t>
      </w:r>
      <w:r w:rsidR="001C29B3">
        <w:t xml:space="preserve">included </w:t>
      </w:r>
      <w:r w:rsidR="00121569">
        <w:t>conditions.</w:t>
      </w:r>
      <w:r w:rsidR="00D62B98">
        <w:t xml:space="preserve"> 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DC4107" w14:paraId="2A469646" w14:textId="77777777" w:rsidTr="00DC4107">
        <w:tc>
          <w:tcPr>
            <w:tcW w:w="972" w:type="dxa"/>
          </w:tcPr>
          <w:p w14:paraId="494F3E2B" w14:textId="70A64617" w:rsidR="00DC4107" w:rsidRPr="00744972" w:rsidRDefault="004054A3"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261565">
            <w:pPr>
              <w:jc w:val="center"/>
            </w:pPr>
            <w:r>
              <w:t>0.11</w:t>
            </w:r>
          </w:p>
        </w:tc>
      </w:tr>
    </w:tbl>
    <w:p w14:paraId="015ACA05" w14:textId="4ACE998D" w:rsidR="00744972" w:rsidRDefault="00744972" w:rsidP="00744972">
      <w:pPr>
        <w:jc w:val="both"/>
      </w:pPr>
      <w:r>
        <w:t xml:space="preserve">Interestingly, precision </w:t>
      </w:r>
      <w:r w:rsidR="00C660CF">
        <w:t>seems to be</w:t>
      </w:r>
      <w:r>
        <w:t xml:space="preserve"> higher for 1g trials than for -1g trials. To test this, we fitted a Linear Mixed Model to the -1g/1g data, where gravity as fixed effect factor and subjects as random effects predict the absolute Temporal Error as proxy for the precision. We compare this Test Model with a Null Model where only subjects as random effects predict the absolute Temporal Error. An ANOVA showed that the Test Model was significantly better than the Null Model (p &lt; 0.001</w:t>
      </w:r>
      <w:r w:rsidRPr="00E470D6">
        <w:t>)</w:t>
      </w:r>
      <w:r>
        <w:t xml:space="preserve">, and the regression coefficient </w:t>
      </w:r>
      <w:r>
        <w:lastRenderedPageBreak/>
        <w:t xml:space="preserve">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C660CF">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1304DE70" w:rsidR="00FD302A" w:rsidRDefault="00FD302A" w:rsidP="004A0054">
      <w:pPr>
        <w:pStyle w:val="Heading1"/>
        <w:rPr>
          <w:lang w:val="en-US"/>
        </w:rPr>
      </w:pPr>
      <w:r w:rsidRPr="00FD302A">
        <w:rPr>
          <w:lang w:val="en-US"/>
        </w:rPr>
        <w:t>Modelling</w:t>
      </w:r>
    </w:p>
    <w:p w14:paraId="6E794359" w14:textId="3D1999E7" w:rsidR="004A0054" w:rsidRPr="004A0054" w:rsidRDefault="004A0054" w:rsidP="004A0054">
      <w:pPr>
        <w:spacing w:after="0"/>
        <w:rPr>
          <w:rStyle w:val="Heading2Char"/>
          <w:lang w:val="en-US"/>
        </w:rPr>
      </w:pPr>
    </w:p>
    <w:p w14:paraId="1A321467" w14:textId="218336D7" w:rsidR="004A0054" w:rsidRPr="004A0054" w:rsidRDefault="004A0054" w:rsidP="004A0054">
      <w:pPr>
        <w:spacing w:after="0"/>
        <w:rPr>
          <w:rStyle w:val="Heading2Char"/>
          <w:lang w:val="en-US"/>
        </w:rPr>
      </w:pPr>
      <w:r>
        <w:rPr>
          <w:rStyle w:val="Heading2Char"/>
          <w:lang w:val="en-US"/>
        </w:rPr>
        <w:t>Procedure</w:t>
      </w:r>
    </w:p>
    <w:p w14:paraId="7D8DD46A" w14:textId="1C030229" w:rsidR="0038698B" w:rsidRDefault="00FD302A" w:rsidP="00FD302A">
      <w:r>
        <w:t>As the temporal difference between air drag present and air drag absent</w:t>
      </w:r>
      <w:r w:rsidR="0038698B">
        <w:t xml:space="preserve"> are miniscule for our trajectories, we decided to neglect air drag for these simulations and use the equation for linear</w:t>
      </w:r>
      <w:r w:rsidR="00B650B7">
        <w:t>ly</w:t>
      </w:r>
      <w:r w:rsidR="0038698B">
        <w:t xml:space="preserve"> accelerated motion as an approximation.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38698B" w:rsidRPr="00277A48" w14:paraId="18CD943D" w14:textId="77777777" w:rsidTr="00334100">
        <w:trPr>
          <w:trHeight w:val="376"/>
        </w:trPr>
        <w:tc>
          <w:tcPr>
            <w:tcW w:w="8314" w:type="dxa"/>
            <w:shd w:val="clear" w:color="auto" w:fill="FFFFFF" w:themeFill="background1"/>
            <w:vAlign w:val="center"/>
          </w:tcPr>
          <w:p w14:paraId="451AD1A8" w14:textId="77777777" w:rsidR="0038698B" w:rsidRPr="00277A48" w:rsidRDefault="004054A3" w:rsidP="00334100">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30E9EA48" w14:textId="77777777" w:rsidR="0038698B" w:rsidRPr="00277A48" w:rsidRDefault="0038698B" w:rsidP="00334100">
            <w:pPr>
              <w:pStyle w:val="MaterialsandMethodsText"/>
            </w:pPr>
            <w:r w:rsidRPr="00277A48">
              <w:t>[</w:t>
            </w:r>
            <w:r>
              <w:t>3</w:t>
            </w:r>
            <w:r w:rsidRPr="00277A48">
              <w:t>]</w:t>
            </w:r>
          </w:p>
        </w:tc>
      </w:tr>
      <w:tr w:rsidR="0038698B" w:rsidRPr="00277A48" w14:paraId="33677187" w14:textId="77777777" w:rsidTr="00334100">
        <w:trPr>
          <w:trHeight w:val="675"/>
        </w:trPr>
        <w:tc>
          <w:tcPr>
            <w:tcW w:w="8314" w:type="dxa"/>
            <w:shd w:val="clear" w:color="auto" w:fill="FFFFFF" w:themeFill="background1"/>
            <w:vAlign w:val="center"/>
          </w:tcPr>
          <w:p w14:paraId="21BCB7F6" w14:textId="77777777" w:rsidR="0038698B" w:rsidRDefault="004054A3" w:rsidP="00334100">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5FEA1D00" w14:textId="77777777" w:rsidR="0038698B" w:rsidRPr="00277A48" w:rsidRDefault="0038698B" w:rsidP="00334100">
            <w:pPr>
              <w:pStyle w:val="MaterialsandMethodsText"/>
            </w:pPr>
            <w:r w:rsidRPr="00277A48">
              <w:t>[</w:t>
            </w:r>
            <w:r>
              <w:t>4</w:t>
            </w:r>
            <w:r w:rsidRPr="00277A48">
              <w:t>]</w:t>
            </w:r>
          </w:p>
        </w:tc>
      </w:tr>
    </w:tbl>
    <w:p w14:paraId="227B0A6E" w14:textId="7DDF1988" w:rsidR="00FD302A" w:rsidRDefault="0038698B" w:rsidP="0038698B">
      <w:pPr>
        <w:jc w:val="both"/>
      </w:pPr>
      <w:r>
        <w:t>As evidenced by a comparison between equations (1) and (2) and equations (3) and (4), the computational complexity increases significantly if we want to accommodate air drag, without relevant gains in accuracy.</w:t>
      </w:r>
    </w:p>
    <w:p w14:paraId="14266157" w14:textId="77777777" w:rsidR="008734D9" w:rsidRDefault="00FD302A" w:rsidP="0038698B">
      <w:pPr>
        <w:jc w:val="both"/>
        <w:rPr>
          <w:rFonts w:eastAsiaTheme="minorEastAsia"/>
        </w:rPr>
      </w:pPr>
      <w:r>
        <w:t>There are two different ways to approach this problem. First, we can model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4C340C72"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4054A3"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06B04772" w:rsidR="00EE6444" w:rsidRPr="00277A48" w:rsidRDefault="00EE6444" w:rsidP="00334100">
            <w:pPr>
              <w:pStyle w:val="MaterialsandMethodsText"/>
            </w:pPr>
            <w:r w:rsidRPr="00277A48">
              <w:t>[</w:t>
            </w:r>
            <w:r>
              <w:t>5</w:t>
            </w:r>
            <w:r w:rsidRPr="00277A48">
              <w:t>]</w:t>
            </w:r>
          </w:p>
        </w:tc>
      </w:tr>
    </w:tbl>
    <w:p w14:paraId="2E0C898B" w14:textId="3EB7B3A2" w:rsidR="003405B4" w:rsidRPr="00EE6444" w:rsidRDefault="00EE6444" w:rsidP="00EE6444">
      <w:pPr>
        <w:jc w:val="both"/>
        <w:rPr>
          <w:rFonts w:eastAsiaTheme="minorEastAsia"/>
        </w:rPr>
      </w:pPr>
      <w:r>
        <w:rPr>
          <w:rFonts w:eastAsiaTheme="minorEastAsia"/>
        </w:rPr>
        <w:t>However, as evident from Equation 5, this would entail computing the standard deviation of the quotient of two distributions. This is not possible to our knowledge, for which reason we will focus on modelling responses.</w:t>
      </w:r>
    </w:p>
    <w:p w14:paraId="1B101AF6" w14:textId="77777777" w:rsidR="00EE6444" w:rsidRPr="00EE6444" w:rsidRDefault="00EE6444" w:rsidP="00EE6444"/>
    <w:p w14:paraId="3205658D" w14:textId="1B086556" w:rsidR="00FD302A" w:rsidRPr="00604840" w:rsidRDefault="00FD302A" w:rsidP="00FD302A">
      <w:pPr>
        <w:pStyle w:val="Heading3"/>
      </w:pPr>
      <w:r w:rsidRPr="00FD302A">
        <w:lastRenderedPageBreak/>
        <w:t>Assumptions</w:t>
      </w:r>
    </w:p>
    <w:p w14:paraId="141593B7" w14:textId="77777777" w:rsidR="00FD302A" w:rsidRDefault="00F1488E" w:rsidP="00FD302A">
      <w:r>
        <w:t>Before presenting the results, we outline our assumptions and provide the underlying rationale.</w:t>
      </w:r>
    </w:p>
    <w:p w14:paraId="1AD07D85" w14:textId="7F45D9AF"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 3 ms, and the added computational complexity does not justify the potentially added accuracy.</w:t>
      </w:r>
    </w:p>
    <w:p w14:paraId="4B6C06F8" w14:textId="5BBE6C20" w:rsidR="003405B4" w:rsidRDefault="004054A3"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 The velocity term in Equation (3)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 </w:t>
      </w:r>
      <w:r w:rsidR="00A340F9">
        <w:rPr>
          <w:rFonts w:eastAsiaTheme="minorEastAsia"/>
        </w:rPr>
        <w:t xml:space="preserve">The last observed velocity in y direction serves as mean for the distribution from which we draw the velocity for each trial. Weber fractions for velocity discrimination reported in the literature are about 5 % for </w:t>
      </w:r>
      <w:r w:rsidR="00A431AE">
        <w:rPr>
          <w:rFonts w:eastAsiaTheme="minorEastAsia"/>
        </w:rPr>
        <w:t>motion presented in the fovea.</w:t>
      </w:r>
      <w:r w:rsidR="00F2167B">
        <w:rPr>
          <w:rFonts w:eastAsiaTheme="minorEastAsia"/>
        </w:rPr>
        <w:t xml:space="preserve"> </w:t>
      </w:r>
      <w:r w:rsidR="00A431AE">
        <w:rPr>
          <w:rFonts w:eastAsiaTheme="minorEastAsia"/>
        </w:rPr>
        <w:t xml:space="preserve">This is relevant as lower thresholds have been reported for motion presented in the peripheral vision. </w:t>
      </w:r>
      <w:r w:rsidR="00F2167B">
        <w:rPr>
          <w:rFonts w:eastAsiaTheme="minorEastAsia"/>
        </w:rPr>
        <w:t xml:space="preserve">However, our participants had the added difficulty of having to extract the vertical velocity component from parabolic motion. We estimate that this might double the difficulty, which would correspond to a Weber fraction of 10 %. </w:t>
      </w:r>
      <w:r w:rsidR="00A431AE">
        <w:rPr>
          <w:rFonts w:eastAsiaTheme="minorEastAsia"/>
        </w:rPr>
        <w:t xml:space="preserve">Weber fractions are that difference in stimulus intensity where subjects display a 75 % chance of discrimination.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10 %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0.148.</w:t>
      </w:r>
      <w:r w:rsidR="008A7B56">
        <w:rPr>
          <w:rFonts w:eastAsiaTheme="minorEastAsia"/>
        </w:rPr>
        <w:t xml:space="preserve"> Note that, by using a standardized normal distribution, we assume that Weber fractions are constant across the relevant range of stimulus strengths. </w:t>
      </w:r>
    </w:p>
    <w:p w14:paraId="0A544604" w14:textId="0ED0F5C4" w:rsidR="00F2167B" w:rsidRDefault="004054A3"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Again, as </w:t>
      </w:r>
      <w:r w:rsidR="009C1994">
        <w:rPr>
          <w:rFonts w:eastAsiaTheme="minorEastAsia"/>
        </w:rPr>
        <w:t>the target disappeared right after peak</w:t>
      </w:r>
      <w:r w:rsidR="00595505">
        <w:rPr>
          <w:rFonts w:eastAsiaTheme="minorEastAsia"/>
        </w:rPr>
        <w:t xml:space="preserve">, this terms importance is secondary with regards to the gravity term. In very easy conditions, Weber fractions of 3 % to 5 % are observed for distance estimate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 xml:space="preserve">. </w:t>
      </w:r>
      <w:r w:rsidR="00282356">
        <w:rPr>
          <w:rFonts w:eastAsiaTheme="minorEastAsia"/>
        </w:rPr>
        <w:t>According to the procedure outlined above, we find a standardized standard deviation of 0.074 for the distribution of this value.</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2BC6A025" w14:textId="77777777" w:rsidR="008734D9" w:rsidRDefault="008734D9" w:rsidP="00F2167B">
      <w:pPr>
        <w:jc w:val="both"/>
        <w:rPr>
          <w:rFonts w:eastAsiaTheme="minorEastAsia"/>
        </w:rPr>
      </w:pPr>
    </w:p>
    <w:p w14:paraId="78D50F39" w14:textId="44185518" w:rsidR="00E034DA" w:rsidRDefault="008734D9" w:rsidP="008734D9">
      <w:pPr>
        <w:pStyle w:val="Heading3"/>
      </w:pPr>
      <w:r>
        <w:t xml:space="preserve">Remaining </w:t>
      </w:r>
      <w:r w:rsidR="00EB5FB9">
        <w:t>Variability</w:t>
      </w:r>
    </w:p>
    <w:p w14:paraId="7F529505" w14:textId="03223E05" w:rsidR="006D769B" w:rsidRDefault="008734D9" w:rsidP="007614EE">
      <w:pPr>
        <w:jc w:val="both"/>
        <w:rPr>
          <w:rFonts w:eastAsiaTheme="minorEastAsia"/>
        </w:rPr>
      </w:pPr>
      <w:r w:rsidRPr="007614EE">
        <w:rPr>
          <w:rFonts w:eastAsiaTheme="minorEastAsia"/>
        </w:rPr>
        <w:t>For our simulations, we rely on accounting for every source of variability in the responses. In our understanding, there are two further sources of error beyond</w:t>
      </w:r>
      <w:r w:rsidR="00880A31">
        <w:rPr>
          <w:rFonts w:eastAsiaTheme="minorEastAsia"/>
        </w:rPr>
        <w:t xml:space="preserve"> perceiving and representing</w:t>
      </w:r>
      <w:r w:rsidRPr="007614EE">
        <w:rPr>
          <w:rFonts w:eastAsiaTheme="minorEastAsia"/>
        </w:rPr>
        <w:t xml:space="preserve"> </w:t>
      </w:r>
      <w:r w:rsidRPr="006D11B3">
        <w:rPr>
          <w:rFonts w:eastAsiaTheme="minorEastAsia"/>
          <w:b/>
          <w:bCs/>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Pr="007614EE">
        <w:rPr>
          <w:rFonts w:eastAsiaTheme="minorEastAsia"/>
        </w:rPr>
        <w:t xml:space="preserve">: the motor response and the </w:t>
      </w:r>
      <w:r w:rsidR="00C148B2" w:rsidRPr="007614EE">
        <w:rPr>
          <w:rFonts w:eastAsiaTheme="minorEastAsia"/>
        </w:rPr>
        <w:t>integrative mechanism that combines different pieces of information</w:t>
      </w:r>
      <w:r w:rsidR="00EB5FB9" w:rsidRPr="007614EE">
        <w:rPr>
          <w:rFonts w:eastAsiaTheme="minorEastAsia"/>
        </w:rPr>
        <w:t>.</w:t>
      </w:r>
      <w:r w:rsidR="00580FFB">
        <w:rPr>
          <w:rFonts w:eastAsiaTheme="minorEastAsia"/>
        </w:rPr>
        <w:t xml:space="preserve"> Such errors are 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7777A57C" w14:textId="12AE00CE"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DC2DE7">
        <w:softHyphen/>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accelerations are represented.</w:t>
      </w:r>
      <w:r w:rsidR="0029217A">
        <w:rPr>
          <w:rFonts w:eastAsiaTheme="minorEastAsia"/>
        </w:rPr>
        <w:t xml:space="preserve"> </w:t>
      </w:r>
      <w:r w:rsidR="0016268C">
        <w:rPr>
          <w:rFonts w:eastAsiaTheme="minorEastAsia"/>
        </w:rPr>
        <w:t xml:space="preserve">We previously found Weber fractions of between 13 % and beyond 30% </w:t>
      </w:r>
      <w:r w:rsidR="0016268C">
        <w:rPr>
          <w:rFonts w:eastAsiaTheme="minorEastAsia"/>
        </w:rPr>
        <w:lastRenderedPageBreak/>
        <w:t>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We </w:t>
      </w:r>
      <w:r w:rsidR="00FA364D">
        <w:rPr>
          <w:rFonts w:eastAsiaTheme="minorEastAsia"/>
        </w:rPr>
        <w:t xml:space="preserve">use these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w:r w:rsidR="00FA364D">
        <w:rPr>
          <w:rFonts w:eastAsiaTheme="minorEastAsia"/>
        </w:rPr>
        <w:softHyphen/>
      </w:r>
      <w:r w:rsidR="00FA364D">
        <w:rPr>
          <w:rFonts w:eastAsiaTheme="minorEastAsia"/>
        </w:rPr>
        <w:softHyphen/>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to</w:t>
      </w:r>
      <w:r w:rsidR="00B94CFD">
        <w:rPr>
          <w:rFonts w:eastAsiaTheme="minorEastAsia"/>
        </w:rPr>
        <w:t xml:space="preserve"> stimulate data sets for the -1g trials</w:t>
      </w:r>
      <w:r w:rsidR="00EE79BD">
        <w:rPr>
          <w:rFonts w:eastAsiaTheme="minorEastAsia"/>
        </w:rPr>
        <w:t xml:space="preserve">. Using the </w:t>
      </w:r>
      <w:proofErr w:type="spellStart"/>
      <w:proofErr w:type="gramStart"/>
      <w:r w:rsidR="00EE79BD">
        <w:rPr>
          <w:rFonts w:eastAsiaTheme="minorEastAsia"/>
        </w:rPr>
        <w:t>optim</w:t>
      </w:r>
      <w:proofErr w:type="spellEnd"/>
      <w:r w:rsidR="00EE79BD">
        <w:rPr>
          <w:rFonts w:eastAsiaTheme="minorEastAsia"/>
        </w:rPr>
        <w:t>(</w:t>
      </w:r>
      <w:proofErr w:type="gramEnd"/>
      <w:r w:rsidR="00EE79BD">
        <w:rPr>
          <w:rFonts w:eastAsiaTheme="minorEastAsia"/>
        </w:rPr>
        <w:t>) function implemented in R, we</w:t>
      </w:r>
      <w:r w:rsidR="00B94CFD">
        <w:rPr>
          <w:rFonts w:eastAsiaTheme="minorEastAsia"/>
        </w:rPr>
        <w:t xml:space="preserve"> optimiz</w:t>
      </w:r>
      <w:r w:rsidR="00EE79BD">
        <w:rPr>
          <w:rFonts w:eastAsiaTheme="minorEastAsia"/>
        </w:rPr>
        <w:t>e</w:t>
      </w:r>
      <w:r w:rsidR="00B94CFD">
        <w:rPr>
          <w:rFonts w:eastAsiaTheme="minorEastAsia"/>
        </w:rPr>
        <w:t xml:space="preserve"> over different standard deviations representing the </w:t>
      </w:r>
      <w:r w:rsidR="00FA364D">
        <w:rPr>
          <w:rFonts w:eastAsiaTheme="minorEastAsia"/>
        </w:rPr>
        <w:t>remaining error</w:t>
      </w:r>
      <w:r w:rsidR="00EE79BD">
        <w:rPr>
          <w:rFonts w:eastAsiaTheme="minorEastAsia"/>
        </w:rPr>
        <w:t xml:space="preserve">, to minimize the quadratic error between the standard deviations of the simulated timing error and the observed timing error. </w:t>
      </w:r>
      <w:r w:rsidR="00B94CFD">
        <w:rPr>
          <w:rFonts w:eastAsiaTheme="minorEastAsia"/>
        </w:rPr>
        <w:t xml:space="preserve">We found the best fit for </w:t>
      </w:r>
      <w:r w:rsidR="004850CC">
        <w:rPr>
          <w:rFonts w:eastAsiaTheme="minorEastAsia"/>
        </w:rPr>
        <w:t>a normalized standard deviation of 0.125.</w:t>
      </w:r>
    </w:p>
    <w:p w14:paraId="3986126C" w14:textId="27D3A2E9" w:rsidR="00FA364D" w:rsidRDefault="00FA364D" w:rsidP="00FA364D">
      <w:pPr>
        <w:pStyle w:val="Heading3"/>
      </w:pPr>
      <w:r w:rsidRPr="00FA364D">
        <w:t>The Standard Deviation of the Gravity Prior</w:t>
      </w:r>
    </w:p>
    <w:p w14:paraId="7D1D7ABD" w14:textId="668FFBC9" w:rsidR="00FA364D"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We furthermore only use the Long Occlusion condition, for which we have previously shown that an earth-gravity based predictions fit the data best.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0.01, corresponding to an extremely precise representation, to 0.5, corresponding to a very </w:t>
      </w:r>
      <w:r w:rsidR="006C6CE5">
        <w:rPr>
          <w:rFonts w:eastAsiaTheme="minorEastAsia"/>
        </w:rPr>
        <w:t>imprecise representation with barely any impact on the final percept</w:t>
      </w:r>
      <w:r w:rsidR="0065543C">
        <w:rPr>
          <w:rFonts w:eastAsiaTheme="minorEastAsia"/>
        </w:rPr>
        <w:t xml:space="preserve">, in steps of 0.02) to determine the lower and upper bounds of the optimization interval. We find </w:t>
      </w:r>
      <w:r w:rsidR="006C6CE5">
        <w:rPr>
          <w:rFonts w:eastAsiaTheme="minorEastAsia"/>
        </w:rPr>
        <w:t xml:space="preserve">the errors </w:t>
      </w:r>
      <w:r w:rsidR="0065543C">
        <w:rPr>
          <w:rFonts w:eastAsiaTheme="minorEastAsia"/>
        </w:rPr>
        <w:t xml:space="preserve">to be lowest around </w:t>
      </w:r>
      <w:proofErr w:type="gramStart"/>
      <w:r w:rsidR="0065543C">
        <w:rPr>
          <w:rFonts w:eastAsiaTheme="minorEastAsia"/>
        </w:rPr>
        <w:t>0.2, and</w:t>
      </w:r>
      <w:proofErr w:type="gramEnd"/>
      <w:r w:rsidR="0065543C">
        <w:rPr>
          <w:rFonts w:eastAsiaTheme="minorEastAsia"/>
        </w:rPr>
        <w:t xml:space="preserve"> choose thus 0.15 as the lower bound and 0.25 as the upper bound. </w:t>
      </w:r>
      <w:r>
        <w:rPr>
          <w:rFonts w:eastAsiaTheme="minorEastAsia"/>
        </w:rPr>
        <w:t xml:space="preserve">We </w:t>
      </w:r>
      <w:r w:rsidR="0065543C">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sidR="0065543C">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500 data sets and </w:t>
      </w:r>
      <w:r w:rsidR="006C6CE5">
        <w:rPr>
          <w:rFonts w:eastAsiaTheme="minorEastAsia"/>
        </w:rPr>
        <w:t xml:space="preserve">minimize the mean error between simulated and observed timing errors across these 500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1"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0.2 for the gravity prior, which corresponds to a standard deviation of about 2</w:t>
      </w:r>
      <w:r w:rsidR="00355892">
        <w:rPr>
          <w:rFonts w:eastAsiaTheme="minorEastAsia"/>
        </w:rPr>
        <w:t> m/s²</w:t>
      </w:r>
      <w:r w:rsidR="004850CC">
        <w:rPr>
          <w:rFonts w:eastAsiaTheme="minorEastAsia"/>
        </w:rPr>
        <w:t xml:space="preserve"> for a mean of 9.81 m/s².</w:t>
      </w:r>
    </w:p>
    <w:p w14:paraId="6B4ED07C" w14:textId="49A11EA8" w:rsidR="004850CC" w:rsidRDefault="004850CC" w:rsidP="00FA364D">
      <w:pPr>
        <w:jc w:val="both"/>
        <w:rPr>
          <w:rFonts w:eastAsiaTheme="minorEastAsia"/>
        </w:rPr>
      </w:pPr>
    </w:p>
    <w:p w14:paraId="742C6723" w14:textId="6526FC46" w:rsidR="00604840" w:rsidRPr="00D42F15" w:rsidRDefault="004850CC" w:rsidP="00D42F15">
      <w:pPr>
        <w:pStyle w:val="Heading2"/>
        <w:rPr>
          <w:lang w:val="en-US"/>
        </w:rPr>
      </w:pPr>
      <w:r w:rsidRPr="004850CC">
        <w:rPr>
          <w:lang w:val="en-US"/>
        </w:rPr>
        <w:t>Discussion</w:t>
      </w:r>
    </w:p>
    <w:p w14:paraId="336F2279" w14:textId="5C454B79" w:rsidR="00D42F15" w:rsidRDefault="006F7F5C" w:rsidP="00D22200">
      <w:pPr>
        <w:jc w:val="both"/>
        <w:rPr>
          <w:rFonts w:eastAsiaTheme="minorEastAsia"/>
        </w:rPr>
      </w:pPr>
      <w:r w:rsidRPr="00D22200">
        <w:rPr>
          <w:rFonts w:eastAsiaTheme="minorEastAsia"/>
        </w:rPr>
        <w:t xml:space="preserve">Based on the fact that humans in many tasks and circumstances assume that objects in their environment are affected by earth gravity, it has been suggested that we maintain a representation of this value, which we then recruit to predict the behavior of objects in our environment. We recently interpreted this representation as a Strong Prior in a Bayesian framework </w:t>
      </w:r>
      <w:r w:rsidRPr="00D22200">
        <w:rPr>
          <w:rFonts w:eastAsiaTheme="minorEastAsia"/>
        </w:rPr>
        <w:fldChar w:fldCharType="begin" w:fldLock="1"/>
      </w:r>
      <w:r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Pr="00D22200">
        <w:rPr>
          <w:rFonts w:eastAsiaTheme="minorEastAsia"/>
        </w:rPr>
        <w:fldChar w:fldCharType="separate"/>
      </w:r>
      <w:r w:rsidRPr="00D22200">
        <w:rPr>
          <w:rFonts w:eastAsiaTheme="minorEastAsia"/>
          <w:noProof/>
        </w:rPr>
        <w:t>(Jörges &amp; López-Moliner, 2017)</w:t>
      </w:r>
      <w:r w:rsidRPr="00D22200">
        <w:rPr>
          <w:rFonts w:eastAsiaTheme="minorEastAsia"/>
        </w:rPr>
        <w:fldChar w:fldCharType="end"/>
      </w:r>
      <w:r w:rsidRPr="00D22200">
        <w:rPr>
          <w:rFonts w:eastAsiaTheme="minorEastAsia"/>
        </w:rPr>
        <w:t xml:space="preserve">. A “Strong Prior” is a prior with a reliability so high that it overrules any sensory input represented in the likelihood. Based on data from timing task </w:t>
      </w:r>
      <w:r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Pr="00D22200">
        <w:rPr>
          <w:rFonts w:eastAsiaTheme="minorEastAsia"/>
        </w:rPr>
        <w:fldChar w:fldCharType="separate"/>
      </w:r>
      <w:r w:rsidRPr="00D22200">
        <w:rPr>
          <w:rFonts w:eastAsiaTheme="minorEastAsia"/>
          <w:noProof/>
        </w:rPr>
        <w:t>(previously reported in Jörges &amp; López-Moliner, 2019)</w:t>
      </w:r>
      <w:r w:rsidRPr="00D22200">
        <w:rPr>
          <w:rFonts w:eastAsiaTheme="minorEastAsia"/>
        </w:rPr>
        <w:fldChar w:fldCharType="end"/>
      </w:r>
      <w:r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2 m/s², for a prior </w:t>
      </w:r>
      <w:bookmarkStart w:id="0" w:name="_GoBack"/>
      <w:bookmarkEnd w:id="0"/>
      <w:r w:rsidR="00D22200">
        <w:rPr>
          <w:rFonts w:eastAsiaTheme="minorEastAsia"/>
        </w:rPr>
        <w:t>with a mean of 9.81 m/s²</w:t>
      </w:r>
      <w:r w:rsidR="00562DCA">
        <w:rPr>
          <w:rFonts w:eastAsiaTheme="minorEastAsia"/>
        </w:rPr>
        <w:t>, which corresponds to a Weber fraction of 13,8 %. This is considerably lower than Weber fractions generally observed for acceleration discrimination, but higher than Weber fractions for speed discrimination.</w:t>
      </w:r>
    </w:p>
    <w:p w14:paraId="4938728C" w14:textId="1EBA1E5D" w:rsidR="00562DCA" w:rsidRDefault="00562DCA" w:rsidP="00D22200">
      <w:pPr>
        <w:jc w:val="both"/>
        <w:rPr>
          <w:rFonts w:eastAsiaTheme="minorEastAsia"/>
        </w:rPr>
      </w:pPr>
      <w:r>
        <w:rPr>
          <w:rFonts w:eastAsiaTheme="minorEastAsia"/>
        </w:rPr>
        <w:t>Interestingly, when we modelled 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a value set at 1g; </w:t>
      </w:r>
      <w:r w:rsidR="00F6145E">
        <w:rPr>
          <w:rFonts w:eastAsiaTheme="minorEastAsia"/>
        </w:rPr>
        <w:fldChar w:fldCharType="begin" w:fldLock="1"/>
      </w:r>
      <w:r w:rsidR="00DA76F4">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w:t>
      </w:r>
      <w:r w:rsidR="00F6145E">
        <w:rPr>
          <w:rFonts w:eastAsiaTheme="minorEastAsia"/>
        </w:rPr>
        <w:lastRenderedPageBreak/>
        <w:t xml:space="preserve">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possibly if the Likelihood is extremely shallow and/or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xml:space="preserve">, and a Weber fraction of 13.8 % for the prior </w:t>
      </w:r>
      <w:r w:rsidR="004840BE">
        <w:rPr>
          <w:rFonts w:eastAsiaTheme="minorEastAsia"/>
        </w:rPr>
        <w:t xml:space="preserve">(as modelled) </w:t>
      </w:r>
      <w:r w:rsidR="00E82D8F">
        <w:rPr>
          <w:rFonts w:eastAsiaTheme="minorEastAsia"/>
        </w:rPr>
        <w:t>would not result in completely discarding the likelihood</w:t>
      </w:r>
      <w:r w:rsidR="004054A3">
        <w:rPr>
          <w:rFonts w:eastAsiaTheme="minorEastAsia"/>
        </w:rPr>
        <w:t xml:space="preserve"> (see also Figure 1)</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observed mean, the modelled standard deviation, behavioral results and a Bayesian explanation.</w:t>
      </w:r>
    </w:p>
    <w:p w14:paraId="762D8149" w14:textId="131D77D3"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estimated 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lower the Weber fraction we assumed when determining the motor error. This in turn would give us a higher estimate of motor variability, 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 xml:space="preserve">reported repeatedly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334100">
        <w:rPr>
          <w:rFonts w:eastAsiaTheme="minorEastAsia"/>
        </w:rPr>
        <w:t>The value of 2 m/s² we modelled above may nonetheless be an upper bound for the standard deviation of the Earth Gravity Prior.</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771FF45" w14:textId="2388F246" w:rsidR="00AD59E9" w:rsidRDefault="00AD59E9" w:rsidP="004850CC">
      <w:pPr>
        <w:rPr>
          <w:rFonts w:eastAsiaTheme="minorEastAsia"/>
        </w:rPr>
      </w:pP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7290489B" w:rsidR="004850CC" w:rsidRDefault="004850CC" w:rsidP="004850CC">
      <w:r>
        <w:t>NEVERMIND</w:t>
      </w:r>
      <w:r w:rsidR="00E32BF5">
        <w:t>. BUH.</w:t>
      </w:r>
    </w:p>
    <w:p w14:paraId="6E019C04" w14:textId="2ABD0201" w:rsidR="00E32BF5" w:rsidRDefault="00E32BF5" w:rsidP="004850CC"/>
    <w:p w14:paraId="4FC3F797" w14:textId="77777777" w:rsidR="00E32BF5" w:rsidRDefault="00E32BF5" w:rsidP="004850CC"/>
    <w:p w14:paraId="45905374" w14:textId="407C4C44" w:rsidR="00C660CF" w:rsidRPr="00C660CF" w:rsidRDefault="00E32BF5" w:rsidP="00C660C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6F7F5C">
        <w:instrText xml:space="preserve">ADDIN Mendeley Bibliography CSL_BIBLIOGRAPHY </w:instrText>
      </w:r>
      <w:r>
        <w:fldChar w:fldCharType="separate"/>
      </w:r>
      <w:r w:rsidR="00C660CF" w:rsidRPr="00C660CF">
        <w:rPr>
          <w:rFonts w:ascii="Calibri" w:hAnsi="Calibri" w:cs="Calibri"/>
          <w:noProof/>
          <w:szCs w:val="24"/>
        </w:rPr>
        <w:t xml:space="preserve">Benguigui, N., Ripoll, H., &amp; Broderick, M. P. (2003). Time-to-contact estimation of accelerated stimuli is based on first-order information. </w:t>
      </w:r>
      <w:r w:rsidR="00C660CF" w:rsidRPr="00C660CF">
        <w:rPr>
          <w:rFonts w:ascii="Calibri" w:hAnsi="Calibri" w:cs="Calibri"/>
          <w:i/>
          <w:iCs/>
          <w:noProof/>
          <w:szCs w:val="24"/>
        </w:rPr>
        <w:t>Journal of Experimental Psychology. Human Perception and Performance</w:t>
      </w:r>
      <w:r w:rsidR="00C660CF" w:rsidRPr="00C660CF">
        <w:rPr>
          <w:rFonts w:ascii="Calibri" w:hAnsi="Calibri" w:cs="Calibri"/>
          <w:noProof/>
          <w:szCs w:val="24"/>
        </w:rPr>
        <w:t xml:space="preserve">, </w:t>
      </w:r>
      <w:r w:rsidR="00C660CF" w:rsidRPr="00C660CF">
        <w:rPr>
          <w:rFonts w:ascii="Calibri" w:hAnsi="Calibri" w:cs="Calibri"/>
          <w:i/>
          <w:iCs/>
          <w:noProof/>
          <w:szCs w:val="24"/>
        </w:rPr>
        <w:t>29</w:t>
      </w:r>
      <w:r w:rsidR="00C660CF" w:rsidRPr="00C660CF">
        <w:rPr>
          <w:rFonts w:ascii="Calibri" w:hAnsi="Calibri" w:cs="Calibri"/>
          <w:noProof/>
          <w:szCs w:val="24"/>
        </w:rPr>
        <w:t>(6), 1083–1101. https://doi.org/10.1037/0096-1523.29.6.1083</w:t>
      </w:r>
    </w:p>
    <w:p w14:paraId="4CDE6633"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Bennett, S. J., &amp; Benguigui, N. (2013). Is Acceleration Used for Ocular Pursuit and Spatial Estimation during Prediction Motion? </w:t>
      </w:r>
      <w:r w:rsidRPr="00C660CF">
        <w:rPr>
          <w:rFonts w:ascii="Calibri" w:hAnsi="Calibri" w:cs="Calibri"/>
          <w:i/>
          <w:iCs/>
          <w:noProof/>
          <w:szCs w:val="24"/>
        </w:rPr>
        <w:t>PLoS ONE</w:t>
      </w:r>
      <w:r w:rsidRPr="00C660CF">
        <w:rPr>
          <w:rFonts w:ascii="Calibri" w:hAnsi="Calibri" w:cs="Calibri"/>
          <w:noProof/>
          <w:szCs w:val="24"/>
        </w:rPr>
        <w:t xml:space="preserve">, </w:t>
      </w:r>
      <w:r w:rsidRPr="00C660CF">
        <w:rPr>
          <w:rFonts w:ascii="Calibri" w:hAnsi="Calibri" w:cs="Calibri"/>
          <w:i/>
          <w:iCs/>
          <w:noProof/>
          <w:szCs w:val="24"/>
        </w:rPr>
        <w:t>8</w:t>
      </w:r>
      <w:r w:rsidRPr="00C660CF">
        <w:rPr>
          <w:rFonts w:ascii="Calibri" w:hAnsi="Calibri" w:cs="Calibri"/>
          <w:noProof/>
          <w:szCs w:val="24"/>
        </w:rPr>
        <w:t>(5). https://doi.org/10.1371/journal.pone.0063382</w:t>
      </w:r>
    </w:p>
    <w:p w14:paraId="0B03A34C"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lastRenderedPageBreak/>
        <w:t xml:space="preserve">Brenner, E., Rodriguez, I. A., Muñoz, V. E., Schootemeijer, S., Mahieu, Y., Veerkamp, K., … Smeets, J. B. J. (2016). How can people be so good at intercepting accelerating objects if they are so poor at visually judging acceleration? </w:t>
      </w:r>
      <w:r w:rsidRPr="00C660CF">
        <w:rPr>
          <w:rFonts w:ascii="Calibri" w:hAnsi="Calibri" w:cs="Calibri"/>
          <w:i/>
          <w:iCs/>
          <w:noProof/>
          <w:szCs w:val="24"/>
        </w:rPr>
        <w:t>I-Perception</w:t>
      </w:r>
      <w:r w:rsidRPr="00C660CF">
        <w:rPr>
          <w:rFonts w:ascii="Calibri" w:hAnsi="Calibri" w:cs="Calibri"/>
          <w:noProof/>
          <w:szCs w:val="24"/>
        </w:rPr>
        <w:t xml:space="preserve">, </w:t>
      </w:r>
      <w:r w:rsidRPr="00C660CF">
        <w:rPr>
          <w:rFonts w:ascii="Calibri" w:hAnsi="Calibri" w:cs="Calibri"/>
          <w:i/>
          <w:iCs/>
          <w:noProof/>
          <w:szCs w:val="24"/>
        </w:rPr>
        <w:t>7</w:t>
      </w:r>
      <w:r w:rsidRPr="00C660CF">
        <w:rPr>
          <w:rFonts w:ascii="Calibri" w:hAnsi="Calibri" w:cs="Calibri"/>
          <w:noProof/>
          <w:szCs w:val="24"/>
        </w:rPr>
        <w:t>(1), 1–13. https://doi.org/10.1177/2041669515624317</w:t>
      </w:r>
    </w:p>
    <w:p w14:paraId="259C5C40"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C660CF">
        <w:rPr>
          <w:rFonts w:ascii="Calibri" w:hAnsi="Calibri" w:cs="Calibri"/>
          <w:i/>
          <w:iCs/>
          <w:noProof/>
          <w:szCs w:val="24"/>
        </w:rPr>
        <w:t>Frontiers in Neuroscience</w:t>
      </w:r>
      <w:r w:rsidRPr="00C660CF">
        <w:rPr>
          <w:rFonts w:ascii="Calibri" w:hAnsi="Calibri" w:cs="Calibri"/>
          <w:noProof/>
          <w:szCs w:val="24"/>
        </w:rPr>
        <w:t xml:space="preserve">, </w:t>
      </w:r>
      <w:r w:rsidRPr="00C660CF">
        <w:rPr>
          <w:rFonts w:ascii="Calibri" w:hAnsi="Calibri" w:cs="Calibri"/>
          <w:i/>
          <w:iCs/>
          <w:noProof/>
          <w:szCs w:val="24"/>
        </w:rPr>
        <w:t>12</w:t>
      </w:r>
      <w:r w:rsidRPr="00C660CF">
        <w:rPr>
          <w:rFonts w:ascii="Calibri" w:hAnsi="Calibri" w:cs="Calibri"/>
          <w:noProof/>
          <w:szCs w:val="24"/>
        </w:rPr>
        <w:t>(JUN), 1–22. https://doi.org/10.3389/fnins.2018.00406</w:t>
      </w:r>
    </w:p>
    <w:p w14:paraId="7A8BBB38"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Flavell, J. C. (2014). </w:t>
      </w:r>
      <w:r w:rsidRPr="00C660CF">
        <w:rPr>
          <w:rFonts w:ascii="Calibri" w:hAnsi="Calibri" w:cs="Calibri"/>
          <w:i/>
          <w:iCs/>
          <w:noProof/>
          <w:szCs w:val="24"/>
        </w:rPr>
        <w:t>An investigation into the directional and amplitude aspects of an internal model of gravity</w:t>
      </w:r>
      <w:r w:rsidRPr="00C660CF">
        <w:rPr>
          <w:rFonts w:ascii="Calibri" w:hAnsi="Calibri" w:cs="Calibri"/>
          <w:noProof/>
          <w:szCs w:val="24"/>
        </w:rPr>
        <w:t>. Manchester Metropolitan University.</w:t>
      </w:r>
    </w:p>
    <w:p w14:paraId="5D9A477B"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Indovina, I., Maffei, V., Bosco, G., Zago, M., Macaluso, E., &amp; Lacquaniti, F. (2005). Representation of visual gravitational motion in the human vestibular cortex. </w:t>
      </w:r>
      <w:r w:rsidRPr="00C660CF">
        <w:rPr>
          <w:rFonts w:ascii="Calibri" w:hAnsi="Calibri" w:cs="Calibri"/>
          <w:i/>
          <w:iCs/>
          <w:noProof/>
          <w:szCs w:val="24"/>
        </w:rPr>
        <w:t>Science (New York, N.Y.)</w:t>
      </w:r>
      <w:r w:rsidRPr="00C660CF">
        <w:rPr>
          <w:rFonts w:ascii="Calibri" w:hAnsi="Calibri" w:cs="Calibri"/>
          <w:noProof/>
          <w:szCs w:val="24"/>
        </w:rPr>
        <w:t xml:space="preserve">, </w:t>
      </w:r>
      <w:r w:rsidRPr="00C660CF">
        <w:rPr>
          <w:rFonts w:ascii="Calibri" w:hAnsi="Calibri" w:cs="Calibri"/>
          <w:i/>
          <w:iCs/>
          <w:noProof/>
          <w:szCs w:val="24"/>
        </w:rPr>
        <w:t>308</w:t>
      </w:r>
      <w:r w:rsidRPr="00C660CF">
        <w:rPr>
          <w:rFonts w:ascii="Calibri" w:hAnsi="Calibri" w:cs="Calibri"/>
          <w:noProof/>
          <w:szCs w:val="24"/>
        </w:rPr>
        <w:t>(April), 416–419. https://doi.org/10.1126/science.1107961</w:t>
      </w:r>
    </w:p>
    <w:p w14:paraId="02B52882"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Jörges, B., Hagenfeld, L., &amp; López-Moliner, J. (2018). The use of visual cues in gravity judgements on parabolic motion. </w:t>
      </w:r>
      <w:r w:rsidRPr="00C660CF">
        <w:rPr>
          <w:rFonts w:ascii="Calibri" w:hAnsi="Calibri" w:cs="Calibri"/>
          <w:i/>
          <w:iCs/>
          <w:noProof/>
          <w:szCs w:val="24"/>
        </w:rPr>
        <w:t>Vision Research</w:t>
      </w:r>
      <w:r w:rsidRPr="00C660CF">
        <w:rPr>
          <w:rFonts w:ascii="Calibri" w:hAnsi="Calibri" w:cs="Calibri"/>
          <w:noProof/>
          <w:szCs w:val="24"/>
        </w:rPr>
        <w:t xml:space="preserve">, </w:t>
      </w:r>
      <w:r w:rsidRPr="00C660CF">
        <w:rPr>
          <w:rFonts w:ascii="Calibri" w:hAnsi="Calibri" w:cs="Calibri"/>
          <w:i/>
          <w:iCs/>
          <w:noProof/>
          <w:szCs w:val="24"/>
        </w:rPr>
        <w:t>149</w:t>
      </w:r>
      <w:r w:rsidRPr="00C660CF">
        <w:rPr>
          <w:rFonts w:ascii="Calibri" w:hAnsi="Calibri" w:cs="Calibri"/>
          <w:noProof/>
          <w:szCs w:val="24"/>
        </w:rPr>
        <w:t>, 47–58. https://doi.org/10.1016/J.VISRES.2018.06.002</w:t>
      </w:r>
    </w:p>
    <w:p w14:paraId="7ADFA923"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Jörges, B., &amp; López-Moliner, J. (2017). Gravity as a Strong Prior: Implications for Perception and Action. </w:t>
      </w:r>
      <w:r w:rsidRPr="00C660CF">
        <w:rPr>
          <w:rFonts w:ascii="Calibri" w:hAnsi="Calibri" w:cs="Calibri"/>
          <w:i/>
          <w:iCs/>
          <w:noProof/>
          <w:szCs w:val="24"/>
        </w:rPr>
        <w:t>Frontiers in Human Neuroscience</w:t>
      </w:r>
      <w:r w:rsidRPr="00C660CF">
        <w:rPr>
          <w:rFonts w:ascii="Calibri" w:hAnsi="Calibri" w:cs="Calibri"/>
          <w:noProof/>
          <w:szCs w:val="24"/>
        </w:rPr>
        <w:t xml:space="preserve">, </w:t>
      </w:r>
      <w:r w:rsidRPr="00C660CF">
        <w:rPr>
          <w:rFonts w:ascii="Calibri" w:hAnsi="Calibri" w:cs="Calibri"/>
          <w:i/>
          <w:iCs/>
          <w:noProof/>
          <w:szCs w:val="24"/>
        </w:rPr>
        <w:t>11</w:t>
      </w:r>
      <w:r w:rsidRPr="00C660CF">
        <w:rPr>
          <w:rFonts w:ascii="Calibri" w:hAnsi="Calibri" w:cs="Calibri"/>
          <w:noProof/>
          <w:szCs w:val="24"/>
        </w:rPr>
        <w:t>(203). https://doi.org/10.3389/fnhum.2017.00203</w:t>
      </w:r>
    </w:p>
    <w:p w14:paraId="7168A078"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Jörges, B., &amp; López-Moliner, J. (2019). Earth-Gravity Congruent Motion Facilitates Ocular Control for Pursuit of Parabolic Trajectories. </w:t>
      </w:r>
      <w:r w:rsidRPr="00C660CF">
        <w:rPr>
          <w:rFonts w:ascii="Calibri" w:hAnsi="Calibri" w:cs="Calibri"/>
          <w:i/>
          <w:iCs/>
          <w:noProof/>
          <w:szCs w:val="24"/>
        </w:rPr>
        <w:t>Scientific Reports</w:t>
      </w:r>
      <w:r w:rsidRPr="00C660CF">
        <w:rPr>
          <w:rFonts w:ascii="Calibri" w:hAnsi="Calibri" w:cs="Calibri"/>
          <w:noProof/>
          <w:szCs w:val="24"/>
        </w:rPr>
        <w:t xml:space="preserve">, </w:t>
      </w:r>
      <w:r w:rsidRPr="00C660CF">
        <w:rPr>
          <w:rFonts w:ascii="Calibri" w:hAnsi="Calibri" w:cs="Calibri"/>
          <w:i/>
          <w:iCs/>
          <w:noProof/>
          <w:szCs w:val="24"/>
        </w:rPr>
        <w:t>9</w:t>
      </w:r>
      <w:r w:rsidRPr="00C660CF">
        <w:rPr>
          <w:rFonts w:ascii="Calibri" w:hAnsi="Calibri" w:cs="Calibri"/>
          <w:noProof/>
          <w:szCs w:val="24"/>
        </w:rPr>
        <w:t>(1), 1–13. https://doi.org/10.1038/s41598-019-50512-6</w:t>
      </w:r>
    </w:p>
    <w:p w14:paraId="55E11CFE"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Kozhevnikov, M., &amp; Hegarty, M. (2001). Impetus beliefs as default heuristics: dissociation between explicit and implicit knowledge about motion. </w:t>
      </w:r>
      <w:r w:rsidRPr="00C660CF">
        <w:rPr>
          <w:rFonts w:ascii="Calibri" w:hAnsi="Calibri" w:cs="Calibri"/>
          <w:i/>
          <w:iCs/>
          <w:noProof/>
          <w:szCs w:val="24"/>
        </w:rPr>
        <w:t>Psychonomic Bulletin &amp; Review</w:t>
      </w:r>
      <w:r w:rsidRPr="00C660CF">
        <w:rPr>
          <w:rFonts w:ascii="Calibri" w:hAnsi="Calibri" w:cs="Calibri"/>
          <w:noProof/>
          <w:szCs w:val="24"/>
        </w:rPr>
        <w:t xml:space="preserve">, </w:t>
      </w:r>
      <w:r w:rsidRPr="00C660CF">
        <w:rPr>
          <w:rFonts w:ascii="Calibri" w:hAnsi="Calibri" w:cs="Calibri"/>
          <w:i/>
          <w:iCs/>
          <w:noProof/>
          <w:szCs w:val="24"/>
        </w:rPr>
        <w:t>8</w:t>
      </w:r>
      <w:r w:rsidRPr="00C660CF">
        <w:rPr>
          <w:rFonts w:ascii="Calibri" w:hAnsi="Calibri" w:cs="Calibri"/>
          <w:noProof/>
          <w:szCs w:val="24"/>
        </w:rPr>
        <w:t>(3), 439–453. https://doi.org/10.3758/BF03196179</w:t>
      </w:r>
    </w:p>
    <w:p w14:paraId="382230CA"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La Scaleia, B., Zago, M., Moscatelli, A., Lacquaniti, F., &amp; Viviani, P. (2014). Implied dynamics biases the visual perception of velocity. </w:t>
      </w:r>
      <w:r w:rsidRPr="00C660CF">
        <w:rPr>
          <w:rFonts w:ascii="Calibri" w:hAnsi="Calibri" w:cs="Calibri"/>
          <w:i/>
          <w:iCs/>
          <w:noProof/>
          <w:szCs w:val="24"/>
        </w:rPr>
        <w:t>PLoS ONE</w:t>
      </w:r>
      <w:r w:rsidRPr="00C660CF">
        <w:rPr>
          <w:rFonts w:ascii="Calibri" w:hAnsi="Calibri" w:cs="Calibri"/>
          <w:noProof/>
          <w:szCs w:val="24"/>
        </w:rPr>
        <w:t xml:space="preserve">, </w:t>
      </w:r>
      <w:r w:rsidRPr="00C660CF">
        <w:rPr>
          <w:rFonts w:ascii="Calibri" w:hAnsi="Calibri" w:cs="Calibri"/>
          <w:i/>
          <w:iCs/>
          <w:noProof/>
          <w:szCs w:val="24"/>
        </w:rPr>
        <w:t>9</w:t>
      </w:r>
      <w:r w:rsidRPr="00C660CF">
        <w:rPr>
          <w:rFonts w:ascii="Calibri" w:hAnsi="Calibri" w:cs="Calibri"/>
          <w:noProof/>
          <w:szCs w:val="24"/>
        </w:rPr>
        <w:t>(3). https://doi.org/10.1371/journal.pone.0093020</w:t>
      </w:r>
    </w:p>
    <w:p w14:paraId="12B67A2C"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Lacquaniti, F., Bosco, G., Indovina, I., La Scaleia, B., Maffei, V., Moscatelli, A., &amp; Zago, M. (2013). Visual gravitational motion and the vestibular system in humans. </w:t>
      </w:r>
      <w:r w:rsidRPr="00C660CF">
        <w:rPr>
          <w:rFonts w:ascii="Calibri" w:hAnsi="Calibri" w:cs="Calibri"/>
          <w:i/>
          <w:iCs/>
          <w:noProof/>
          <w:szCs w:val="24"/>
        </w:rPr>
        <w:t>Frontiers in Integrative Neuroscience</w:t>
      </w:r>
      <w:r w:rsidRPr="00C660CF">
        <w:rPr>
          <w:rFonts w:ascii="Calibri" w:hAnsi="Calibri" w:cs="Calibri"/>
          <w:noProof/>
          <w:szCs w:val="24"/>
        </w:rPr>
        <w:t xml:space="preserve">, </w:t>
      </w:r>
      <w:r w:rsidRPr="00C660CF">
        <w:rPr>
          <w:rFonts w:ascii="Calibri" w:hAnsi="Calibri" w:cs="Calibri"/>
          <w:i/>
          <w:iCs/>
          <w:noProof/>
          <w:szCs w:val="24"/>
        </w:rPr>
        <w:t>7</w:t>
      </w:r>
      <w:r w:rsidRPr="00C660CF">
        <w:rPr>
          <w:rFonts w:ascii="Calibri" w:hAnsi="Calibri" w:cs="Calibri"/>
          <w:noProof/>
          <w:szCs w:val="24"/>
        </w:rPr>
        <w:t>(December), 101. https://doi.org/10.3389/fnint.2013.00101</w:t>
      </w:r>
    </w:p>
    <w:p w14:paraId="7D7993B7"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C660CF">
        <w:rPr>
          <w:rFonts w:ascii="Calibri" w:hAnsi="Calibri" w:cs="Calibri"/>
          <w:i/>
          <w:iCs/>
          <w:noProof/>
          <w:szCs w:val="24"/>
        </w:rPr>
        <w:t>NeuroImage</w:t>
      </w:r>
      <w:r w:rsidRPr="00C660CF">
        <w:rPr>
          <w:rFonts w:ascii="Calibri" w:hAnsi="Calibri" w:cs="Calibri"/>
          <w:noProof/>
          <w:szCs w:val="24"/>
        </w:rPr>
        <w:t xml:space="preserve">, </w:t>
      </w:r>
      <w:r w:rsidRPr="00C660CF">
        <w:rPr>
          <w:rFonts w:ascii="Calibri" w:hAnsi="Calibri" w:cs="Calibri"/>
          <w:i/>
          <w:iCs/>
          <w:noProof/>
          <w:szCs w:val="24"/>
        </w:rPr>
        <w:t>104</w:t>
      </w:r>
      <w:r w:rsidRPr="00C660CF">
        <w:rPr>
          <w:rFonts w:ascii="Calibri" w:hAnsi="Calibri" w:cs="Calibri"/>
          <w:noProof/>
          <w:szCs w:val="24"/>
        </w:rPr>
        <w:t>(October 2014), 221–230. https://doi.org/10.1016/j.neuroimage.2014.10.006</w:t>
      </w:r>
    </w:p>
    <w:p w14:paraId="3C24DA5A"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McIntyre, J., Zago, M., &amp; Berthoz, A. (2001). Does the Brain Model Newton’s Laws. </w:t>
      </w:r>
      <w:r w:rsidRPr="00C660CF">
        <w:rPr>
          <w:rFonts w:ascii="Calibri" w:hAnsi="Calibri" w:cs="Calibri"/>
          <w:i/>
          <w:iCs/>
          <w:noProof/>
          <w:szCs w:val="24"/>
        </w:rPr>
        <w:t>Nature Neuroscience</w:t>
      </w:r>
      <w:r w:rsidRPr="00C660CF">
        <w:rPr>
          <w:rFonts w:ascii="Calibri" w:hAnsi="Calibri" w:cs="Calibri"/>
          <w:noProof/>
          <w:szCs w:val="24"/>
        </w:rPr>
        <w:t xml:space="preserve">, </w:t>
      </w:r>
      <w:r w:rsidRPr="00C660CF">
        <w:rPr>
          <w:rFonts w:ascii="Calibri" w:hAnsi="Calibri" w:cs="Calibri"/>
          <w:i/>
          <w:iCs/>
          <w:noProof/>
          <w:szCs w:val="24"/>
        </w:rPr>
        <w:t>12</w:t>
      </w:r>
      <w:r w:rsidRPr="00C660CF">
        <w:rPr>
          <w:rFonts w:ascii="Calibri" w:hAnsi="Calibri" w:cs="Calibri"/>
          <w:noProof/>
          <w:szCs w:val="24"/>
        </w:rPr>
        <w:t>(17), 109–110. https://doi.org/10.1097/00001756-200112040-00004</w:t>
      </w:r>
    </w:p>
    <w:p w14:paraId="6CD986BC"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Monache, S. D., Lacquaniti, F., &amp; Bosco, G. (2019). Ocular tracking of occluded ballistic trajectories: Effects of visual context and of target law of motion. </w:t>
      </w:r>
      <w:r w:rsidRPr="00C660CF">
        <w:rPr>
          <w:rFonts w:ascii="Calibri" w:hAnsi="Calibri" w:cs="Calibri"/>
          <w:i/>
          <w:iCs/>
          <w:noProof/>
          <w:szCs w:val="24"/>
        </w:rPr>
        <w:t>Journal of Vision</w:t>
      </w:r>
      <w:r w:rsidRPr="00C660CF">
        <w:rPr>
          <w:rFonts w:ascii="Calibri" w:hAnsi="Calibri" w:cs="Calibri"/>
          <w:noProof/>
          <w:szCs w:val="24"/>
        </w:rPr>
        <w:t xml:space="preserve">, </w:t>
      </w:r>
      <w:r w:rsidRPr="00C660CF">
        <w:rPr>
          <w:rFonts w:ascii="Calibri" w:hAnsi="Calibri" w:cs="Calibri"/>
          <w:i/>
          <w:iCs/>
          <w:noProof/>
          <w:szCs w:val="24"/>
        </w:rPr>
        <w:t>19</w:t>
      </w:r>
      <w:r w:rsidRPr="00C660CF">
        <w:rPr>
          <w:rFonts w:ascii="Calibri" w:hAnsi="Calibri" w:cs="Calibri"/>
          <w:noProof/>
          <w:szCs w:val="24"/>
        </w:rPr>
        <w:t>(4), 1–21. https://doi.org/10.1167/19.4.13</w:t>
      </w:r>
    </w:p>
    <w:p w14:paraId="7012C48B"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Moscatelli, A., &amp; Lacquaniti, F. (2011). The weight of time: Gravitational force enhances discrimination of visual motion duration. </w:t>
      </w:r>
      <w:r w:rsidRPr="00C660CF">
        <w:rPr>
          <w:rFonts w:ascii="Calibri" w:hAnsi="Calibri" w:cs="Calibri"/>
          <w:i/>
          <w:iCs/>
          <w:noProof/>
          <w:szCs w:val="24"/>
        </w:rPr>
        <w:t>Journal of Vision</w:t>
      </w:r>
      <w:r w:rsidRPr="00C660CF">
        <w:rPr>
          <w:rFonts w:ascii="Calibri" w:hAnsi="Calibri" w:cs="Calibri"/>
          <w:noProof/>
          <w:szCs w:val="24"/>
        </w:rPr>
        <w:t xml:space="preserve">, </w:t>
      </w:r>
      <w:r w:rsidRPr="00C660CF">
        <w:rPr>
          <w:rFonts w:ascii="Calibri" w:hAnsi="Calibri" w:cs="Calibri"/>
          <w:i/>
          <w:iCs/>
          <w:noProof/>
          <w:szCs w:val="24"/>
        </w:rPr>
        <w:t>11</w:t>
      </w:r>
      <w:r w:rsidRPr="00C660CF">
        <w:rPr>
          <w:rFonts w:ascii="Calibri" w:hAnsi="Calibri" w:cs="Calibri"/>
          <w:noProof/>
          <w:szCs w:val="24"/>
        </w:rPr>
        <w:t>(4), 1–17. https://doi.org/10.1167/11.4.1</w:t>
      </w:r>
    </w:p>
    <w:p w14:paraId="1B0AF837"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Norman, J. F., Todd, J. T., Perotti, V. J., &amp; Tittle, J. S. (1996). The Visual Perception of Three-Dimensional Length. </w:t>
      </w:r>
      <w:r w:rsidRPr="00C660CF">
        <w:rPr>
          <w:rFonts w:ascii="Calibri" w:hAnsi="Calibri" w:cs="Calibri"/>
          <w:i/>
          <w:iCs/>
          <w:noProof/>
          <w:szCs w:val="24"/>
        </w:rPr>
        <w:t>Journal of Experimental Psychology: Human Perception and Performance</w:t>
      </w:r>
      <w:r w:rsidRPr="00C660CF">
        <w:rPr>
          <w:rFonts w:ascii="Calibri" w:hAnsi="Calibri" w:cs="Calibri"/>
          <w:noProof/>
          <w:szCs w:val="24"/>
        </w:rPr>
        <w:t xml:space="preserve">, </w:t>
      </w:r>
      <w:r w:rsidRPr="00C660CF">
        <w:rPr>
          <w:rFonts w:ascii="Calibri" w:hAnsi="Calibri" w:cs="Calibri"/>
          <w:i/>
          <w:iCs/>
          <w:noProof/>
          <w:szCs w:val="24"/>
        </w:rPr>
        <w:t>22</w:t>
      </w:r>
      <w:r w:rsidRPr="00C660CF">
        <w:rPr>
          <w:rFonts w:ascii="Calibri" w:hAnsi="Calibri" w:cs="Calibri"/>
          <w:noProof/>
          <w:szCs w:val="24"/>
        </w:rPr>
        <w:t>(1), 173–186. https://doi.org/10.1037/0096-1523.22.1.173</w:t>
      </w:r>
    </w:p>
    <w:p w14:paraId="0EE1293B"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lastRenderedPageBreak/>
        <w:t xml:space="preserve">Peirce, J. W. (2007). PsychoPy—Psychophysics software in Python. </w:t>
      </w:r>
      <w:r w:rsidRPr="00C660CF">
        <w:rPr>
          <w:rFonts w:ascii="Calibri" w:hAnsi="Calibri" w:cs="Calibri"/>
          <w:i/>
          <w:iCs/>
          <w:noProof/>
          <w:szCs w:val="24"/>
        </w:rPr>
        <w:t>Journal of Neuroscience Methods</w:t>
      </w:r>
      <w:r w:rsidRPr="00C660CF">
        <w:rPr>
          <w:rFonts w:ascii="Calibri" w:hAnsi="Calibri" w:cs="Calibri"/>
          <w:noProof/>
          <w:szCs w:val="24"/>
        </w:rPr>
        <w:t xml:space="preserve">, </w:t>
      </w:r>
      <w:r w:rsidRPr="00C660CF">
        <w:rPr>
          <w:rFonts w:ascii="Calibri" w:hAnsi="Calibri" w:cs="Calibri"/>
          <w:i/>
          <w:iCs/>
          <w:noProof/>
          <w:szCs w:val="24"/>
        </w:rPr>
        <w:t>162</w:t>
      </w:r>
      <w:r w:rsidRPr="00C660CF">
        <w:rPr>
          <w:rFonts w:ascii="Calibri" w:hAnsi="Calibri" w:cs="Calibri"/>
          <w:noProof/>
          <w:szCs w:val="24"/>
        </w:rPr>
        <w:t>(1–2), 8–13. https://doi.org/10.1016/J.JNEUMETH.2006.11.017</w:t>
      </w:r>
    </w:p>
    <w:p w14:paraId="6EF76857"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R Core Team. (2017). </w:t>
      </w:r>
      <w:r w:rsidRPr="00C660CF">
        <w:rPr>
          <w:rFonts w:ascii="Calibri" w:hAnsi="Calibri" w:cs="Calibri"/>
          <w:i/>
          <w:iCs/>
          <w:noProof/>
          <w:szCs w:val="24"/>
        </w:rPr>
        <w:t>A Language and Environment for Statistical Computing. R Foundation for Statistical Computing,</w:t>
      </w:r>
      <w:r w:rsidRPr="00C660CF">
        <w:rPr>
          <w:rFonts w:ascii="Calibri" w:hAnsi="Calibri" w:cs="Calibri"/>
          <w:noProof/>
          <w:szCs w:val="24"/>
        </w:rPr>
        <w:t>. Retrieved from http://www.r-project.org/.</w:t>
      </w:r>
    </w:p>
    <w:p w14:paraId="246ABC61"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C660CF">
        <w:rPr>
          <w:rFonts w:ascii="Calibri" w:hAnsi="Calibri" w:cs="Calibri"/>
          <w:i/>
          <w:iCs/>
          <w:noProof/>
          <w:szCs w:val="24"/>
        </w:rPr>
        <w:t>Journal of Neuroscience</w:t>
      </w:r>
      <w:r w:rsidRPr="00C660CF">
        <w:rPr>
          <w:rFonts w:ascii="Calibri" w:hAnsi="Calibri" w:cs="Calibri"/>
          <w:noProof/>
          <w:szCs w:val="24"/>
        </w:rPr>
        <w:t xml:space="preserve">, </w:t>
      </w:r>
      <w:r w:rsidRPr="00C660CF">
        <w:rPr>
          <w:rFonts w:ascii="Calibri" w:hAnsi="Calibri" w:cs="Calibri"/>
          <w:i/>
          <w:iCs/>
          <w:noProof/>
          <w:szCs w:val="24"/>
        </w:rPr>
        <w:t>32</w:t>
      </w:r>
      <w:r w:rsidRPr="00C660CF">
        <w:rPr>
          <w:rFonts w:ascii="Calibri" w:hAnsi="Calibri" w:cs="Calibri"/>
          <w:noProof/>
          <w:szCs w:val="24"/>
        </w:rPr>
        <w:t>(6), 1969–1973. https://doi.org/10.1523/JNEUROSCI.3886-11.2012</w:t>
      </w:r>
    </w:p>
    <w:p w14:paraId="2DC9A8EF"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Werkhoven, P., Snippe, H. P., &amp; Alexander, T. (1992). Visual processing of optic acceleration. </w:t>
      </w:r>
      <w:r w:rsidRPr="00C660CF">
        <w:rPr>
          <w:rFonts w:ascii="Calibri" w:hAnsi="Calibri" w:cs="Calibri"/>
          <w:i/>
          <w:iCs/>
          <w:noProof/>
          <w:szCs w:val="24"/>
        </w:rPr>
        <w:t>Vision Research</w:t>
      </w:r>
      <w:r w:rsidRPr="00C660CF">
        <w:rPr>
          <w:rFonts w:ascii="Calibri" w:hAnsi="Calibri" w:cs="Calibri"/>
          <w:noProof/>
          <w:szCs w:val="24"/>
        </w:rPr>
        <w:t xml:space="preserve">, </w:t>
      </w:r>
      <w:r w:rsidRPr="00C660CF">
        <w:rPr>
          <w:rFonts w:ascii="Calibri" w:hAnsi="Calibri" w:cs="Calibri"/>
          <w:i/>
          <w:iCs/>
          <w:noProof/>
          <w:szCs w:val="24"/>
        </w:rPr>
        <w:t>32</w:t>
      </w:r>
      <w:r w:rsidRPr="00C660CF">
        <w:rPr>
          <w:rFonts w:ascii="Calibri" w:hAnsi="Calibri" w:cs="Calibri"/>
          <w:noProof/>
          <w:szCs w:val="24"/>
        </w:rPr>
        <w:t>(12), 2313–2329. https://doi.org/10.1016/0042-6989(92)90095-Z</w:t>
      </w:r>
    </w:p>
    <w:p w14:paraId="2C62AE8B"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szCs w:val="24"/>
        </w:rPr>
      </w:pPr>
      <w:r w:rsidRPr="00C660CF">
        <w:rPr>
          <w:rFonts w:ascii="Calibri" w:hAnsi="Calibri" w:cs="Calibri"/>
          <w:noProof/>
          <w:szCs w:val="24"/>
        </w:rPr>
        <w:t xml:space="preserve">Zago, M., La Scaleia, B., Miller, W. L., &amp; Lacquaniti, F. (2011). Coherence of structural visual cues and pictorial gravity paves the way for interceptive actions. </w:t>
      </w:r>
      <w:r w:rsidRPr="00C660CF">
        <w:rPr>
          <w:rFonts w:ascii="Calibri" w:hAnsi="Calibri" w:cs="Calibri"/>
          <w:i/>
          <w:iCs/>
          <w:noProof/>
          <w:szCs w:val="24"/>
        </w:rPr>
        <w:t>Journal of Vision</w:t>
      </w:r>
      <w:r w:rsidRPr="00C660CF">
        <w:rPr>
          <w:rFonts w:ascii="Calibri" w:hAnsi="Calibri" w:cs="Calibri"/>
          <w:noProof/>
          <w:szCs w:val="24"/>
        </w:rPr>
        <w:t xml:space="preserve">, </w:t>
      </w:r>
      <w:r w:rsidRPr="00C660CF">
        <w:rPr>
          <w:rFonts w:ascii="Calibri" w:hAnsi="Calibri" w:cs="Calibri"/>
          <w:i/>
          <w:iCs/>
          <w:noProof/>
          <w:szCs w:val="24"/>
        </w:rPr>
        <w:t>11</w:t>
      </w:r>
      <w:r w:rsidRPr="00C660CF">
        <w:rPr>
          <w:rFonts w:ascii="Calibri" w:hAnsi="Calibri" w:cs="Calibri"/>
          <w:noProof/>
          <w:szCs w:val="24"/>
        </w:rPr>
        <w:t>(10), 1–10. https://doi.org/10.1167/11.10.13.Introduction</w:t>
      </w:r>
    </w:p>
    <w:p w14:paraId="60CEDC8A" w14:textId="77777777" w:rsidR="00C660CF" w:rsidRPr="00C660CF" w:rsidRDefault="00C660CF" w:rsidP="00C660CF">
      <w:pPr>
        <w:widowControl w:val="0"/>
        <w:autoSpaceDE w:val="0"/>
        <w:autoSpaceDN w:val="0"/>
        <w:adjustRightInd w:val="0"/>
        <w:spacing w:line="240" w:lineRule="auto"/>
        <w:ind w:left="480" w:hanging="480"/>
        <w:rPr>
          <w:rFonts w:ascii="Calibri" w:hAnsi="Calibri" w:cs="Calibri"/>
          <w:noProof/>
        </w:rPr>
      </w:pPr>
      <w:r w:rsidRPr="00C660CF">
        <w:rPr>
          <w:rFonts w:ascii="Calibri" w:hAnsi="Calibri" w:cs="Calibri"/>
          <w:noProof/>
          <w:szCs w:val="24"/>
        </w:rPr>
        <w:t xml:space="preserve">Zago, M., McIntyre, J., Senot, P., &amp; Lacquaniti, F. (2008). Internal models and prediction of visual gravitational motion. </w:t>
      </w:r>
      <w:r w:rsidRPr="00C660CF">
        <w:rPr>
          <w:rFonts w:ascii="Calibri" w:hAnsi="Calibri" w:cs="Calibri"/>
          <w:i/>
          <w:iCs/>
          <w:noProof/>
          <w:szCs w:val="24"/>
        </w:rPr>
        <w:t>Vision Research</w:t>
      </w:r>
      <w:r w:rsidRPr="00C660CF">
        <w:rPr>
          <w:rFonts w:ascii="Calibri" w:hAnsi="Calibri" w:cs="Calibri"/>
          <w:noProof/>
          <w:szCs w:val="24"/>
        </w:rPr>
        <w:t xml:space="preserve">, </w:t>
      </w:r>
      <w:r w:rsidRPr="00C660CF">
        <w:rPr>
          <w:rFonts w:ascii="Calibri" w:hAnsi="Calibri" w:cs="Calibri"/>
          <w:i/>
          <w:iCs/>
          <w:noProof/>
          <w:szCs w:val="24"/>
        </w:rPr>
        <w:t>48</w:t>
      </w:r>
      <w:r w:rsidRPr="00C660CF">
        <w:rPr>
          <w:rFonts w:ascii="Calibri" w:hAnsi="Calibri" w:cs="Calibri"/>
          <w:noProof/>
          <w:szCs w:val="24"/>
        </w:rPr>
        <w:t>(14), 1532–1538. https://doi.org/10.1016/j.visres.2008.04.005</w:t>
      </w:r>
    </w:p>
    <w:p w14:paraId="65F45E85" w14:textId="042666E5" w:rsidR="00E32BF5" w:rsidRPr="004850CC" w:rsidRDefault="00E32BF5" w:rsidP="004850CC">
      <w:r>
        <w:fldChar w:fldCharType="end"/>
      </w:r>
    </w:p>
    <w:sectPr w:rsidR="00E32BF5" w:rsidRPr="0048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41577"/>
    <w:rsid w:val="000A198D"/>
    <w:rsid w:val="00121569"/>
    <w:rsid w:val="00130202"/>
    <w:rsid w:val="00153916"/>
    <w:rsid w:val="0016268C"/>
    <w:rsid w:val="001C29B3"/>
    <w:rsid w:val="00261565"/>
    <w:rsid w:val="0026775F"/>
    <w:rsid w:val="00282356"/>
    <w:rsid w:val="0029217A"/>
    <w:rsid w:val="00297476"/>
    <w:rsid w:val="002C490B"/>
    <w:rsid w:val="0031495E"/>
    <w:rsid w:val="00334100"/>
    <w:rsid w:val="003405B4"/>
    <w:rsid w:val="00355892"/>
    <w:rsid w:val="0038698B"/>
    <w:rsid w:val="003A567D"/>
    <w:rsid w:val="004054A3"/>
    <w:rsid w:val="0045191F"/>
    <w:rsid w:val="004840BE"/>
    <w:rsid w:val="004850CC"/>
    <w:rsid w:val="004851B6"/>
    <w:rsid w:val="004A0054"/>
    <w:rsid w:val="004A0320"/>
    <w:rsid w:val="004D128E"/>
    <w:rsid w:val="004D3366"/>
    <w:rsid w:val="004F7B12"/>
    <w:rsid w:val="0053648B"/>
    <w:rsid w:val="00562DCA"/>
    <w:rsid w:val="00580FFB"/>
    <w:rsid w:val="00595505"/>
    <w:rsid w:val="005A3235"/>
    <w:rsid w:val="005C2993"/>
    <w:rsid w:val="00604840"/>
    <w:rsid w:val="00640D5C"/>
    <w:rsid w:val="0065543C"/>
    <w:rsid w:val="006C6CE5"/>
    <w:rsid w:val="006D11B3"/>
    <w:rsid w:val="006D769B"/>
    <w:rsid w:val="006E01DB"/>
    <w:rsid w:val="006F7F5C"/>
    <w:rsid w:val="007434FD"/>
    <w:rsid w:val="00744972"/>
    <w:rsid w:val="007614EE"/>
    <w:rsid w:val="007F0B9A"/>
    <w:rsid w:val="00844D24"/>
    <w:rsid w:val="00855B76"/>
    <w:rsid w:val="00864209"/>
    <w:rsid w:val="008734D9"/>
    <w:rsid w:val="00880A31"/>
    <w:rsid w:val="00882444"/>
    <w:rsid w:val="00891775"/>
    <w:rsid w:val="008A7B56"/>
    <w:rsid w:val="008D72BE"/>
    <w:rsid w:val="00900F96"/>
    <w:rsid w:val="00982F21"/>
    <w:rsid w:val="009A3299"/>
    <w:rsid w:val="009C1994"/>
    <w:rsid w:val="009F6043"/>
    <w:rsid w:val="00A05C6A"/>
    <w:rsid w:val="00A340F9"/>
    <w:rsid w:val="00A431AE"/>
    <w:rsid w:val="00A47DA8"/>
    <w:rsid w:val="00A6526E"/>
    <w:rsid w:val="00A6648E"/>
    <w:rsid w:val="00A86944"/>
    <w:rsid w:val="00AD59E9"/>
    <w:rsid w:val="00B650B7"/>
    <w:rsid w:val="00B94CFD"/>
    <w:rsid w:val="00BD3838"/>
    <w:rsid w:val="00BF3834"/>
    <w:rsid w:val="00C148B2"/>
    <w:rsid w:val="00C660CF"/>
    <w:rsid w:val="00CA2A72"/>
    <w:rsid w:val="00CF0115"/>
    <w:rsid w:val="00D22200"/>
    <w:rsid w:val="00D42F15"/>
    <w:rsid w:val="00D62B98"/>
    <w:rsid w:val="00D90250"/>
    <w:rsid w:val="00D94AEE"/>
    <w:rsid w:val="00DA76F4"/>
    <w:rsid w:val="00DC2DE7"/>
    <w:rsid w:val="00DC3E91"/>
    <w:rsid w:val="00DC4107"/>
    <w:rsid w:val="00DD1FC4"/>
    <w:rsid w:val="00E034DA"/>
    <w:rsid w:val="00E23038"/>
    <w:rsid w:val="00E32BF5"/>
    <w:rsid w:val="00E470D6"/>
    <w:rsid w:val="00E642AA"/>
    <w:rsid w:val="00E82D8F"/>
    <w:rsid w:val="00E95B1F"/>
    <w:rsid w:val="00EB5FB9"/>
    <w:rsid w:val="00EE6444"/>
    <w:rsid w:val="00EE79BD"/>
    <w:rsid w:val="00F12838"/>
    <w:rsid w:val="00F1488E"/>
    <w:rsid w:val="00F168DD"/>
    <w:rsid w:val="00F2167B"/>
    <w:rsid w:val="00F34E8D"/>
    <w:rsid w:val="00F6145E"/>
    <w:rsid w:val="00F9735A"/>
    <w:rsid w:val="00FA364D"/>
    <w:rsid w:val="00FB336F"/>
    <w:rsid w:val="00FD3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demonstrations.wolfram.com/ProjectileWithAirDrag/" TargetMode="External"/><Relationship Id="rId11" Type="http://schemas.openxmlformats.org/officeDocument/2006/relationships/hyperlink" Target="https://github.com/b-jorges/SD-of-Gravity-Prior" TargetMode="External"/><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osf.io/8vg9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79CB1-5128-469B-81B7-36582714A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5807</TotalTime>
  <Pages>11</Pages>
  <Words>14177</Words>
  <Characters>80812</Characters>
  <Application>Microsoft Office Word</Application>
  <DocSecurity>0</DocSecurity>
  <Lines>673</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37</cp:revision>
  <dcterms:created xsi:type="dcterms:W3CDTF">2019-10-21T22:38:00Z</dcterms:created>
  <dcterms:modified xsi:type="dcterms:W3CDTF">2019-12-12T14:47:00Z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