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5B212" w14:textId="004967C4" w:rsidR="00E32BF5" w:rsidRDefault="009E3B64" w:rsidP="00BE7928">
      <w:pPr>
        <w:pStyle w:val="Heading1"/>
        <w:spacing w:line="480" w:lineRule="auto"/>
        <w:jc w:val="center"/>
        <w:rPr>
          <w:lang w:val="en-US"/>
        </w:rPr>
      </w:pPr>
      <w:r>
        <w:rPr>
          <w:lang w:val="en-US"/>
        </w:rPr>
        <w:t xml:space="preserve">Characterizing the </w:t>
      </w:r>
      <w:r w:rsidR="00A86944">
        <w:rPr>
          <w:lang w:val="en-US"/>
        </w:rPr>
        <w:t>Strong Earth Gravity Prior</w:t>
      </w:r>
    </w:p>
    <w:p w14:paraId="1B1E7A03" w14:textId="332CAF97" w:rsidR="00172469" w:rsidRDefault="00172469" w:rsidP="00BE7928">
      <w:pPr>
        <w:spacing w:line="480" w:lineRule="auto"/>
        <w:jc w:val="center"/>
      </w:pPr>
      <w:r>
        <w:t>Björn Jörges</w:t>
      </w:r>
      <w:r>
        <w:rPr>
          <w:rFonts w:cstheme="minorHAnsi"/>
        </w:rPr>
        <w:t>¹</w:t>
      </w:r>
      <w:r w:rsidR="00911E7B" w:rsidRPr="00911E7B">
        <w:rPr>
          <w:rFonts w:cstheme="minorHAnsi"/>
        </w:rPr>
        <w:t>*</w:t>
      </w:r>
      <w:r>
        <w:t xml:space="preserve"> and Joan López-Moliner²</w:t>
      </w:r>
    </w:p>
    <w:p w14:paraId="39AAA036" w14:textId="48755C03" w:rsidR="00DA44CC" w:rsidRDefault="00DA44CC" w:rsidP="00BE7928">
      <w:pPr>
        <w:spacing w:line="480" w:lineRule="auto"/>
        <w:jc w:val="both"/>
      </w:pPr>
      <w:r>
        <w:t xml:space="preserve">1 Center for Vision Research, York University, </w:t>
      </w:r>
      <w:r w:rsidRPr="00DA44CC">
        <w:t xml:space="preserve">4700 </w:t>
      </w:r>
      <w:proofErr w:type="spellStart"/>
      <w:r w:rsidRPr="00DA44CC">
        <w:t>Keele</w:t>
      </w:r>
      <w:proofErr w:type="spellEnd"/>
      <w:r w:rsidRPr="00DA44CC">
        <w:t xml:space="preserve"> St</w:t>
      </w:r>
      <w:r w:rsidR="004D1B46">
        <w:t>reet</w:t>
      </w:r>
      <w:r w:rsidRPr="00DA44CC">
        <w:t>, Toronto, ON M3J 1P3</w:t>
      </w:r>
      <w:r w:rsidR="00230834">
        <w:t>, Canada</w:t>
      </w:r>
    </w:p>
    <w:p w14:paraId="4892E723" w14:textId="483E802D" w:rsidR="00172469" w:rsidRPr="00172469" w:rsidRDefault="00DA44CC" w:rsidP="00BE7928">
      <w:pPr>
        <w:spacing w:line="480" w:lineRule="auto"/>
        <w:jc w:val="both"/>
      </w:pPr>
      <w:r>
        <w:t>2</w:t>
      </w:r>
      <w:r w:rsidR="00172469" w:rsidRPr="00172469">
        <w:t xml:space="preserve"> Vision and Control of Action (VISCA) group, Department of Cognition, Development and Psychology of Education, </w:t>
      </w:r>
      <w:proofErr w:type="spellStart"/>
      <w:r w:rsidR="00172469" w:rsidRPr="00172469">
        <w:t>Institut</w:t>
      </w:r>
      <w:proofErr w:type="spellEnd"/>
      <w:r w:rsidR="00172469" w:rsidRPr="00172469">
        <w:t xml:space="preserve"> de </w:t>
      </w:r>
      <w:proofErr w:type="spellStart"/>
      <w:r w:rsidR="00172469" w:rsidRPr="00172469">
        <w:t>Neurociències</w:t>
      </w:r>
      <w:proofErr w:type="spellEnd"/>
      <w:r w:rsidR="00172469" w:rsidRPr="00172469">
        <w:t xml:space="preserve">, </w:t>
      </w:r>
      <w:proofErr w:type="spellStart"/>
      <w:r w:rsidR="00172469" w:rsidRPr="00172469">
        <w:t>Universitat</w:t>
      </w:r>
      <w:proofErr w:type="spellEnd"/>
      <w:r w:rsidR="00172469" w:rsidRPr="00172469">
        <w:t xml:space="preserve"> de Barcelona, Ps. </w:t>
      </w:r>
      <w:proofErr w:type="spellStart"/>
      <w:r w:rsidR="00172469" w:rsidRPr="00172469">
        <w:t>Vall</w:t>
      </w:r>
      <w:proofErr w:type="spellEnd"/>
      <w:r w:rsidR="00172469" w:rsidRPr="00172469">
        <w:t xml:space="preserve"> </w:t>
      </w:r>
      <w:proofErr w:type="spellStart"/>
      <w:r w:rsidR="00172469" w:rsidRPr="00172469">
        <w:t>d'Hebron</w:t>
      </w:r>
      <w:proofErr w:type="spellEnd"/>
      <w:r w:rsidR="00172469" w:rsidRPr="00172469">
        <w:t xml:space="preserve"> 171, 08035 Barcelona, Catalonia, Spain.</w:t>
      </w:r>
    </w:p>
    <w:p w14:paraId="46B9F4F1" w14:textId="16BD552E" w:rsidR="00172469" w:rsidRDefault="00172469" w:rsidP="00BE7928">
      <w:pPr>
        <w:spacing w:line="480" w:lineRule="auto"/>
        <w:jc w:val="both"/>
      </w:pPr>
      <w:r w:rsidRPr="00172469">
        <w:t>* Corresponding Author</w:t>
      </w:r>
    </w:p>
    <w:p w14:paraId="787970A4" w14:textId="77777777" w:rsidR="00705322" w:rsidRPr="00172469" w:rsidRDefault="00705322" w:rsidP="00BE7928">
      <w:pPr>
        <w:spacing w:line="480" w:lineRule="auto"/>
        <w:jc w:val="both"/>
      </w:pPr>
    </w:p>
    <w:p w14:paraId="40504E6E" w14:textId="7629226C" w:rsidR="00E32BF5" w:rsidRDefault="00E32BF5" w:rsidP="00BE7928">
      <w:pPr>
        <w:pStyle w:val="Heading1"/>
        <w:spacing w:line="480" w:lineRule="auto"/>
        <w:rPr>
          <w:lang w:val="en-US"/>
        </w:rPr>
      </w:pPr>
      <w:r w:rsidRPr="00E32BF5">
        <w:rPr>
          <w:lang w:val="en-US"/>
        </w:rPr>
        <w:t>Abstract</w:t>
      </w:r>
    </w:p>
    <w:p w14:paraId="63F1F076" w14:textId="0E694DE8" w:rsidR="00E32BF5" w:rsidRDefault="00402308" w:rsidP="00BE7928">
      <w:pPr>
        <w:spacing w:line="480" w:lineRule="auto"/>
        <w:jc w:val="both"/>
      </w:pPr>
      <w:r>
        <w:t xml:space="preserve">Humans expect downwards moving objects to accelerate and upwards moving objects to decelerate. These results have been interpreted as humans maintaining an internal model of gravity. </w:t>
      </w:r>
      <w:r w:rsidR="002F6546">
        <w:t xml:space="preserve">We have previously </w:t>
      </w:r>
      <w:r>
        <w:t xml:space="preserve">suggested an interpretation of these results </w:t>
      </w:r>
      <w:r w:rsidR="002F6546">
        <w:t>within a Bayesian framework of perception</w:t>
      </w:r>
      <w:r>
        <w:t>:</w:t>
      </w:r>
      <w:r w:rsidR="001977EA">
        <w:t xml:space="preserve"> earth gravity could be represented as a Strong Prior that overrules noisy sensory information (Likelihood) and therefore attracts the final percept (Posterior) very strongly. Based on this framework, we use published data from a timing task </w:t>
      </w:r>
      <w:r>
        <w:t xml:space="preserve">involving gravitational motion </w:t>
      </w:r>
      <w:r w:rsidR="001977EA">
        <w:t xml:space="preserve">to determine the </w:t>
      </w:r>
      <w:r w:rsidR="00763F65">
        <w:t xml:space="preserve">mean and the </w:t>
      </w:r>
      <w:r w:rsidR="001977EA">
        <w:t xml:space="preserve">standard deviation of the Strong Earth Gravity Prior. </w:t>
      </w:r>
      <w:r w:rsidR="00763F65">
        <w:t>To get its mean</w:t>
      </w:r>
      <w:r w:rsidR="001977EA">
        <w:t xml:space="preserve">, we </w:t>
      </w:r>
      <w:r w:rsidR="00763F65">
        <w:t xml:space="preserve">refine a model of mean timing errors we proposed in a previous paper </w:t>
      </w:r>
      <w:r w:rsidR="00763F65">
        <w:fldChar w:fldCharType="begin" w:fldLock="1"/>
      </w:r>
      <w:r w:rsidR="00F3068C">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763F65">
        <w:fldChar w:fldCharType="separate"/>
      </w:r>
      <w:r w:rsidR="00763F65" w:rsidRPr="00763F65">
        <w:rPr>
          <w:noProof/>
        </w:rPr>
        <w:t>(Jörges &amp; López-Moliner, 2019)</w:t>
      </w:r>
      <w:r w:rsidR="00763F65">
        <w:fldChar w:fldCharType="end"/>
      </w:r>
      <w:r w:rsidR="00763F65">
        <w:t xml:space="preserve">, while expands the range of conditions under which it yields adequate predictions of performance. This underscores our previous conclusion that the gravity prior is likely to be very close to 9.81 m/s². To obtain the standard deviation, we </w:t>
      </w:r>
      <w:r w:rsidR="001977EA">
        <w:t>identify different sources of sensory and motor variability reflected in timing errors. We then model</w:t>
      </w:r>
      <w:r w:rsidR="000A5B70">
        <w:t xml:space="preserve"> timing responses based on quantitative assumptions about these sensory and motor errors for a range of standard deviations of the </w:t>
      </w:r>
      <w:r w:rsidR="000A5B70">
        <w:lastRenderedPageBreak/>
        <w:t xml:space="preserve">earth gravity </w:t>
      </w:r>
      <w:proofErr w:type="gramStart"/>
      <w:r w:rsidR="000A5B70">
        <w:t>prior, and</w:t>
      </w:r>
      <w:proofErr w:type="gramEnd"/>
      <w:r w:rsidR="000A5B70">
        <w:t xml:space="preserve"> find that</w:t>
      </w:r>
      <w:r>
        <w:t xml:space="preserve"> a standard deviation of </w:t>
      </w:r>
      <w:r w:rsidR="003D34FE">
        <w:t xml:space="preserve">around </w:t>
      </w:r>
      <w:r>
        <w:t xml:space="preserve">2 m/s² </w:t>
      </w:r>
      <w:r w:rsidR="000A5B70">
        <w:t>make</w:t>
      </w:r>
      <w:r>
        <w:t>s</w:t>
      </w:r>
      <w:r w:rsidR="000A5B70">
        <w:t xml:space="preserve"> for the best fit. This value is likely to represent an upper bound</w:t>
      </w:r>
      <w:r w:rsidR="0054296B">
        <w:t>, as there are strong theoretical reasons</w:t>
      </w:r>
      <w:r w:rsidR="00763F65">
        <w:t xml:space="preserve"> along with support</w:t>
      </w:r>
      <w:r w:rsidR="00910B28">
        <w:t>ing</w:t>
      </w:r>
      <w:r w:rsidR="00763F65">
        <w:t xml:space="preserve"> empirical evidence</w:t>
      </w:r>
      <w:r w:rsidR="0054296B">
        <w:t xml:space="preserve"> </w:t>
      </w:r>
      <w:r w:rsidR="00763F65">
        <w:t xml:space="preserve">for the </w:t>
      </w:r>
      <w:r w:rsidR="0054296B">
        <w:t xml:space="preserve">standard deviation of the earth gravity </w:t>
      </w:r>
      <w:r w:rsidR="00763F65">
        <w:t xml:space="preserve">being </w:t>
      </w:r>
      <w:r w:rsidR="0054296B">
        <w:t xml:space="preserve">lower than </w:t>
      </w:r>
      <w:r w:rsidR="00763F65">
        <w:t xml:space="preserve">this </w:t>
      </w:r>
      <w:r w:rsidR="0054296B">
        <w:t>valu</w:t>
      </w:r>
      <w:r w:rsidR="00763F65">
        <w:t>e</w:t>
      </w:r>
      <w:r w:rsidR="0054296B">
        <w:t>.</w:t>
      </w:r>
    </w:p>
    <w:p w14:paraId="67CDC4AE" w14:textId="0625D937" w:rsidR="00E32BF5" w:rsidRPr="00E32BF5" w:rsidRDefault="00E32BF5" w:rsidP="00BE7928">
      <w:pPr>
        <w:pStyle w:val="Heading1"/>
        <w:spacing w:line="480" w:lineRule="auto"/>
        <w:rPr>
          <w:lang w:val="en-US"/>
        </w:rPr>
      </w:pPr>
      <w:r w:rsidRPr="00E32BF5">
        <w:rPr>
          <w:lang w:val="en-US"/>
        </w:rPr>
        <w:t>Introduction</w:t>
      </w:r>
    </w:p>
    <w:p w14:paraId="7DD42585" w14:textId="08D437A2" w:rsidR="00BD3838" w:rsidRDefault="00891775" w:rsidP="00BE7928">
      <w:pPr>
        <w:spacing w:line="480" w:lineRule="auto"/>
        <w:jc w:val="both"/>
      </w:pPr>
      <w:r>
        <w:t xml:space="preserve">There is ample evidence that humans represent earth gravity and use it for a variety of tasks such as interception </w:t>
      </w:r>
      <w:r>
        <w:fldChar w:fldCharType="begin" w:fldLock="1"/>
      </w:r>
      <w:r w:rsidR="0047282B">
        <w:instrText>ADDIN CSL_CITATION {"citationItems":[{"id":"ITEM-1","itemData":{"DOI":"10.1371/journal.pone.0093020","ISSN":"19326203","PMID":"24667578","abstract":"We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ONE","id":"ITEM-1","issue":"3","issued":{"date-parts":[["2014"]]},"title":"Implied dynamics biases the visual perception of velocity","type":"article-journal","volume":"9"},"uris":["http://www.mendeley.com/documents/?uuid=b26b06c2-ad36-40bf-8261-d417ea852df0"]},{"id":"ITEM-2","itemData":{"DOI":"10.1523/JNEUROSCI.3886-11.2012","ISBN":"1529-2401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Neuroscience","id":"ITEM-2","issue":"6","issued":{"date-parts":[["2012"]]},"page":"1969-1973","title":"When Up Is Down in 0g: How Gravity Sensing Affects the Timing of Interceptive Actions","type":"article-journal","volume":"32"},"uris":["http://www.mendeley.com/documents/?uuid=7ee8ba33-a417-4767-8fc3-ae89438706e3"]},{"id":"ITEM-3","itemData":{"DOI":"10.3389/fnins.2018.00406","ISSN":"1662453X","abstract":"© 2018 Ceccarelli, La Scaleia, Russo, Cesqui, Gravano, Mezzetti, Moscatelli, d'Avella, Lacquaniti and Zago. People easily intercept a ball rolling down an incline, despite its acceleration varies with the slope in a complex manner. Apparently, however, they are poor at detecting anomalies when asked to judge artificial animations of descending motion. Since the perceptual deficiencies have been reported in studies involving a limited visual context, here we tested the hypothesis that judgments of naturalness of rolling motion are consistent with physics when the visual scene incorporates sufficient cues about environmental reference and metric scale, roughly comparable to those present when intercepting a ball. Participants viewed a sphere rolling down an incline located in the median sagittal plane, presented in 3D wide-field virtual reality. In different experiments, either the slope of the plane or the sphere acceleration were changed in arbitrary combinations, resulting in a kinematics that was either consistent or inconsistent with physics. In Experiment 1 (slope adjustment), participants were asked to modify the slope angle until the resulting motion looked natural for a given ball acceleration. In Experiment 2 (acceleration adjustment), instead, they were asked to modify the acceleration until the motion on a given slope looked natural. No feedback about performance was provided. For both experiments, we found that participants were rather accurate at finding the match between slope angle and ball acceleration congruent with physics, but there was a systematic effect of the initial conditions: accuracy was higher when the participants started the exploration from the combination of slope and acceleration corresponding to the congruent conditions than when they started far away from the congruent conditions. In Experiment 3, participants modified the slope angle based on an adaptive staircase, but the target never coincided with the starting condition. Here we found a generally accurate performance, irrespective of the target slope. We suggest that, provided the visual scene includes sufficient cues about environmental reference and metric scale, joint processing of slope and acceleration may facilitate the detection of natural motion. Perception of rolling motion may rely on the kind of approximate, probabilistic simulations of Newtonian mechanics that have previously been called into play to explain complex inferences in rich visual scenes.","author":[{"dropping-particle":"","family":"Ceccarelli","given":"Francesca","non-dropping-particle":"","parse-names":false,"suffix":""},{"dropping-particle":"","family":"Scaleia","given":"Barbara","non-dropping-particle":"La","parse-names":false,"suffix":""},{"dropping-particle":"","family":"Russo","given":"Marta","non-dropping-particle":"","parse-names":false,"suffix":""},{"dropping-particle":"","family":"Cesqui","given":"Benedetta","non-dropping-particle":"","parse-names":false,"suffix":""},{"dropping-particle":"","family":"Gravano","given":"Silvio","non-dropping-particle":"","parse-names":false,"suffix":""},{"dropping-particle":"","family":"Mezzetti","given":"Maura","non-dropping-particle":"","parse-names":false,"suffix":""},{"dropping-particle":"","family":"Moscatelli","given":"Alessandro","non-dropping-particle":"","parse-names":false,"suffix":""},{"dropping-particle":"","family":"D'Avella","given":"Andrea","non-dropping-particle":"","parse-names":false,"suffix":""},{"dropping-particle":"","family":"Lacquaniti","given":"Francesco","non-dropping-particle":"","parse-names":false,"suffix":""},{"dropping-particle":"","family":"Zago","given":"Myrka","non-dropping-particle":"","parse-names":false,"suffix":""}],"container-title":"Frontiers in Neuroscience","id":"ITEM-3","issue":"JUN","issued":{"date-parts":[["2018"]]},"page":"1-22","title":"Rolling motion along an incline: Visual sensitivity to the relation between acceleration and slope","type":"article-journal","volume":"12"},"uris":["http://www.mendeley.com/documents/?uuid=df889dfd-65bc-489b-8089-5aa787991589"]},{"id":"ITEM-4","itemData":{"DOI":"10.1016/j.visres.2008.04.005","ISBN":"0651501482","ISSN":"00426989","PMID":"18499213","abstract":"Baur??s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Research","id":"ITEM-4","issue":"14","issued":{"date-parts":[["2008"]]},"page":"1532-1538","title":"Internal models and prediction of visual gravitational motion","type":"article-journal","volume":"48"},"uris":["http://www.mendeley.com/documents/?uuid=6394854b-5452-4546-b4cc-878b4f955d0c"]},{"id":"ITEM-5","itemData":{"DOI":"10.1097/00001756-200112040-00004","ISBN":"1097-6256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Laws","type":"article-journal","volume":"12"},"uris":["http://www.mendeley.com/documents/?uuid=d038ba84-5af4-4fa5-9fdc-0ca802b136fe"]},{"id":"ITEM-6","itemData":{"DOI":"10.1152/jn.00833.2004","ISBN":"0022-3077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Neurophysiology","id":"ITEM-6","issue":"2","issued":{"date-parts":[["2004"]]},"page":"1055-1068","title":"Fast Adaptation of the Internal Model of Gravity for Manual Interceptions: Evidence for Event-Dependent Learning","type":"article-journal","volume":"93"},"uris":["http://www.mendeley.com/documents/?uuid=b7a72649-87c7-441a-a79b-ffdfac3d66f2"]},{"id":"ITEM-7","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Neurophysiology","id":"ITEM-7","issue":"4","issued":{"date-parts":[["2004"]]},"page":"1620-1634","title":"Internal Models of Target Motion: Expected Dynamics Overrides Measured Kinematics in Timing Manual Interceptions","type":"article-journal","volume":"91"},"uris":["http://www.mendeley.com/documents/?uuid=b07f479c-88a2-4519-8426-8b1fe252ce1f"]},{"id":"ITEM-8","itemData":{"DOI":"10.1016/j.neuropsychologia.2004.11.005","ISBN":"0028-3932 (Print)","ISSN":"00283932","PMID":"15707903","abstract":"We interact daily with moving objects. How accurate are our predictions about objects' motions? What sources of information do we use? These questions have received wide attention from a variety of different viewpoints. On one end of the spectrum are the ecological approaches assuming that all the information about the visual environment is present in the optic array, with no need to postulate conscious or unconscious representations. On the other end of the spectrum are the constructivist approaches assuming that a more or less accurate representation of the external world is built in the brain using explicit or implicit knowledge or memory besides sensory inputs. Representations can be related to naïve physics or to context cue-heuristics or to the construction of internal copies of environmental invariants. We address the issue of prediction of objects' fall at different levels. Cognitive understanding and perceptual judgment of simple Newtonian dynamics can be surprisingly inaccurate. By contrast, motor interactions with falling objects are often very accurate. We argue that the pragmatic action-oriented behaviour and the perception-oriented behaviour may use different modes of operation and different levels of representation. © 2004 Elsevier Ltd. All rights reserved.","author":[{"dropping-particle":"","family":"Zago","given":"Myrka","non-dropping-particle":"","parse-names":false,"suffix":""},{"dropping-particle":"","family":"Lacquaniti","given":"Francesco","non-dropping-particle":"","parse-names":false,"suffix":""}],"container-title":"Neuropsychologia","id":"ITEM-8","issue":"2 SPEC. ISS.","issued":{"date-parts":[["2005"]]},"page":"178-188","title":"Cognitive, perceptual and action-oriented representations of falling objects","type":"article-journal","volume":"43"},"uris":["http://www.mendeley.com/documents/?uuid=c329da7d-52ab-4a59-9d2e-ba10c4364347"]},{"id":"ITEM-9","itemData":{"DOI":"10.1167/11.10.13.Introduction","ISSN":"1534-7362","PMID":"21933933","abstract":"Dealing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Vision","id":"ITEM-9","issue":"10","issued":{"date-parts":[["2011"]]},"page":"1-10","title":"Coherence of structural visual cues and pictorial gravity paves the way for interceptive actions","type":"article-journal","volume":"11"},"uris":["http://www.mendeley.com/documents/?uuid=f823a239-757b-48ff-811d-7f645693d896"]},{"id":"ITEM-10","itemData":{"DOI":"10.1007/s00221-014-4050-6","ISSN":"14321106","PMID":"25142150","abstract":"Familiarity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Research","id":"ITEM-10","issue":"12","issued":{"date-parts":[["2014"]]},"page":"3803-3811","title":"Familiar trajectories facilitate the interpretation of physical forces when intercepting a moving target","type":"article-journal","volume":"232"},"uris":["http://www.mendeley.com/documents/?uuid=5480669d-7788-46f3-a926-17db5f2ac20c"]},{"id":"ITEM-11","itemData":{"DOI":"10.1016/j.visres.2007.07.024","ISBN":"0042-6989 (Print)\\r0042-6989 (Linking)","ISSN":"00426989","PMID":"17884129","abstract":"Several studies have recently provided empirical data supporting the view that gravity has been embodied in a quantitative internal model of gravity thereby permitting access to exact time-to-contact (TTC) when intercepting a free falling object. In this review, we discuss theoretical and methodological concerns with the experiments that supposedly support the assumption of a predictive and accurate model of gravity. Having done so, we then propose that only a \"qualitative implicit physics knowledge\" of the effects of gravity is used as an approximate pre-information that influences timing of interceptive actions in the specific case of free falling objects. Clear evidence remains to be provided to define how this knowledge is combined with optical information for on-line timing of interceptive actions. © 2007 Elsevier Ltd. All rights reserved.","author":[{"dropping-particle":"","family":"Baurès","given":"Robin","non-dropping-particle":"","parse-names":false,"suffix":""},{"dropping-particle":"","family":"Benguigui","given":"Nicolas","non-dropping-particle":"","parse-names":false,"suffix":""},{"dropping-particle":"","family":"Amorim","given":"Michel Ange","non-dropping-particle":"","parse-names":false,"suffix":""},{"dropping-particle":"","family":"Siegler","given":"Isabelle Anne","non-dropping-particle":"","parse-names":false,"suffix":""}],"container-title":"Vision Research","id":"ITEM-11","issued":{"date-parts":[["2007"]]},"page":"2982-2991","title":"Intercepting free falling objects: Better use Occam's razor than internalize Newton's law","type":"article-journal","volume":"47"},"uris":["http://www.mendeley.com/documents/?uuid=7c644965-094c-4f01-94ee-f31a3a51d394"]}],"mendeley":{"formattedCitation":"(Baurès, Benguigui, Amorim, &amp; Siegler, 2007; Ceccarelli et al., 2018; La Scaleia, Zago, Moscatelli, Lacquaniti, &amp; Viviani, 2014; McIntyre, Zago, &amp; Berthoz, 2001; Mijatovic, La Scaleia, Mercuri, Lacquaniti, &amp; Zago, 2014; Senot et al., 2012; Zago, McIntyre, Senot, &amp; Lacquaniti, 2008; Zago et al., 2004a, 2004b; Zago, La Scaleia, Miller, &amp; Lacquaniti, 2011; Zago &amp; Lacquaniti, 2005)","manualFormatting":"(Ceccarelli et al., 2018; La Scaleia, Zago, Moscatelli, Lacquaniti, &amp; Viviani, 2014; McIntyre, Zago, &amp; Berthoz, 2001; Mijatovic, La Scaleia, Mercuri, Lacquaniti, &amp; Zago, 2014; Senot et al., 2012; Zago et al., 2004a, 2004b; Zago, La Scaleia, Miller, &amp; Lacquaniti, 2011; Zago &amp; Lacquaniti, 2005; but see also Baurès et al., 2007 and the response Zago, McIntyre, Senot, &amp; Lacquaniti, 2008)","plainTextFormattedCitation":"(Baurès, Benguigui, Amorim, &amp; Siegler, 2007; Ceccarelli et al., 2018; La Scaleia, Zago, Moscatelli, Lacquaniti, &amp; Viviani, 2014; McIntyre, Zago, &amp; Berthoz, 2001; Mijatovic, La Scaleia, Mercuri, Lacquaniti, &amp; Zago, 2014; Senot et al., 2012; Zago, McIntyre, Senot, &amp; Lacquaniti, 2008; Zago et al., 2004a, 2004b; Zago, La Scaleia, Miller, &amp; Lacquaniti, 2011; Zago &amp; Lacquaniti, 2005)","previouslyFormattedCitation":"(Ceccarelli et al., 2018; La Scaleia, Zago, Moscatelli, Lacquaniti, &amp; Viviani, 2014; McIntyre, Zago, &amp; Berthoz, 2001; Mijatovic, La Scaleia, Mercuri, Lacquaniti, &amp; Zago, 2014; Senot et al., 2012; Zago et al., 2004a, 2004b; Zago, La Scaleia, Miller, &amp; Lacquaniti, 2011; Zago, McIntyre, Senot, &amp; Lacquaniti, 2008; Zago &amp; Lacquaniti, 2005)"},"properties":{"noteIndex":0},"schema":"https://github.com/citation-style-language/schema/raw/master/csl-citation.json"}</w:instrText>
      </w:r>
      <w:r>
        <w:fldChar w:fldCharType="separate"/>
      </w:r>
      <w:r w:rsidR="00496BA5" w:rsidRPr="00496BA5">
        <w:rPr>
          <w:noProof/>
        </w:rPr>
        <w:t>(Ceccarelli et al., 2018; La Scaleia, Zago, Moscatelli, Lacquaniti, &amp; Viviani, 2014; McIntyre, Zago, &amp; Berthoz, 2001; Mijatovic, La Scaleia, Mercuri, Lacquaniti, &amp; Zago, 2014; Senot et al., 2012; Zago et al., 2004a, 2004b; Zago, La Scaleia, Miller, &amp; Lacquaniti, 2011; Zago &amp; Lacquaniti, 2005</w:t>
      </w:r>
      <w:r w:rsidR="00F3068C">
        <w:rPr>
          <w:noProof/>
        </w:rPr>
        <w:t>; but see also Baurès et al., 2007</w:t>
      </w:r>
      <w:r w:rsidR="009257E4">
        <w:rPr>
          <w:noProof/>
        </w:rPr>
        <w:t xml:space="preserve"> for a critical view</w:t>
      </w:r>
      <w:r w:rsidR="00050D01">
        <w:rPr>
          <w:noProof/>
        </w:rPr>
        <w:t>,</w:t>
      </w:r>
      <w:r w:rsidR="0047282B">
        <w:rPr>
          <w:noProof/>
        </w:rPr>
        <w:t xml:space="preserve"> and the response </w:t>
      </w:r>
      <w:r w:rsidR="009257E4">
        <w:rPr>
          <w:noProof/>
        </w:rPr>
        <w:t xml:space="preserve">by </w:t>
      </w:r>
      <w:r w:rsidR="0047282B" w:rsidRPr="00496BA5">
        <w:rPr>
          <w:noProof/>
        </w:rPr>
        <w:t>Zago, McIntyre, Senot, &amp; Lacquaniti, 2008</w:t>
      </w:r>
      <w:r w:rsidR="00496BA5" w:rsidRPr="00496BA5">
        <w:rPr>
          <w:noProof/>
        </w:rPr>
        <w:t>)</w:t>
      </w:r>
      <w:r>
        <w:fldChar w:fldCharType="end"/>
      </w:r>
      <w:r>
        <w:t xml:space="preserve">, time estimation </w:t>
      </w:r>
      <w:r>
        <w:fldChar w:fldCharType="begin" w:fldLock="1"/>
      </w:r>
      <w:r>
        <w:instrText>ADDIN CSL_CITATION {"citationItems":[{"id":"ITEM-1","itemData":{"DOI":"10.1167/11.4.1","ISSN":"15347362","abstract":"In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relative to the monitor and Earth's gravity. Finally, observers were upright and we tilted the scene by 45°. We found systematic anisotropies in the precision of the responses, the performance being better for downward motion than for upward motion relative to the scene both when the observer and the scene were upright and when either the observer or the scene were tilted by 45°,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uthor":[{"dropping-particle":"","family":"Moscatelli","given":"Alessandro","non-dropping-particle":"","parse-names":false,"suffix":""},{"dropping-particle":"","family":"Lacquaniti","given":"Francesco","non-dropping-particle":"","parse-names":false,"suffix":""}],"container-title":"Journal of Vision","id":"ITEM-1","issue":"4","issued":{"date-parts":[["2011"]]},"page":"1-17","title":"The weight of time: Gravitational force enhances discrimination of visual motion duration","type":"article-journal","volume":"11"},"uris":["http://www.mendeley.com/documents/?uuid=f142ee8e-62f7-4684-950e-b445bd2a009a"]}],"mendeley":{"formattedCitation":"(Moscatelli &amp; Lacquaniti, 2011)","plainTextFormattedCitation":"(Moscatelli &amp; Lacquaniti, 2011)","previouslyFormattedCitation":"(Moscatelli &amp; Lacquaniti, 2011)"},"properties":{"noteIndex":0},"schema":"https://github.com/citation-style-language/schema/raw/master/csl-citation.json"}</w:instrText>
      </w:r>
      <w:r>
        <w:fldChar w:fldCharType="separate"/>
      </w:r>
      <w:r w:rsidRPr="00891775">
        <w:rPr>
          <w:noProof/>
        </w:rPr>
        <w:t>(Moscatelli &amp; Lacquaniti, 2011)</w:t>
      </w:r>
      <w:r>
        <w:fldChar w:fldCharType="end"/>
      </w:r>
      <w:r>
        <w:t xml:space="preserve">, the perception of biological motion </w:t>
      </w:r>
      <w:r>
        <w:fldChar w:fldCharType="begin" w:fldLock="1"/>
      </w:r>
      <w:r>
        <w:instrText>ADDIN CSL_CITATION {"citationItems":[{"id":"ITEM-1","itemData":{"DOI":"10.1016/j.neuroimage.2014.10.006","ISBN":"1053-8119","ISSN":"10959572","PMID":"25315789","abstract":"Our visual system takes into account the effects of Earth gravity to interpret biological motion (BM), but the neural substrates of this process remain unclear. Here we measured functional magnetic resonance (fMRI) signals while participants viewed intact or scrambled stick-figure animations of walking, running, hopping, and skipping recorded at normal or reduced gravity. We found that regions sensitive to BM configuration in the occipito-temporal cortex (OTC) were more active for reduced than normal gravity but with intact stimuli only. Effective connectivity analysis suggests that predictive coding of gravity effects underlies BM interpretation. This process might be implemented by a family of snapshot neurons involved in action monitoring.","author":[{"dropping-particle":"","family":"Maffei","given":"Vincenzo","non-dropping-particle":"","parse-names":false,"suffix":""},{"dropping-particle":"","family":"Indovina","given":"Iole","non-dropping-particle":"","parse-names":false,"suffix":""},{"dropping-particle":"","family":"Macaluso","given":"Emiliano","non-dropping-particle":"","parse-names":false,"suffix":""},{"dropping-particle":"","family":"Ivanenko","given":"Yuri P.","non-dropping-particle":"","parse-names":false,"suffix":""},{"dropping-particle":"","family":"Orban","given":"Guy A.","non-dropping-particle":"","parse-names":false,"suffix":""},{"dropping-particle":"","family":"Lacquaniti","given":"Francesco","non-dropping-particle":"","parse-names":false,"suffix":""}],"container-title":"NeuroImage","id":"ITEM-1","issue":"October 2014","issued":{"date-parts":[["2015"]]},"page":"221-230","title":"Visual gravity cues in the interpretation of biological movements: Neural correlates in humans","type":"article-journal","volume":"104"},"uris":["http://www.mendeley.com/documents/?uuid=5ec8d194-bc97-4235-ab8b-b8b88f6debd6"]}],"mendeley":{"formattedCitation":"(Maffei et al., 2015)","plainTextFormattedCitation":"(Maffei et al., 2015)","previouslyFormattedCitation":"(Maffei et al., 2015)"},"properties":{"noteIndex":0},"schema":"https://github.com/citation-style-language/schema/raw/master/csl-citation.json"}</w:instrText>
      </w:r>
      <w:r>
        <w:fldChar w:fldCharType="separate"/>
      </w:r>
      <w:r w:rsidRPr="00891775">
        <w:rPr>
          <w:noProof/>
        </w:rPr>
        <w:t>(Maffei et al., 2015)</w:t>
      </w:r>
      <w:r>
        <w:fldChar w:fldCharType="end"/>
      </w:r>
      <w:r>
        <w:t xml:space="preserve"> and many more. Recently, we have shown that gravity-based prediction for motion during an occlusion </w:t>
      </w:r>
      <w:r w:rsidR="00402308">
        <w:t xml:space="preserve">matched </w:t>
      </w:r>
      <w:r>
        <w:t>performance under a 1g expectation</w:t>
      </w:r>
      <w:r w:rsidR="00402308">
        <w:t xml:space="preserve"> not only qualitatively</w:t>
      </w:r>
      <w:r>
        <w:t xml:space="preserve">, but also quantitatively </w:t>
      </w:r>
      <w:r>
        <w:fldChar w:fldCharType="begin" w:fldLock="1"/>
      </w:r>
      <w:r w:rsidR="00F3068C">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This was an important finding to support our interpretation of the above results as a strong prior in a Bayesian framework of perception </w:t>
      </w:r>
      <w:r>
        <w:fldChar w:fldCharType="begin" w:fldLock="1"/>
      </w:r>
      <w:r w:rsidR="002A7435">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fldChar w:fldCharType="separate"/>
      </w:r>
      <w:r w:rsidR="004A436E" w:rsidRPr="004A436E">
        <w:rPr>
          <w:noProof/>
        </w:rPr>
        <w:t>(Jörges &amp; López-Moliner, 2017)</w:t>
      </w:r>
      <w:r>
        <w:fldChar w:fldCharType="end"/>
      </w:r>
      <w:r>
        <w:t>.</w:t>
      </w:r>
      <w:r w:rsidR="009A3299">
        <w:t xml:space="preserve"> </w:t>
      </w:r>
      <w:r w:rsidR="003A567D">
        <w:t xml:space="preserve">The results presented in </w:t>
      </w:r>
      <w:r w:rsidR="003A567D">
        <w:fldChar w:fldCharType="begin" w:fldLock="1"/>
      </w:r>
      <w:r w:rsidR="00F3068C">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3A567D">
        <w:fldChar w:fldCharType="separate"/>
      </w:r>
      <w:r w:rsidR="004A436E" w:rsidRPr="004A436E">
        <w:rPr>
          <w:noProof/>
        </w:rPr>
        <w:t>(Jörges &amp; López-Moliner, 2019)</w:t>
      </w:r>
      <w:r w:rsidR="003A567D">
        <w:fldChar w:fldCharType="end"/>
      </w:r>
      <w:r w:rsidR="003A567D">
        <w:t xml:space="preserve"> indicate </w:t>
      </w:r>
      <w:r w:rsidR="009A3299">
        <w:t xml:space="preserve">that </w:t>
      </w:r>
      <w:r w:rsidR="00910B28">
        <w:t>temporal errors in a timing task were consistent with a mean of</w:t>
      </w:r>
      <w:r w:rsidR="009A3299">
        <w:t xml:space="preserve"> 1g (9.81 m/s²)</w:t>
      </w:r>
      <w:r w:rsidR="00E37468">
        <w:t xml:space="preserve"> when </w:t>
      </w:r>
      <w:r w:rsidR="00A72A81">
        <w:t>o</w:t>
      </w:r>
      <w:r w:rsidR="00E37468">
        <w:t>cclusion</w:t>
      </w:r>
      <w:r w:rsidR="00910B28">
        <w:t>s</w:t>
      </w:r>
      <w:r w:rsidR="00E37468">
        <w:t xml:space="preserve"> </w:t>
      </w:r>
      <w:r w:rsidR="00910B28">
        <w:t>were</w:t>
      </w:r>
      <w:r w:rsidR="00E37468">
        <w:t xml:space="preserve"> long enough. </w:t>
      </w:r>
      <w:r w:rsidR="00A72A81">
        <w:t>In the present paper, we extend the simulations brought forward in our previous paper: First, we consider how accounting for the Aubert-</w:t>
      </w:r>
      <w:proofErr w:type="spellStart"/>
      <w:r w:rsidR="00A72A81">
        <w:t>Fleischl</w:t>
      </w:r>
      <w:proofErr w:type="spellEnd"/>
      <w:r w:rsidR="00A72A81">
        <w:t xml:space="preserve"> effect, which leads humans to perceive moving object at about 80 % of their actual speed when they pursue the target with their eyes</w:t>
      </w:r>
      <w:r w:rsidR="00F91E84">
        <w:t xml:space="preserve"> </w:t>
      </w:r>
      <w:r w:rsidR="00F91E84">
        <w:fldChar w:fldCharType="begin" w:fldLock="1"/>
      </w:r>
      <w:r w:rsidR="002502B8">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Notizen","type":"article-journal"},"uris":["http://www.mendeley.com/documents/?uuid=eaa07795-4081-46d6-994a-4e678a06c13c"]},{"id":"ITEM-3","itemData":{"DOI":"10.1007/BF00234920","ISSN":"00144819","PMID":"1204695","abstract":"Apparent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Research","id":"ITEM-3","issue":"5","issued":{"date-parts":[["1975","11"]]},"page":"529-533","publisher":"Springer-Verlag","title":"The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perception","type":"article-journal","volume":"23"},"uris":["http://www.mendeley.com/documents/?uuid=49e3eaf7-3b2a-38a6-8add-ee2b4f881be7"]}],"mendeley":{"formattedCitation":"(Aubert, 1887; Dichgans, Wist, Diener, &amp; Brandt, 1975; Fleischl, 1882)","plainTextFormattedCitation":"(Aubert, 1887; Dichgans, Wist, Diener, &amp; Brandt, 1975; Fleischl, 1882)","previouslyFormattedCitation":"(Aubert, 1887; Dichgans, Wist, Diener, &amp; Brandt, 1975; Fleischl, 1882)"},"properties":{"noteIndex":0},"schema":"https://github.com/citation-style-language/schema/raw/master/csl-citation.json"}</w:instrText>
      </w:r>
      <w:r w:rsidR="00F91E84">
        <w:fldChar w:fldCharType="separate"/>
      </w:r>
      <w:r w:rsidR="00F91E84" w:rsidRPr="00F91E84">
        <w:rPr>
          <w:noProof/>
        </w:rPr>
        <w:t>(Aubert, 1887; Dichgans, Wist, Diener, &amp; Brandt, 1975; Fleischl, 1882)</w:t>
      </w:r>
      <w:r w:rsidR="00F91E84">
        <w:fldChar w:fldCharType="end"/>
      </w:r>
      <w:r w:rsidR="009A3299">
        <w:t>,</w:t>
      </w:r>
      <w:r w:rsidR="00A72A81">
        <w:t xml:space="preserve"> can extend our simple 1g-based model to shorter occlusions.</w:t>
      </w:r>
      <w:r w:rsidR="009A3299">
        <w:t xml:space="preserve"> </w:t>
      </w:r>
      <w:r w:rsidR="00A72A81">
        <w:t xml:space="preserve">Furthermore, </w:t>
      </w:r>
      <w:r w:rsidR="009A3299">
        <w:t xml:space="preserve">to fully characterize </w:t>
      </w:r>
      <w:r w:rsidR="00A72A81">
        <w:t>a prior</w:t>
      </w:r>
      <w:r w:rsidR="009A3299">
        <w:t xml:space="preserve">, </w:t>
      </w:r>
      <w:r w:rsidR="00A72A81">
        <w:t xml:space="preserve">we need to not only indicate its </w:t>
      </w:r>
      <w:r w:rsidR="002A7435">
        <w:t>mean</w:t>
      </w:r>
      <w:r w:rsidR="00A72A81">
        <w:t>, but also its standard deviation</w:t>
      </w:r>
      <w:r w:rsidR="009A3299">
        <w:t>.</w:t>
      </w:r>
      <w:r w:rsidR="00153916">
        <w:t xml:space="preserve"> </w:t>
      </w:r>
      <w:r w:rsidR="00A72A81">
        <w:t xml:space="preserve">The second goal of the </w:t>
      </w:r>
      <w:r w:rsidR="00402308">
        <w:t xml:space="preserve">present paper </w:t>
      </w:r>
      <w:r w:rsidR="00A72A81">
        <w:t xml:space="preserve">is thus </w:t>
      </w:r>
      <w:r w:rsidR="00402308">
        <w:t xml:space="preserve">to determine </w:t>
      </w:r>
      <w:r w:rsidR="00A72A81">
        <w:t xml:space="preserve">the standard deviation of the strong gravity prior. We aim to achieve this goal </w:t>
      </w:r>
      <w:r w:rsidR="00402308">
        <w:t>by simulati</w:t>
      </w:r>
      <w:r w:rsidR="00A72A81">
        <w:t>ons</w:t>
      </w:r>
      <w:r w:rsidR="00402308">
        <w:t xml:space="preserve"> based on assumptions about the different sources of noise relevant to the task at hand.</w:t>
      </w:r>
    </w:p>
    <w:p w14:paraId="1A65CF6C" w14:textId="2EE9D456" w:rsidR="007774C7" w:rsidRDefault="00402308" w:rsidP="00BE7928">
      <w:pPr>
        <w:spacing w:line="480" w:lineRule="auto"/>
        <w:jc w:val="both"/>
      </w:pPr>
      <w:r>
        <w:lastRenderedPageBreak/>
        <w:t>On a theoretical level, w</w:t>
      </w:r>
      <w:r w:rsidR="00BD3838">
        <w:t>e envision</w:t>
      </w:r>
      <w:r w:rsidR="00E23038">
        <w:t xml:space="preserve"> (visual)</w:t>
      </w:r>
      <w:r w:rsidR="00BD3838">
        <w:t xml:space="preserve"> perception as a</w:t>
      </w:r>
      <w:r w:rsidR="00E23038">
        <w:t xml:space="preserve"> two-step</w:t>
      </w:r>
      <w:r w:rsidR="00BD3838">
        <w:t xml:space="preserve"> process: Encoding and Decoding. During Encoding, low level signals such as luminosity, retinal velocities or orientation are picked up by the perceptual system. However</w:t>
      </w:r>
      <w:r>
        <w:t xml:space="preserve">, these </w:t>
      </w:r>
      <w:r w:rsidR="001A57F8">
        <w:t>low-level</w:t>
      </w:r>
      <w:r>
        <w:t xml:space="preserve"> sensory signals are ambiguous with respect to the state of the world:</w:t>
      </w:r>
      <w:r w:rsidR="00BD3838">
        <w:t xml:space="preserve"> </w:t>
      </w:r>
      <w:r>
        <w:t xml:space="preserve">for example, </w:t>
      </w:r>
      <w:r w:rsidR="00BD3838">
        <w:t>the same retinal velocities can correspond to vastly different physical velocities, depending on the distance between observer and object. Decoding, then, is the process of interpreting optic flow information. In Decoding, humans often combine sensory input with previous knowledge to obtain a more accurate and precise estimate of the observed state of the world.</w:t>
      </w:r>
      <w:r>
        <w:t xml:space="preserve"> For example, we use knowledge about the size of an object to recover its most likely distance to the observer, thus providing a key to recover its physical velocity from retinal motion.</w:t>
      </w:r>
      <w:r w:rsidR="00BD3838">
        <w:t xml:space="preserve"> In some, if not many instances, this combination occurs according to Bayes’ formula</w:t>
      </w:r>
      <w:r w:rsidR="007774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1"/>
      </w:tblGrid>
      <w:tr w:rsidR="007774C7" w:rsidRPr="00B64F2D" w14:paraId="60F66E9A" w14:textId="77777777" w:rsidTr="00E37468">
        <w:tc>
          <w:tcPr>
            <w:tcW w:w="805" w:type="dxa"/>
            <w:vAlign w:val="center"/>
          </w:tcPr>
          <w:p w14:paraId="4ED31CAE" w14:textId="6E407EC5" w:rsidR="007774C7" w:rsidRPr="00B64F2D" w:rsidRDefault="007774C7" w:rsidP="00BE7928">
            <w:pPr>
              <w:spacing w:line="480" w:lineRule="auto"/>
            </w:pPr>
          </w:p>
        </w:tc>
        <w:tc>
          <w:tcPr>
            <w:tcW w:w="8211" w:type="dxa"/>
          </w:tcPr>
          <w:p w14:paraId="14000CC4" w14:textId="43BDDCE3" w:rsidR="007774C7" w:rsidRPr="00B64F2D" w:rsidRDefault="007774C7" w:rsidP="00BE7928">
            <w:pPr>
              <w:spacing w:line="480" w:lineRule="auto"/>
            </w:pPr>
          </w:p>
        </w:tc>
      </w:tr>
    </w:tbl>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A5BF0" w:rsidRPr="00277A48" w14:paraId="0B208BBD" w14:textId="77777777" w:rsidTr="00E37468">
        <w:trPr>
          <w:trHeight w:val="376"/>
        </w:trPr>
        <w:tc>
          <w:tcPr>
            <w:tcW w:w="8314" w:type="dxa"/>
            <w:shd w:val="clear" w:color="auto" w:fill="FFFFFF" w:themeFill="background1"/>
            <w:vAlign w:val="center"/>
          </w:tcPr>
          <w:p w14:paraId="4C8AF284" w14:textId="6D9F9A61" w:rsidR="00FA5BF0" w:rsidRPr="00277A48" w:rsidRDefault="00FA5BF0" w:rsidP="00BE7928">
            <w:pPr>
              <w:pStyle w:val="MaterialsandMethodsText"/>
              <w:spacing w:line="480" w:lineRule="auto"/>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tc>
        <w:tc>
          <w:tcPr>
            <w:tcW w:w="783" w:type="dxa"/>
            <w:shd w:val="clear" w:color="auto" w:fill="FFFFFF" w:themeFill="background1"/>
            <w:vAlign w:val="center"/>
          </w:tcPr>
          <w:p w14:paraId="09869576" w14:textId="1F6C4F8B" w:rsidR="00FA5BF0" w:rsidRPr="00277A48" w:rsidRDefault="00FA5BF0" w:rsidP="00BE7928">
            <w:pPr>
              <w:pStyle w:val="MaterialsandMethodsText"/>
              <w:spacing w:line="480" w:lineRule="auto"/>
            </w:pPr>
            <w:r w:rsidRPr="00277A48">
              <w:t>[</w:t>
            </w:r>
            <w:r>
              <w:t>1</w:t>
            </w:r>
            <w:r w:rsidRPr="00277A48">
              <w:t>]</w:t>
            </w:r>
          </w:p>
        </w:tc>
      </w:tr>
    </w:tbl>
    <w:p w14:paraId="3105F4BE" w14:textId="77777777" w:rsidR="00FA5BF0" w:rsidRDefault="00FA5BF0" w:rsidP="00BE7928">
      <w:pPr>
        <w:spacing w:line="480" w:lineRule="auto"/>
        <w:jc w:val="both"/>
      </w:pPr>
    </w:p>
    <w:p w14:paraId="737F43B2" w14:textId="7BD838BF" w:rsidR="00BD3838" w:rsidRPr="004F7B12" w:rsidRDefault="007774C7" w:rsidP="00BE7928">
      <w:pPr>
        <w:spacing w:line="480" w:lineRule="auto"/>
        <w:jc w:val="both"/>
      </w:pPr>
      <w:r>
        <w:t xml:space="preserve">The probability of a state of the world A given evidence B is the probability of observing evidence B given the state of the world A multiplied by the probability of the state of the world (A), divided by the probability of the evidence (B). In a Bayesian framework, </w:t>
      </w:r>
      <w:r w:rsidR="00BD3838">
        <w:t xml:space="preserve">sensory input (Likelihood) and prior knowledge (Prior) </w:t>
      </w:r>
      <w:r>
        <w:t xml:space="preserve">are combined </w:t>
      </w:r>
      <w:r w:rsidR="00BD3838">
        <w:t>according to their respective precisions to yield a more precise</w:t>
      </w:r>
      <w:r w:rsidR="00855B76">
        <w:t xml:space="preserve"> and more accurate final percept (Posterior).</w:t>
      </w:r>
      <w:r w:rsidR="004F7B12">
        <w:t xml:space="preserve"> </w:t>
      </w:r>
      <w:r w:rsidR="006D354B">
        <w:t>U</w:t>
      </w:r>
      <w:r w:rsidR="004F7B12">
        <w:t xml:space="preserve">sually </w:t>
      </w:r>
      <w:r w:rsidR="006D354B">
        <w:t>both the Prior and the Likelihood contribute to the Posterior</w:t>
      </w:r>
      <w:r w:rsidR="004F7B12">
        <w:t xml:space="preserve">; for example when we know that our opponent in </w:t>
      </w:r>
      <w:r>
        <w:t xml:space="preserve">a </w:t>
      </w:r>
      <w:r w:rsidR="004F7B12">
        <w:t xml:space="preserve">tennis </w:t>
      </w:r>
      <w:r>
        <w:t xml:space="preserve">match </w:t>
      </w:r>
      <w:r w:rsidR="004F7B12" w:rsidRPr="004F7B12">
        <w:rPr>
          <w:i/>
          <w:iCs/>
        </w:rPr>
        <w:t>usually</w:t>
      </w:r>
      <w:r w:rsidR="004F7B12">
        <w:rPr>
          <w:i/>
          <w:iCs/>
        </w:rPr>
        <w:t xml:space="preserve"> </w:t>
      </w:r>
      <w:r w:rsidR="004F7B12">
        <w:t xml:space="preserve">serves in the right corner of the court, but </w:t>
      </w:r>
      <w:r w:rsidR="004F7B12" w:rsidRPr="004F7B12">
        <w:rPr>
          <w:i/>
          <w:iCs/>
        </w:rPr>
        <w:t>not always</w:t>
      </w:r>
      <w:r w:rsidR="006D354B">
        <w:t xml:space="preserve">, (Prior) and we have good visibility of their serving motion, but since the motion is so quick, we do not have a lot of time to acquire evidence (Likelihood). </w:t>
      </w:r>
      <w:r w:rsidR="004F7B12">
        <w:t xml:space="preserve">We thus take sensory input (e. g. about </w:t>
      </w:r>
      <w:r w:rsidR="006D354B">
        <w:t xml:space="preserve">their </w:t>
      </w:r>
      <w:r w:rsidR="004F7B12">
        <w:t xml:space="preserve">body posture while serving) into account only to some extent (see “Normal Prior” scenario in Figure 1). However, in the case of gravity it seems that the expectation of Earth Gravity overrules all sensory </w:t>
      </w:r>
      <w:r w:rsidR="004F7B12">
        <w:lastRenderedPageBreak/>
        <w:t xml:space="preserve">information that humans collect on the law of motion of an observed object. On a theoretical level, this is a sensible assumption, since </w:t>
      </w:r>
      <w:proofErr w:type="gramStart"/>
      <w:r w:rsidR="004F7B12">
        <w:t>all of</w:t>
      </w:r>
      <w:proofErr w:type="gramEnd"/>
      <w:r w:rsidR="004F7B12">
        <w:t xml:space="preserve"> human evolution and each human’s individual development occurred under Earth Gravity. In Bayesian terms, the Prior is extremely precise and thus overrules all sensory information represented as the Likelihood.</w:t>
      </w:r>
      <w:r w:rsidR="00B117EC">
        <w:t xml:space="preserve"> According to our interpretation, we would thus expect an extremely low value for the standard deviation of the earth gravity prior.</w:t>
      </w:r>
    </w:p>
    <w:p w14:paraId="010605AD" w14:textId="6585464F" w:rsidR="008D72BE" w:rsidRDefault="009A3299" w:rsidP="00BE7928">
      <w:pPr>
        <w:spacing w:line="480" w:lineRule="auto"/>
        <w:jc w:val="both"/>
      </w:pPr>
      <w:r>
        <w:t xml:space="preserve">In the following, we use the </w:t>
      </w:r>
      <w:r w:rsidR="00891775">
        <w:t xml:space="preserve">data from </w:t>
      </w:r>
      <w:r>
        <w:t>our</w:t>
      </w:r>
      <w:r w:rsidR="00891775">
        <w:t xml:space="preserve"> previous study </w:t>
      </w:r>
      <w:r w:rsidR="00891775">
        <w:fldChar w:fldCharType="begin" w:fldLock="1"/>
      </w:r>
      <w:r w:rsidR="00F3068C">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91775">
        <w:fldChar w:fldCharType="separate"/>
      </w:r>
      <w:r w:rsidR="004A436E" w:rsidRPr="004A436E">
        <w:rPr>
          <w:noProof/>
        </w:rPr>
        <w:t>(Jörges &amp; López-Moliner, 2019)</w:t>
      </w:r>
      <w:r w:rsidR="00891775">
        <w:fldChar w:fldCharType="end"/>
      </w:r>
      <w:r w:rsidR="00891775">
        <w:t xml:space="preserve"> to </w:t>
      </w:r>
      <w:r>
        <w:t>simulate the variability of responses under different assumptions about the standard deviation of the gravity prior</w:t>
      </w:r>
      <w:r w:rsidR="006D354B">
        <w:t>.</w:t>
      </w:r>
    </w:p>
    <w:p w14:paraId="5C0B381E" w14:textId="77777777" w:rsidR="004A0054" w:rsidRDefault="004A0054" w:rsidP="00BE7928">
      <w:pPr>
        <w:spacing w:line="480" w:lineRule="auto"/>
        <w:jc w:val="both"/>
      </w:pPr>
    </w:p>
    <w:p w14:paraId="5F146EED" w14:textId="77777777" w:rsidR="008D72BE" w:rsidRDefault="008D72BE" w:rsidP="00BE7928">
      <w:pPr>
        <w:pStyle w:val="Heading1"/>
        <w:spacing w:line="480" w:lineRule="auto"/>
        <w:rPr>
          <w:lang w:val="en-US"/>
        </w:rPr>
      </w:pPr>
      <w:r>
        <w:rPr>
          <w:lang w:val="en-US"/>
        </w:rPr>
        <w:t>Methods</w:t>
      </w:r>
    </w:p>
    <w:p w14:paraId="2DF052F7" w14:textId="77777777" w:rsidR="008D72BE" w:rsidRDefault="008D72BE" w:rsidP="00BE7928">
      <w:pPr>
        <w:pStyle w:val="Heading2"/>
        <w:spacing w:line="480" w:lineRule="auto"/>
        <w:rPr>
          <w:lang w:val="en-US"/>
        </w:rPr>
      </w:pPr>
      <w:r>
        <w:rPr>
          <w:lang w:val="en-US"/>
        </w:rPr>
        <w:t>Participants</w:t>
      </w:r>
    </w:p>
    <w:p w14:paraId="77AB9D00" w14:textId="4018F7A7" w:rsidR="008D72BE" w:rsidRDefault="008D72BE" w:rsidP="00BE7928">
      <w:pPr>
        <w:spacing w:line="480" w:lineRule="auto"/>
        <w:jc w:val="both"/>
      </w:pPr>
      <w:r>
        <w:t xml:space="preserve">A total of </w:t>
      </w:r>
      <w:r w:rsidR="00B117EC">
        <w:t xml:space="preserve">ten </w:t>
      </w:r>
      <w:r>
        <w:t>(n = 10</w:t>
      </w:r>
      <w:r w:rsidRPr="00C6356F">
        <w:t xml:space="preserve">) participants performed the task, among </w:t>
      </w:r>
      <w:r>
        <w:t>which</w:t>
      </w:r>
      <w:r w:rsidRPr="00C6356F">
        <w:t xml:space="preserve"> </w:t>
      </w:r>
      <w:r>
        <w:t>one</w:t>
      </w:r>
      <w:r w:rsidRPr="00C6356F">
        <w:t xml:space="preserve"> of the authors (BJ). All had normal or corrected-to-normal vision. The remaining participants were in an age range of </w:t>
      </w:r>
      <w:r>
        <w:t>23</w:t>
      </w:r>
      <w:r w:rsidRPr="00C6356F">
        <w:t xml:space="preserve"> and </w:t>
      </w:r>
      <w:r>
        <w:t>34</w:t>
      </w:r>
      <w:r w:rsidRPr="00C6356F">
        <w:t xml:space="preserve"> years</w:t>
      </w:r>
      <w:r w:rsidR="004A436E">
        <w:t xml:space="preserve">, of which </w:t>
      </w:r>
      <w:r w:rsidRPr="00C6356F">
        <w:t>five (n</w:t>
      </w:r>
      <w:r w:rsidR="00B117EC">
        <w:t> </w:t>
      </w:r>
      <w:r w:rsidRPr="00C6356F">
        <w:t>=</w:t>
      </w:r>
      <w:r w:rsidR="00B117EC">
        <w:t> </w:t>
      </w:r>
      <w:r>
        <w:t>5</w:t>
      </w:r>
      <w:r w:rsidRPr="00C6356F">
        <w:t xml:space="preserve">) </w:t>
      </w:r>
      <w:r w:rsidR="00B117EC">
        <w:t>self-identified as women</w:t>
      </w:r>
      <w:r w:rsidR="004A436E">
        <w:t xml:space="preserve"> and five (n = 5) self-identified as men</w:t>
      </w:r>
      <w:r w:rsidRPr="00C6356F">
        <w:t xml:space="preserve">. All participants gave their informed consent. The research in this study </w:t>
      </w:r>
      <w:r w:rsidR="004A436E">
        <w:t>was</w:t>
      </w:r>
      <w:r w:rsidRPr="00C6356F">
        <w:t xml:space="preserve"> part of an ongoing research program that has been approved by the local ethics committee of the University of Barcelona. The experiment was conducted in accordance with the Code of Ethics of the World Medical Association (Declaration of Helsinki).</w:t>
      </w:r>
    </w:p>
    <w:p w14:paraId="5BFD0E2E" w14:textId="77777777" w:rsidR="004A0054" w:rsidRDefault="004A0054" w:rsidP="00BE7928">
      <w:pPr>
        <w:spacing w:line="480" w:lineRule="auto"/>
        <w:jc w:val="both"/>
      </w:pPr>
    </w:p>
    <w:p w14:paraId="0DB30FF3" w14:textId="77777777" w:rsidR="008D72BE" w:rsidRPr="00CC580F" w:rsidRDefault="008D72BE" w:rsidP="00BE7928">
      <w:pPr>
        <w:pStyle w:val="Heading2"/>
        <w:spacing w:line="480" w:lineRule="auto"/>
        <w:rPr>
          <w:lang w:val="en-US"/>
        </w:rPr>
      </w:pPr>
      <w:r>
        <w:rPr>
          <w:lang w:val="en-US"/>
        </w:rPr>
        <w:t>Stimuli</w:t>
      </w:r>
    </w:p>
    <w:p w14:paraId="29779600" w14:textId="3DE362ED" w:rsidR="008D72BE" w:rsidRDefault="008D72BE" w:rsidP="00BE7928">
      <w:pPr>
        <w:keepNext/>
        <w:spacing w:line="480" w:lineRule="auto"/>
        <w:jc w:val="both"/>
      </w:pPr>
      <w:r w:rsidRPr="00DA4DDD">
        <w:t>We present</w:t>
      </w:r>
      <w:r>
        <w:t>ed</w:t>
      </w:r>
      <w:r w:rsidRPr="00DA4DDD">
        <w:t xml:space="preserve"> participants with targets of tennis ball size (radius</w:t>
      </w:r>
      <w:r>
        <w:t> </w:t>
      </w:r>
      <w:r w:rsidRPr="00DA4DDD">
        <w:t>=</w:t>
      </w:r>
      <w:r>
        <w:t> </w:t>
      </w:r>
      <w:r w:rsidRPr="00DA4DDD">
        <w:t>0.033</w:t>
      </w:r>
      <w:r>
        <w:t> </w:t>
      </w:r>
      <w:r w:rsidRPr="00DA4DDD">
        <w:t>m)</w:t>
      </w:r>
      <w:r>
        <w:t xml:space="preserve">, </w:t>
      </w:r>
      <w:r w:rsidRPr="00DA4DDD">
        <w:t xml:space="preserve">shape </w:t>
      </w:r>
      <w:r>
        <w:t xml:space="preserve">and texture </w:t>
      </w:r>
      <w:r w:rsidRPr="00DA4DDD">
        <w:t>that move</w:t>
      </w:r>
      <w:r>
        <w:t>d</w:t>
      </w:r>
      <w:r w:rsidRPr="00DA4DDD">
        <w:t xml:space="preserve"> on parabolic trajectories. The trajectories </w:t>
      </w:r>
      <w:r>
        <w:t xml:space="preserve">were </w:t>
      </w:r>
      <w:r w:rsidRPr="00DA4DDD">
        <w:t>determined by the gravity levels (0.7,</w:t>
      </w:r>
      <w:r w:rsidR="001A57F8">
        <w:t> </w:t>
      </w:r>
      <w:r w:rsidRPr="00DA4DDD">
        <w:t>0.85,</w:t>
      </w:r>
      <w:r w:rsidR="001A57F8">
        <w:t> </w:t>
      </w:r>
      <w:r w:rsidRPr="00DA4DDD">
        <w:t>1,</w:t>
      </w:r>
      <w:r w:rsidR="001A57F8">
        <w:t> </w:t>
      </w:r>
      <w:r w:rsidRPr="00DA4DDD">
        <w:t>1.15,</w:t>
      </w:r>
      <w:r w:rsidR="001A57F8">
        <w:t> </w:t>
      </w:r>
      <w:r w:rsidRPr="00DA4DDD">
        <w:t>1.3g,</w:t>
      </w:r>
      <w:r w:rsidR="001A57F8">
        <w:t xml:space="preserve"> </w:t>
      </w:r>
      <w:r w:rsidRPr="00DA4DDD">
        <w:t>-1g), the initial</w:t>
      </w:r>
      <w:r w:rsidRPr="006B21E5">
        <w:t xml:space="preserve"> vertical</w:t>
      </w:r>
      <w:r w:rsidRPr="00DA4DDD">
        <w:t xml:space="preserve"> velocities (4.5 and 6 m/s) and the initial horizontal velocities (3 and 4 m/s). The different kinetic profiles, as well as the occlusion condition (Short Occlusion: </w:t>
      </w:r>
      <w:r w:rsidRPr="00DA4DDD">
        <w:lastRenderedPageBreak/>
        <w:t xml:space="preserve">last 20-25%; Long Occlusion: last 45-50% of the trajectory), </w:t>
      </w:r>
      <w:r>
        <w:t>were</w:t>
      </w:r>
      <w:r w:rsidRPr="00DA4DDD">
        <w:t xml:space="preserve"> presented in random order, but the method guarantee</w:t>
      </w:r>
      <w:r>
        <w:t>d</w:t>
      </w:r>
      <w:r w:rsidRPr="00DA4DDD">
        <w:t xml:space="preserve"> that each combination </w:t>
      </w:r>
      <w:r>
        <w:t xml:space="preserve">was </w:t>
      </w:r>
      <w:r w:rsidRPr="00DA4DDD">
        <w:t xml:space="preserve">presented the same amount of times. The parabolas </w:t>
      </w:r>
      <w:r>
        <w:t xml:space="preserve">were </w:t>
      </w:r>
      <w:r w:rsidRPr="00DA4DDD">
        <w:t xml:space="preserve">presented in the </w:t>
      </w:r>
      <w:proofErr w:type="spellStart"/>
      <w:r w:rsidRPr="00DA4DDD">
        <w:t>fronto</w:t>
      </w:r>
      <w:proofErr w:type="spellEnd"/>
      <w:r w:rsidRPr="00DA4DDD">
        <w:t xml:space="preserve">-parallel plane with no change in </w:t>
      </w:r>
      <w:r>
        <w:t>depth</w:t>
      </w:r>
      <w:r w:rsidRPr="00DA4DDD">
        <w:t xml:space="preserve">. Air resistance </w:t>
      </w:r>
      <w:r>
        <w:t xml:space="preserve">was </w:t>
      </w:r>
      <w:r w:rsidRPr="00DA4DDD">
        <w:t>simulated to provide a more realistic stimulus.</w:t>
      </w:r>
      <w:r>
        <w:t xml:space="preserve"> The following equations (</w:t>
      </w:r>
      <w:hyperlink r:id="rId8" w:history="1">
        <w:r w:rsidRPr="00E112AC">
          <w:rPr>
            <w:rStyle w:val="Hyperlink"/>
          </w:rPr>
          <w:t>http://www.demonstrations.wolfram.com/ProjectileWithAirDrag/</w:t>
        </w:r>
      </w:hyperlink>
      <w:r w:rsidRPr="00E112AC">
        <w:t xml:space="preserve">) </w:t>
      </w:r>
      <w:r>
        <w:t xml:space="preserve">determine the x position of the target in time </w:t>
      </w:r>
      <w:r w:rsidRPr="00E112AC">
        <w:rPr>
          <w:i/>
        </w:rPr>
        <w:t>x(t)</w:t>
      </w:r>
      <w:r>
        <w:t xml:space="preserve">, and the y position of the target in time </w:t>
      </w:r>
      <w:r w:rsidRPr="00E112AC">
        <w:rPr>
          <w:i/>
        </w:rPr>
        <w:t>y(t)</w:t>
      </w:r>
      <w:r>
        <w:t>, respectively, including air resistance: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D72BE" w:rsidRPr="00277A48" w14:paraId="508AC5A3" w14:textId="77777777" w:rsidTr="00334100">
        <w:trPr>
          <w:trHeight w:val="376"/>
        </w:trPr>
        <w:tc>
          <w:tcPr>
            <w:tcW w:w="8314" w:type="dxa"/>
            <w:shd w:val="clear" w:color="auto" w:fill="FFFFFF" w:themeFill="background1"/>
            <w:vAlign w:val="center"/>
          </w:tcPr>
          <w:p w14:paraId="6BC244BB" w14:textId="77777777" w:rsidR="008D72BE" w:rsidRPr="00277A48" w:rsidRDefault="008D72BE" w:rsidP="00BE7928">
            <w:pPr>
              <w:pStyle w:val="MaterialsandMethodsText"/>
              <w:spacing w:line="48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r>
                      <w:rPr>
                        <w:rFonts w:ascii="Cambria Math" w:hAnsi="Cambria Math"/>
                      </w:rPr>
                      <m:t>*m*g</m:t>
                    </m:r>
                  </m:num>
                  <m:den>
                    <m:r>
                      <w:rPr>
                        <w:rFonts w:ascii="Cambria Math" w:hAnsi="Cambria Math"/>
                      </w:rPr>
                      <m:t>g*c</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den>
                                </m:f>
                              </m:e>
                            </m:d>
                          </m:e>
                        </m:func>
                      </m:e>
                    </m:d>
                  </m:e>
                </m:func>
                <m:r>
                  <w:rPr>
                    <w:rFonts w:ascii="Cambria Math" w:hAnsi="Cambria Math"/>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rPr>
                          <m:t>-</m:t>
                        </m:r>
                        <m:f>
                          <m:fPr>
                            <m:ctrlPr>
                              <w:rPr>
                                <w:rFonts w:ascii="Cambria Math" w:hAnsi="Cambria Math"/>
                                <w:i/>
                              </w:rPr>
                            </m:ctrlPr>
                          </m:fPr>
                          <m:num>
                            <m:r>
                              <w:rPr>
                                <w:rFonts w:ascii="Cambria Math" w:hAnsi="Cambria Math"/>
                              </w:rPr>
                              <m:t>g*t*c</m:t>
                            </m:r>
                          </m:num>
                          <m:den>
                            <m:r>
                              <w:rPr>
                                <w:rFonts w:ascii="Cambria Math" w:hAnsi="Cambria Math"/>
                              </w:rPr>
                              <m:t>m*g</m:t>
                            </m:r>
                          </m:den>
                        </m:f>
                        <m:ctrlPr>
                          <w:rPr>
                            <w:rFonts w:ascii="Cambria Math" w:hAnsi="Cambria Math"/>
                            <w:i/>
                          </w:rPr>
                        </m:ctrlPr>
                      </m:e>
                    </m:d>
                  </m:sup>
                </m:sSup>
                <m:r>
                  <w:rPr>
                    <w:rFonts w:ascii="Cambria Math" w:eastAsia="MS Mincho" w:hAnsi="Cambria Math"/>
                    <w:szCs w:val="16"/>
                  </w:rPr>
                  <m:t>)</m:t>
                </m:r>
              </m:oMath>
            </m:oMathPara>
          </w:p>
        </w:tc>
        <w:tc>
          <w:tcPr>
            <w:tcW w:w="783" w:type="dxa"/>
            <w:shd w:val="clear" w:color="auto" w:fill="FFFFFF" w:themeFill="background1"/>
            <w:vAlign w:val="center"/>
          </w:tcPr>
          <w:p w14:paraId="16D3A5C2" w14:textId="603D73E4" w:rsidR="008D72BE" w:rsidRPr="00277A48" w:rsidRDefault="008D72BE" w:rsidP="00BE7928">
            <w:pPr>
              <w:pStyle w:val="MaterialsandMethodsText"/>
              <w:spacing w:line="480" w:lineRule="auto"/>
            </w:pPr>
            <w:r w:rsidRPr="00277A48">
              <w:t>[</w:t>
            </w:r>
            <w:r w:rsidR="00FA5BF0">
              <w:t>2</w:t>
            </w:r>
            <w:r w:rsidRPr="00277A48">
              <w:t>]</w:t>
            </w:r>
          </w:p>
        </w:tc>
      </w:tr>
      <w:tr w:rsidR="008D72BE" w:rsidRPr="00277A48" w14:paraId="095AD630" w14:textId="77777777" w:rsidTr="00334100">
        <w:trPr>
          <w:trHeight w:val="675"/>
        </w:trPr>
        <w:tc>
          <w:tcPr>
            <w:tcW w:w="8314" w:type="dxa"/>
            <w:shd w:val="clear" w:color="auto" w:fill="FFFFFF" w:themeFill="background1"/>
            <w:vAlign w:val="center"/>
          </w:tcPr>
          <w:p w14:paraId="76CCE6F6" w14:textId="77777777" w:rsidR="008D72BE" w:rsidRPr="00E112AC" w:rsidRDefault="008D72BE" w:rsidP="00BE7928">
            <w:pPr>
              <w:pStyle w:val="MaterialsandMethodsText"/>
              <w:spacing w:line="480" w:lineRule="auto"/>
              <w:rPr>
                <w:rFonts w:ascii="Times New Roman" w:eastAsia="MS Mincho" w:hAnsi="Times New Roman"/>
                <w:szCs w:val="16"/>
                <w:lang w:val="de-DE"/>
              </w:rPr>
            </w:pPr>
            <m:oMathPara>
              <m:oMath>
                <m:r>
                  <w:rPr>
                    <w:rFonts w:ascii="Cambria Math" w:hAnsi="Cambria Math" w:cstheme="minorHAnsi"/>
                    <w:szCs w:val="16"/>
                  </w:rPr>
                  <m:t>y</m:t>
                </m:r>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m:t>
                </m:r>
                <m:d>
                  <m:dPr>
                    <m:ctrlPr>
                      <w:rPr>
                        <w:rFonts w:ascii="Cambria Math" w:eastAsia="MS Mincho" w:hAnsi="Cambria Math"/>
                        <w:i/>
                        <w:szCs w:val="16"/>
                      </w:rPr>
                    </m:ctrlPr>
                  </m:dPr>
                  <m:e>
                    <m:f>
                      <m:fPr>
                        <m:ctrlPr>
                          <w:rPr>
                            <w:rFonts w:ascii="Cambria Math" w:eastAsia="MS Mincho" w:hAnsi="Cambria Math"/>
                            <w:i/>
                            <w:szCs w:val="16"/>
                          </w:rPr>
                        </m:ctrlPr>
                      </m:fPr>
                      <m:num>
                        <m:r>
                          <w:rPr>
                            <w:rFonts w:ascii="Cambria Math" w:eastAsia="MS Mincho" w:hAnsi="Cambria Math"/>
                            <w:szCs w:val="16"/>
                          </w:rPr>
                          <m:t>m</m:t>
                        </m:r>
                      </m:num>
                      <m:den>
                        <m:r>
                          <w:rPr>
                            <w:rFonts w:ascii="Cambria Math" w:eastAsia="MS Mincho" w:hAnsi="Cambria Math"/>
                            <w:szCs w:val="16"/>
                          </w:rPr>
                          <m:t>c</m:t>
                        </m:r>
                      </m:den>
                    </m:f>
                  </m:e>
                </m:d>
                <m:r>
                  <w:rPr>
                    <w:rFonts w:ascii="Cambria Math" w:eastAsia="MS Mincho" w:hAnsi="Cambria Math"/>
                    <w:szCs w:val="16"/>
                    <w:lang w:val="de-DE"/>
                  </w:rPr>
                  <m:t>*</m:t>
                </m:r>
                <m:sSup>
                  <m:sSupPr>
                    <m:ctrlPr>
                      <w:rPr>
                        <w:rFonts w:ascii="Cambria Math" w:eastAsia="MS Mincho" w:hAnsi="Cambria Math"/>
                        <w:i/>
                        <w:szCs w:val="16"/>
                      </w:rPr>
                    </m:ctrlPr>
                  </m:sSupPr>
                  <m:e>
                    <m:r>
                      <w:rPr>
                        <w:rFonts w:ascii="Cambria Math" w:eastAsia="MS Mincho" w:hAnsi="Cambria Math"/>
                        <w:szCs w:val="16"/>
                      </w:rPr>
                      <m:t>(</m:t>
                    </m:r>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r>
                  <w:rPr>
                    <w:rFonts w:ascii="Cambria Math" w:eastAsia="MS Mincho" w:hAnsi="Cambria Math"/>
                    <w:szCs w:val="16"/>
                    <w:lang w:val="de-DE"/>
                  </w:rPr>
                  <m:t>*</m:t>
                </m:r>
                <m:func>
                  <m:funcPr>
                    <m:ctrlPr>
                      <w:rPr>
                        <w:rFonts w:ascii="Cambria Math" w:eastAsia="MS Mincho" w:hAnsi="Cambria Math"/>
                        <w:szCs w:val="16"/>
                      </w:rPr>
                    </m:ctrlPr>
                  </m:funcPr>
                  <m:fName>
                    <m:r>
                      <m:rPr>
                        <m:sty m:val="p"/>
                      </m:rPr>
                      <w:rPr>
                        <w:rFonts w:ascii="Cambria Math" w:eastAsia="MS Mincho" w:hAnsi="Cambria Math"/>
                        <w:szCs w:val="16"/>
                        <w:lang w:val="de-DE"/>
                      </w:rPr>
                      <m:t>sin</m:t>
                    </m:r>
                    <m:ctrlPr>
                      <w:rPr>
                        <w:rFonts w:ascii="Cambria Math" w:eastAsia="MS Mincho" w:hAnsi="Cambria Math"/>
                        <w:i/>
                        <w:szCs w:val="16"/>
                      </w:rPr>
                    </m:ctrlPr>
                  </m:fName>
                  <m:e>
                    <m:d>
                      <m:dPr>
                        <m:ctrlPr>
                          <w:rPr>
                            <w:rFonts w:ascii="Cambria Math" w:eastAsia="MS Mincho" w:hAnsi="Cambria Math"/>
                            <w:i/>
                            <w:szCs w:val="16"/>
                          </w:rPr>
                        </m:ctrlPr>
                      </m:dPr>
                      <m:e>
                        <m:func>
                          <m:funcPr>
                            <m:ctrlPr>
                              <w:rPr>
                                <w:rFonts w:ascii="Cambria Math" w:hAnsi="Cambria Math"/>
                              </w:rPr>
                            </m:ctrlPr>
                          </m:funcPr>
                          <m:fName>
                            <m:r>
                              <m:rPr>
                                <m:sty m:val="p"/>
                              </m:rPr>
                              <w:rPr>
                                <w:rFonts w:ascii="Cambria Math" w:hAnsi="Cambria Math"/>
                                <w:lang w:val="de-DE"/>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den>
                                </m:f>
                              </m:e>
                            </m:d>
                          </m:e>
                        </m:func>
                        <m:ctrlPr>
                          <w:rPr>
                            <w:rFonts w:ascii="Cambria Math" w:hAnsi="Cambria Math"/>
                            <w:i/>
                          </w:rPr>
                        </m:ctrlPr>
                      </m:e>
                    </m:d>
                  </m:e>
                </m:func>
                <m:r>
                  <w:rPr>
                    <w:rFonts w:ascii="Cambria Math" w:hAnsi="Cambria Math"/>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num>
                  <m:den>
                    <m:r>
                      <w:rPr>
                        <w:rFonts w:ascii="Cambria Math" w:hAnsi="Cambria Math"/>
                      </w:rPr>
                      <m:t>c</m:t>
                    </m:r>
                  </m:den>
                </m:f>
                <m:r>
                  <w:rPr>
                    <w:rFonts w:ascii="Cambria Math" w:eastAsia="MS Mincho" w:hAnsi="Cambria Math"/>
                    <w:lang w:val="de-DE"/>
                  </w:rPr>
                  <m:t xml:space="preserve">) </m:t>
                </m:r>
                <m:r>
                  <w:rPr>
                    <w:rFonts w:ascii="Cambria Math" w:eastAsia="MS Mincho" w:hAnsi="Cambria Math"/>
                    <w:szCs w:val="16"/>
                    <w:lang w:val="de-DE"/>
                  </w:rPr>
                  <m:t>*</m:t>
                </m:r>
                <m:d>
                  <m:dPr>
                    <m:ctrlPr>
                      <w:rPr>
                        <w:rFonts w:ascii="Cambria Math" w:hAnsi="Cambria Math"/>
                        <w:i/>
                        <w:lang w:val="de-DE"/>
                      </w:rPr>
                    </m:ctrlPr>
                  </m:dPr>
                  <m:e>
                    <m:r>
                      <w:rPr>
                        <w:rFonts w:ascii="Cambria Math" w:hAnsi="Cambria Math"/>
                        <w:lang w:val="de-DE"/>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lang w:val="de-DE"/>
                              </w:rPr>
                              <m:t>-</m:t>
                            </m:r>
                            <m:f>
                              <m:fPr>
                                <m:ctrlPr>
                                  <w:rPr>
                                    <w:rFonts w:ascii="Cambria Math" w:hAnsi="Cambria Math"/>
                                    <w:i/>
                                  </w:rPr>
                                </m:ctrlPr>
                              </m:fPr>
                              <m:num>
                                <m:r>
                                  <w:rPr>
                                    <w:rFonts w:ascii="Cambria Math" w:hAnsi="Cambria Math"/>
                                  </w:rPr>
                                  <m:t>g</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c</m:t>
                                </m:r>
                              </m:num>
                              <m:den>
                                <m:r>
                                  <w:rPr>
                                    <w:rFonts w:ascii="Cambria Math" w:hAnsi="Cambria Math"/>
                                  </w:rPr>
                                  <m:t>m</m:t>
                                </m:r>
                                <m:r>
                                  <w:rPr>
                                    <w:rFonts w:ascii="Cambria Math" w:hAnsi="Cambria Math"/>
                                    <w:lang w:val="de-DE"/>
                                  </w:rPr>
                                  <m:t>*</m:t>
                                </m:r>
                                <m:r>
                                  <w:rPr>
                                    <w:rFonts w:ascii="Cambria Math" w:hAnsi="Cambria Math"/>
                                  </w:rPr>
                                  <m:t>g</m:t>
                                </m:r>
                              </m:den>
                            </m:f>
                            <m:ctrlPr>
                              <w:rPr>
                                <w:rFonts w:ascii="Cambria Math" w:hAnsi="Cambria Math"/>
                                <w:i/>
                              </w:rPr>
                            </m:ctrlPr>
                          </m:e>
                        </m:d>
                      </m:sup>
                    </m:sSup>
                    <m:ctrlPr>
                      <w:rPr>
                        <w:rFonts w:ascii="Cambria Math" w:eastAsia="MS Mincho" w:hAnsi="Cambria Math"/>
                        <w:i/>
                        <w:szCs w:val="16"/>
                        <w:lang w:val="de-DE"/>
                      </w:rPr>
                    </m:ctrlPr>
                  </m:e>
                </m:d>
                <m:r>
                  <w:rPr>
                    <w:rFonts w:ascii="Cambria Math" w:eastAsia="MS Mincho" w:hAnsi="Cambria Math"/>
                    <w:szCs w:val="16"/>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r>
                      <w:rPr>
                        <w:rFonts w:ascii="Cambria Math" w:hAnsi="Cambria Math"/>
                        <w:lang w:val="de-DE"/>
                      </w:rPr>
                      <m:t>*</m:t>
                    </m:r>
                    <m:r>
                      <w:rPr>
                        <w:rFonts w:ascii="Cambria Math" w:hAnsi="Cambria Math"/>
                      </w:rPr>
                      <m:t>t</m:t>
                    </m:r>
                  </m:num>
                  <m:den>
                    <m:r>
                      <w:rPr>
                        <w:rFonts w:ascii="Cambria Math" w:hAnsi="Cambria Math"/>
                      </w:rPr>
                      <m:t>c</m:t>
                    </m:r>
                  </m:den>
                </m:f>
              </m:oMath>
            </m:oMathPara>
          </w:p>
        </w:tc>
        <w:tc>
          <w:tcPr>
            <w:tcW w:w="783" w:type="dxa"/>
            <w:shd w:val="clear" w:color="auto" w:fill="FFFFFF" w:themeFill="background1"/>
            <w:vAlign w:val="center"/>
          </w:tcPr>
          <w:p w14:paraId="2DC56906" w14:textId="30AB9449" w:rsidR="008D72BE" w:rsidRPr="00277A48" w:rsidRDefault="008D72BE" w:rsidP="00BE7928">
            <w:pPr>
              <w:pStyle w:val="MaterialsandMethodsText"/>
              <w:spacing w:line="480" w:lineRule="auto"/>
            </w:pPr>
            <w:r w:rsidRPr="00277A48">
              <w:t>[</w:t>
            </w:r>
            <w:r w:rsidR="00FA5BF0">
              <w:t>3</w:t>
            </w:r>
            <w:r w:rsidRPr="00277A48">
              <w:t>]</w:t>
            </w:r>
          </w:p>
        </w:tc>
      </w:tr>
    </w:tbl>
    <w:p w14:paraId="7CD79C17" w14:textId="42D1AEFA" w:rsidR="008D72BE" w:rsidRPr="00E1293C" w:rsidRDefault="008D72BE" w:rsidP="00BE7928">
      <w:pPr>
        <w:keepNext/>
        <w:spacing w:line="480" w:lineRule="auto"/>
        <w:jc w:val="both"/>
      </w:pPr>
      <w:r>
        <w:t xml:space="preserve">With </w:t>
      </w:r>
      <m:oMath>
        <m:sSub>
          <m:sSubPr>
            <m:ctrlPr>
              <w:rPr>
                <w:rFonts w:ascii="Cambria Math" w:hAnsi="Cambria Math"/>
                <w:i/>
              </w:rPr>
            </m:ctrlPr>
          </m:sSubPr>
          <m:e>
            <m:r>
              <w:rPr>
                <w:rFonts w:ascii="Cambria Math" w:hAnsi="Cambria Math"/>
              </w:rPr>
              <m:t>v</m:t>
            </m:r>
          </m:e>
          <m:sub>
            <m:r>
              <w:rPr>
                <w:rFonts w:ascii="Cambria Math" w:hAnsi="Cambria Math"/>
              </w:rPr>
              <m:t>xi</m:t>
            </m:r>
          </m:sub>
        </m:sSub>
      </m:oMath>
      <w:r w:rsidRPr="00E112AC">
        <w:rPr>
          <w:rFonts w:eastAsiaTheme="minorEastAsia"/>
        </w:rPr>
        <w:t xml:space="preserve"> being the initial </w:t>
      </w:r>
      <w:r>
        <w:rPr>
          <w:rFonts w:eastAsiaTheme="minorEastAsia"/>
        </w:rPr>
        <w:t xml:space="preserve">horizontal velocity, </w:t>
      </w:r>
      <m:oMath>
        <m:sSub>
          <m:sSubPr>
            <m:ctrlPr>
              <w:rPr>
                <w:rFonts w:ascii="Cambria Math" w:hAnsi="Cambria Math"/>
                <w:i/>
              </w:rPr>
            </m:ctrlPr>
          </m:sSubPr>
          <m:e>
            <m:r>
              <w:rPr>
                <w:rFonts w:ascii="Cambria Math" w:hAnsi="Cambria Math"/>
              </w:rPr>
              <m:t>v</m:t>
            </m:r>
          </m:e>
          <m:sub>
            <m:r>
              <w:rPr>
                <w:rFonts w:ascii="Cambria Math" w:hAnsi="Cambria Math"/>
              </w:rPr>
              <m:t>yi</m:t>
            </m:r>
          </m:sub>
        </m:sSub>
      </m:oMath>
      <w:r>
        <w:rPr>
          <w:rFonts w:eastAsiaTheme="minorEastAsia"/>
        </w:rPr>
        <w:t xml:space="preserve"> the initial vertical velocity, </w:t>
      </w:r>
      <w:r w:rsidRPr="005C1BE8">
        <w:rPr>
          <w:rFonts w:eastAsiaTheme="minorEastAsia"/>
          <w:i/>
        </w:rPr>
        <w:t>m</w:t>
      </w:r>
      <w:r>
        <w:rPr>
          <w:rFonts w:eastAsiaTheme="minorEastAsia"/>
        </w:rPr>
        <w:t xml:space="preserve"> the mass of the target (0.057 kg), </w:t>
      </w:r>
      <w:r w:rsidRPr="005C1BE8">
        <w:rPr>
          <w:rFonts w:eastAsiaTheme="minorEastAsia"/>
          <w:i/>
        </w:rPr>
        <w:t>g</w:t>
      </w:r>
      <w:r>
        <w:rPr>
          <w:rFonts w:eastAsiaTheme="minorEastAsia"/>
        </w:rPr>
        <w:t xml:space="preserve"> the respective gravity value and </w:t>
      </w:r>
      <w:r w:rsidRPr="005C1BE8">
        <w:rPr>
          <w:rFonts w:eastAsiaTheme="minorEastAsia"/>
          <w:i/>
        </w:rPr>
        <w:t>c</w:t>
      </w:r>
      <w:r>
        <w:rPr>
          <w:rFonts w:eastAsiaTheme="minorEastAsia"/>
        </w:rPr>
        <w:t xml:space="preserve"> being the drag coefficient, where we chose 0.005.</w:t>
      </w:r>
    </w:p>
    <w:p w14:paraId="768C2872" w14:textId="73A39B21" w:rsidR="008D72BE" w:rsidRDefault="008D72BE" w:rsidP="00BE7928">
      <w:pPr>
        <w:keepNext/>
        <w:spacing w:line="480" w:lineRule="auto"/>
        <w:jc w:val="both"/>
      </w:pPr>
      <w:r w:rsidRPr="00DA4DDD">
        <w:t>For description of the parabolas, we use a coordinate system where the observer’s position is defined as x</w:t>
      </w:r>
      <w:r>
        <w:t> </w:t>
      </w:r>
      <w:r w:rsidRPr="00DA4DDD">
        <w:t>=</w:t>
      </w:r>
      <w:r>
        <w:t> </w:t>
      </w:r>
      <w:r w:rsidRPr="00DA4DDD">
        <w:t>y</w:t>
      </w:r>
      <w:r>
        <w:t> </w:t>
      </w:r>
      <w:r w:rsidRPr="00DA4DDD">
        <w:t>=</w:t>
      </w:r>
      <w:r>
        <w:t> </w:t>
      </w:r>
      <w:r w:rsidRPr="00DA4DDD">
        <w:t>z</w:t>
      </w:r>
      <w:r>
        <w:t> </w:t>
      </w:r>
      <w:r w:rsidRPr="00DA4DDD">
        <w:t>=</w:t>
      </w:r>
      <w:r>
        <w:t> </w:t>
      </w:r>
      <w:r w:rsidRPr="00DA4DDD">
        <w:t>0</w:t>
      </w:r>
      <w:r>
        <w:t>; the x axis runs from left to right, the y axis from down to up and the z axis away from the observer in depth</w:t>
      </w:r>
      <w:r w:rsidRPr="00DA4DDD">
        <w:t xml:space="preserve">. The starting y position </w:t>
      </w:r>
      <w:r>
        <w:t xml:space="preserve">was </w:t>
      </w:r>
      <w:r w:rsidRPr="00DA4DDD">
        <w:t>half a meter above the ground (y</w:t>
      </w:r>
      <w:r>
        <w:t> </w:t>
      </w:r>
      <w:r w:rsidRPr="00DA4DDD">
        <w:t>=</w:t>
      </w:r>
      <w:r>
        <w:t> </w:t>
      </w:r>
      <w:r w:rsidRPr="00DA4DDD">
        <w:t>0.5</w:t>
      </w:r>
      <w:r>
        <w:t> </w:t>
      </w:r>
      <w:r w:rsidRPr="00DA4DDD">
        <w:t>m)</w:t>
      </w:r>
      <w:r>
        <w:t xml:space="preserve"> for positive gravity values (0.7-1.3g) and 3.5 m for negative gravity values (-1g)</w:t>
      </w:r>
      <w:r w:rsidRPr="00DA4DDD">
        <w:t xml:space="preserve">, while the starting x position </w:t>
      </w:r>
      <w:r>
        <w:t xml:space="preserve">was </w:t>
      </w:r>
      <w:r w:rsidRPr="00DA4DDD">
        <w:t>moved to the left from the middle of the scene by half of the overall length of the trajectory (x</w:t>
      </w:r>
      <w:r>
        <w:t> </w:t>
      </w:r>
      <w:r w:rsidRPr="00DA4DDD">
        <w:t>=</w:t>
      </w:r>
      <w:r>
        <w:t> </w:t>
      </w:r>
      <w:r w:rsidRPr="00DA4DDD">
        <w:t>-length/2</w:t>
      </w:r>
      <w:r>
        <w:t> </w:t>
      </w:r>
      <w:r w:rsidRPr="00DA4DDD">
        <w:t>m)</w:t>
      </w:r>
      <w:r>
        <w:t>.</w:t>
      </w:r>
      <w:r w:rsidRPr="00DA4DDD">
        <w:t xml:space="preserve"> The target travels to the right, such that the peak of the parabola </w:t>
      </w:r>
      <w:r>
        <w:t>was</w:t>
      </w:r>
      <w:r w:rsidRPr="00DA4DDD">
        <w:t xml:space="preserve"> always reached at x</w:t>
      </w:r>
      <w:r>
        <w:t> </w:t>
      </w:r>
      <w:r w:rsidRPr="00DA4DDD">
        <w:t>=</w:t>
      </w:r>
      <w:r>
        <w:t> </w:t>
      </w:r>
      <w:r w:rsidRPr="00DA4DDD">
        <w:t>0</w:t>
      </w:r>
      <w:r>
        <w:t> m (or the lowest point for the inverted parabolas)</w:t>
      </w:r>
      <w:r w:rsidRPr="00DA4DDD">
        <w:t>. The ball's z position remain</w:t>
      </w:r>
      <w:r>
        <w:t>ed</w:t>
      </w:r>
      <w:r w:rsidRPr="00DA4DDD">
        <w:t xml:space="preserve"> constant at z</w:t>
      </w:r>
      <w:r>
        <w:t> </w:t>
      </w:r>
      <w:r w:rsidRPr="00DA4DDD">
        <w:t>=</w:t>
      </w:r>
      <w:r>
        <w:t> </w:t>
      </w:r>
      <w:r w:rsidRPr="00DA4DDD">
        <w:t>-6.15 m. The target disappear</w:t>
      </w:r>
      <w:r>
        <w:t>ed</w:t>
      </w:r>
      <w:r w:rsidRPr="00DA4DDD">
        <w:t xml:space="preserve"> at a random point between 20% and 25% (Short Occlusion) or 45% and 50% (Long Occlusion) of the time it would take for it to return to the initial height (y</w:t>
      </w:r>
      <w:r>
        <w:t> </w:t>
      </w:r>
      <w:r w:rsidRPr="00DA4DDD">
        <w:t>=</w:t>
      </w:r>
      <w:r>
        <w:t> </w:t>
      </w:r>
      <w:r w:rsidRPr="00DA4DDD">
        <w:t>0.5</w:t>
      </w:r>
      <w:r>
        <w:t> </w:t>
      </w:r>
      <w:r w:rsidRPr="00DA4DDD">
        <w:t>m</w:t>
      </w:r>
      <w:r>
        <w:t xml:space="preserve"> or y = 3.5 m, respectively</w:t>
      </w:r>
      <w:r w:rsidRPr="00DA4DDD">
        <w:t xml:space="preserve">). The y end position </w:t>
      </w:r>
      <w:r>
        <w:t>was</w:t>
      </w:r>
      <w:r w:rsidRPr="00DA4DDD">
        <w:t xml:space="preserve"> marked with an elongated table that </w:t>
      </w:r>
      <w:r>
        <w:t xml:space="preserve">was </w:t>
      </w:r>
      <w:r w:rsidRPr="00DA4DDD">
        <w:t>displayed in the target area of the room</w:t>
      </w:r>
      <w:r>
        <w:t xml:space="preserve"> for targets with positive gravities; it was marked </w:t>
      </w:r>
      <w:r w:rsidRPr="00315663">
        <w:t>with</w:t>
      </w:r>
      <w:r>
        <w:t xml:space="preserve"> an elongated lamp hanging from the ceiling for inverted stimuli</w:t>
      </w:r>
      <w:r w:rsidRPr="00DA4DDD">
        <w:t>. We presen</w:t>
      </w:r>
      <w:r>
        <w:t xml:space="preserve">ted </w:t>
      </w:r>
      <w:r w:rsidRPr="00DA4DDD">
        <w:t>the trajectories in a rich environment that provide</w:t>
      </w:r>
      <w:r>
        <w:t>d</w:t>
      </w:r>
      <w:r w:rsidRPr="00DA4DDD">
        <w:t xml:space="preserve"> 3D cues about the object's position in depth</w:t>
      </w:r>
      <w:r>
        <w:t xml:space="preserve"> (see Figure 1) and used a known object (a tennis ball) as target to recruit prior knowledge </w:t>
      </w:r>
      <w:r>
        <w:lastRenderedPageBreak/>
        <w:t>consistent with the geometry on display.</w:t>
      </w:r>
      <w:r w:rsidRPr="00DA4DDD">
        <w:t xml:space="preserve"> This has</w:t>
      </w:r>
      <w:r>
        <w:t xml:space="preserve"> been</w:t>
      </w:r>
      <w:r w:rsidRPr="00DA4DDD">
        <w:t xml:space="preserve"> shown to help </w:t>
      </w:r>
      <w:r>
        <w:t>activate</w:t>
      </w:r>
      <w:r w:rsidRPr="00DA4DDD">
        <w:t xml:space="preserve"> the internal model of gravity</w:t>
      </w:r>
      <w:r w:rsidR="00C660CF">
        <w:t xml:space="preserve"> </w:t>
      </w:r>
      <w:r>
        <w:fldChar w:fldCharType="begin" w:fldLock="1"/>
      </w:r>
      <w:r w:rsidR="001D4CE3">
        <w:instrText>ADDIN CSL_CITATION {"citationItems":[{"id":"ITEM-1","itemData":{"DOI":"10.3389/fnint.2013.00101","ISSN":"1662-5145","PMID":"24421761","abstract":"The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neuroscience","id":"ITEM-1","issue":"December","issued":{"date-parts":[["2013"]]},"page":"101","title":"Visual gravitational motion and the vestibular system in humans.","type":"article-journal","volume":"7"},"uris":["http://www.mendeley.com/documents/?uuid=52722f9f-bf26-471d-b6d9-ef094735cd09"]},{"id":"ITEM-2","itemData":{"DOI":"10.1167/11.10.13.Introduction","ISSN":"1534-7362","PMID":"21933933","abstract":"Dealing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Vision","id":"ITEM-2","issue":"10","issued":{"date-parts":[["2011"]]},"page":"1-10","title":"Coherence of structural visual cues and pictorial gravity paves the way for interceptive actions","type":"article-journal","volume":"11"},"uris":["http://www.mendeley.com/documents/?uuid=f823a239-757b-48ff-811d-7f645693d896"]},{"id":"ITEM-3","itemData":{"DOI":"10.1167/19.4.13","ISSN":"1534-7362","abstract":"In tracking a moving target, the visual context may provide cues for an observer to interpret the causal nature of the target motion and extract features to which the visual system is weakly sensitive, such as target acceleration. This information could be critical when vision of the target is temporarily impeded, requiring visual motion extrapolation processes. Here we investigated how visual context influences ocular tracking of motion either congruent or not with natural gravity. To this end, 28 subjects tracked computer-simulated ballistic trajectories either perturbed in the descending segment with altered gravity effects (0g/2g) or retaining natural-like motion (1g). Shortly after the perturbation (550 ms), targets disappeared for either 450 or 650 ms and became visible again until landing. Target motion occurred with either quasi-realistic pictorial cues or a uniform background, presented in counterbalanced order. We analyzed saccadic and pursuit movements after 0g and 2g target-motion perturbations and for corresponding intervals of unperturbed 1g trajectories, as well as after corresponding occlusions. Moreover, we considered the eye-to-target distance at target reappearance. Tracking parameters differed significantly between scenarios: With a neutral background, eye movements did not depend consistently on target motion, whereas with pictorial background they showed significant dependence, denoting better tracking of accelerated targets. These results suggest that oculomotor control is tuned to realistic properties of the visual scene.","author":[{"dropping-particle":"","family":"Monache","given":"Sergio Delle","non-dropping-particle":"","parse-names":false,"suffix":""},{"dropping-particle":"","family":"Lacquaniti","given":"Francesco","non-dropping-particle":"","parse-names":false,"suffix":""},{"dropping-particle":"","family":"Bosco","given":"Gianfranco","non-dropping-particle":"","parse-names":false,"suffix":""}],"container-title":"Journal of Vision","id":"ITEM-3","issue":"4","issued":{"date-parts":[["2019"]]},"page":"1-21","title":"Ocular tracking of occluded ballistic trajectories: Effects of visual context and of target law of motion","type":"article-journal","volume":"19"},"uris":["http://www.mendeley.com/documents/?uuid=8f79fcc1-3136-46f9-8ae4-e59b482a9352"]}],"mendeley":{"formattedCitation":"(Lacquaniti et al., 2013; Monache, Lacquaniti, &amp; Bosco, 2019; Zago et al., 2011)","plainTextFormattedCitation":"(Lacquaniti et al., 2013; Monache, Lacquaniti, &amp; Bosco, 2019; Zago et al., 2011)","previouslyFormattedCitation":"(Lacquaniti et al., 2013; Monache, Lacquaniti, &amp; Bosco, 2019; Zago et al., 2011)"},"properties":{"noteIndex":0},"schema":"https://github.com/citation-style-language/schema/raw/master/csl-citation.json"}</w:instrText>
      </w:r>
      <w:r>
        <w:fldChar w:fldCharType="separate"/>
      </w:r>
      <w:r w:rsidR="00496BA5" w:rsidRPr="00496BA5">
        <w:rPr>
          <w:noProof/>
        </w:rPr>
        <w:t>(Lacquaniti et al., 2013; Monache, Lacquaniti, &amp; Bosco, 2019; Zago et al., 2011)</w:t>
      </w:r>
      <w:r>
        <w:fldChar w:fldCharType="end"/>
      </w:r>
      <w:r w:rsidRPr="00DA4DDD">
        <w:t>, that we have previously suggested to be a</w:t>
      </w:r>
      <w:r>
        <w:t>n earth</w:t>
      </w:r>
      <w:r w:rsidRPr="00DA4DDD">
        <w:t xml:space="preserve"> gravity prior</w:t>
      </w:r>
      <w:r w:rsidR="006D354B">
        <w:t xml:space="preserve"> </w:t>
      </w:r>
      <w:r>
        <w:fldChar w:fldCharType="begin" w:fldLock="1"/>
      </w:r>
      <w:r w:rsidR="00CD09E0">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fldChar w:fldCharType="separate"/>
      </w:r>
      <w:r w:rsidR="004A436E" w:rsidRPr="004A436E">
        <w:rPr>
          <w:noProof/>
        </w:rPr>
        <w:t>(Jörges &amp; López-Moliner, 2017)</w:t>
      </w:r>
      <w:r>
        <w:fldChar w:fldCharType="end"/>
      </w:r>
      <w:r w:rsidRPr="00DA4DDD">
        <w:t xml:space="preserve">. This environment was constructed such that no low-level cues such as differences in brightness and contrast with the target differed significantly between the different trajectories. </w:t>
      </w:r>
    </w:p>
    <w:p w14:paraId="603FC31B" w14:textId="311EEACA" w:rsidR="004A0054" w:rsidRDefault="004A0054" w:rsidP="00BE7928">
      <w:pPr>
        <w:keepNext/>
        <w:spacing w:line="480" w:lineRule="auto"/>
        <w:jc w:val="both"/>
      </w:pPr>
    </w:p>
    <w:p w14:paraId="79F8949F" w14:textId="655F6345" w:rsidR="008D72BE" w:rsidRPr="00403619" w:rsidRDefault="008D72BE" w:rsidP="00BE7928">
      <w:pPr>
        <w:pStyle w:val="Heading2"/>
        <w:spacing w:line="480" w:lineRule="auto"/>
        <w:rPr>
          <w:lang w:val="en-US"/>
        </w:rPr>
      </w:pPr>
      <w:r>
        <w:rPr>
          <w:rStyle w:val="Heading2Char"/>
          <w:lang w:val="en-US"/>
        </w:rPr>
        <w:t>Apparatus</w:t>
      </w:r>
    </w:p>
    <w:p w14:paraId="506A97AA" w14:textId="108C46F8" w:rsidR="008D72BE" w:rsidRDefault="008D72BE" w:rsidP="00BE7928">
      <w:pPr>
        <w:spacing w:line="480" w:lineRule="auto"/>
        <w:jc w:val="both"/>
      </w:pPr>
      <w:r w:rsidRPr="00DA4DDD">
        <w:t>Two Sony laser projectors (VPL-FH</w:t>
      </w:r>
      <w:r>
        <w:t>Z</w:t>
      </w:r>
      <w:r w:rsidRPr="00DA4DDD">
        <w:t xml:space="preserve">57) </w:t>
      </w:r>
      <w:r>
        <w:t xml:space="preserve">were </w:t>
      </w:r>
      <w:r w:rsidRPr="00DA4DDD">
        <w:t xml:space="preserve">used to provide overlaid images on a back-projection screen (244 cm height and 184 cm width) with a resolution of 1920x1080 pixels. The frequency of refresh of the image </w:t>
      </w:r>
      <w:r>
        <w:t xml:space="preserve">was </w:t>
      </w:r>
      <w:r w:rsidRPr="00DA4DDD">
        <w:t xml:space="preserve">85 Hz for </w:t>
      </w:r>
      <w:r w:rsidRPr="000C32F9">
        <w:t>each</w:t>
      </w:r>
      <w:r w:rsidRPr="00DA4DDD">
        <w:t xml:space="preserve"> eye. Circular polarizing filters </w:t>
      </w:r>
      <w:r>
        <w:t xml:space="preserve">were </w:t>
      </w:r>
      <w:r w:rsidRPr="00DA4DDD">
        <w:t xml:space="preserve">used to provide stereoscopic images. Participants </w:t>
      </w:r>
      <w:r>
        <w:t xml:space="preserve">stood </w:t>
      </w:r>
      <w:r w:rsidRPr="00DA4DDD">
        <w:t>at 2</w:t>
      </w:r>
      <w:r>
        <w:t> </w:t>
      </w:r>
      <w:r w:rsidRPr="00DA4DDD">
        <w:t>m distance centrally in front of the screen and use</w:t>
      </w:r>
      <w:r>
        <w:t>d</w:t>
      </w:r>
      <w:r w:rsidRPr="00DA4DDD">
        <w:t xml:space="preserve"> polarized glasses to achieve stereoscopic vision of the visual scene and the target. The shown disparity </w:t>
      </w:r>
      <w:r>
        <w:t xml:space="preserve">was </w:t>
      </w:r>
      <w:r w:rsidRPr="00DA4DDD">
        <w:t>adapted to each participant's inter-ocular distance</w:t>
      </w:r>
      <w:r>
        <w:t xml:space="preserve">. The stimuli were programmed in </w:t>
      </w:r>
      <w:proofErr w:type="spellStart"/>
      <w:r>
        <w:t>PsychoPy</w:t>
      </w:r>
      <w:proofErr w:type="spellEnd"/>
      <w:r w:rsidR="00187C34">
        <w:t xml:space="preserve"> </w:t>
      </w:r>
      <w:r>
        <w:fldChar w:fldCharType="begin" w:fldLock="1"/>
      </w:r>
      <w:r w:rsidR="007614EE">
        <w:instrText>ADDIN CSL_CITATION {"citationItems":[{"id":"ITEM-1","itemData":{"DOI":"10.1016/J.JNEUMETH.2006.11.017","ISSN":"0165-0270","abstract":"The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benefits.","author":[{"dropping-particle":"","family":"Peirce","given":"Jonathan W.","non-dropping-particle":"","parse-names":false,"suffix":""}],"container-title":"Journal of Neuroscience Methods","id":"ITEM-1","issue":"1-2","issued":{"date-parts":[["2007","5","15"]]},"page":"8-13","publisher":"Elsevier","title":"PsychoPy—Psychophysics software in Python","type":"article-journal","volume":"162"},"uris":["http://www.mendeley.com/documents/?uuid=6b6de627-7aea-399c-87a3-881f59effbb2"]}],"mendeley":{"formattedCitation":"(Peirce, 2007)","plainTextFormattedCitation":"(Peirce, 2007)","previouslyFormattedCitation":"(Peirce, 2007)"},"properties":{"noteIndex":0},"schema":"https://github.com/citation-style-language/schema/raw/master/csl-citation.json"}</w:instrText>
      </w:r>
      <w:r>
        <w:fldChar w:fldCharType="separate"/>
      </w:r>
      <w:r w:rsidR="00595505" w:rsidRPr="00595505">
        <w:rPr>
          <w:noProof/>
        </w:rPr>
        <w:t>(Peirce, 2007)</w:t>
      </w:r>
      <w:r>
        <w:fldChar w:fldCharType="end"/>
      </w:r>
      <w:r>
        <w:t>; we added the code to our pre-registration (</w:t>
      </w:r>
      <w:hyperlink r:id="rId9" w:history="1">
        <w:r w:rsidRPr="00000C40">
          <w:rPr>
            <w:rStyle w:val="Hyperlink"/>
          </w:rPr>
          <w:t>https://osf.io/8vg95/</w:t>
        </w:r>
      </w:hyperlink>
      <w:r w:rsidRPr="006F3126">
        <w:t>)</w:t>
      </w:r>
      <w:r>
        <w:t>. The projectors introduced a delay of</w:t>
      </w:r>
      <w:r w:rsidRPr="00D95CE3">
        <w:t xml:space="preserve"> </w:t>
      </w:r>
      <w:r w:rsidRPr="00315663">
        <w:t>0.049259 s (SD = 0.001894 s) that will be accounted for in the analysis of timing responses.</w:t>
      </w:r>
      <w:r>
        <w:t xml:space="preserve"> Data was acquired for a different hypothesis, for which we also tracked participants eye-movements.</w:t>
      </w:r>
    </w:p>
    <w:p w14:paraId="177B7961" w14:textId="77777777" w:rsidR="004A0054" w:rsidRPr="00B63C9A" w:rsidRDefault="004A0054" w:rsidP="00BE7928">
      <w:pPr>
        <w:spacing w:line="480" w:lineRule="auto"/>
        <w:jc w:val="both"/>
      </w:pPr>
    </w:p>
    <w:p w14:paraId="244930FF" w14:textId="77777777" w:rsidR="008D72BE" w:rsidRDefault="008D72BE" w:rsidP="00BE7928">
      <w:pPr>
        <w:spacing w:after="0" w:line="480" w:lineRule="auto"/>
      </w:pPr>
      <w:r w:rsidRPr="008D72BE">
        <w:rPr>
          <w:rStyle w:val="Heading2Char"/>
          <w:lang w:val="en-US"/>
        </w:rPr>
        <w:t>Procedure</w:t>
      </w:r>
    </w:p>
    <w:p w14:paraId="26E9711E" w14:textId="11405A1C" w:rsidR="00F34E8D" w:rsidRDefault="008D72BE" w:rsidP="00BE7928">
      <w:pPr>
        <w:spacing w:line="480" w:lineRule="auto"/>
        <w:jc w:val="both"/>
      </w:pPr>
      <w:r w:rsidRPr="00DA4DDD">
        <w:t xml:space="preserve">Participants </w:t>
      </w:r>
      <w:r>
        <w:t>were</w:t>
      </w:r>
      <w:r w:rsidRPr="00DA4DDD">
        <w:t xml:space="preserve"> first instructed </w:t>
      </w:r>
      <w:r>
        <w:t>to pursue</w:t>
      </w:r>
      <w:r w:rsidRPr="00DA4DDD">
        <w:t xml:space="preserve"> the target closely with their </w:t>
      </w:r>
      <w:r>
        <w:t xml:space="preserve">eyes </w:t>
      </w:r>
      <w:r w:rsidRPr="00DA4DDD">
        <w:t xml:space="preserve">and </w:t>
      </w:r>
      <w:r>
        <w:t xml:space="preserve">to indicate </w:t>
      </w:r>
      <w:r w:rsidRPr="00DA4DDD">
        <w:t xml:space="preserve">via mouse button click when they believed the target </w:t>
      </w:r>
      <w:r>
        <w:t xml:space="preserve">had </w:t>
      </w:r>
      <w:r w:rsidRPr="00DA4DDD">
        <w:t>returned to the starting level (y</w:t>
      </w:r>
      <w:r>
        <w:t> </w:t>
      </w:r>
      <w:r w:rsidRPr="00DA4DDD">
        <w:t>=</w:t>
      </w:r>
      <w:r>
        <w:t> </w:t>
      </w:r>
      <w:r w:rsidRPr="00DA4DDD">
        <w:t>0.5</w:t>
      </w:r>
      <w:r>
        <w:t> </w:t>
      </w:r>
      <w:r w:rsidRPr="00DA4DDD">
        <w:t>m</w:t>
      </w:r>
      <w:r>
        <w:t>/y = 3.5 m</w:t>
      </w:r>
      <w:r w:rsidRPr="00DA4DDD">
        <w:t>). We familiarize</w:t>
      </w:r>
      <w:r>
        <w:t>d</w:t>
      </w:r>
      <w:r w:rsidRPr="00DA4DDD">
        <w:t xml:space="preserve"> subjects with 4</w:t>
      </w:r>
      <w:r>
        <w:t>8</w:t>
      </w:r>
      <w:r w:rsidRPr="00DA4DDD">
        <w:t xml:space="preserve"> training trials (each combination of experimental variables once), in which the ball reappear</w:t>
      </w:r>
      <w:r>
        <w:t>ed</w:t>
      </w:r>
      <w:r w:rsidRPr="00DA4DDD">
        <w:t xml:space="preserve"> upon mouse click, thus indicating the spatial error. </w:t>
      </w:r>
      <w:r>
        <w:t>Then, w</w:t>
      </w:r>
      <w:r w:rsidRPr="00DA4DDD">
        <w:t>e present</w:t>
      </w:r>
      <w:r>
        <w:t>ed</w:t>
      </w:r>
      <w:r w:rsidRPr="00DA4DDD">
        <w:t xml:space="preserve"> the stimuli in </w:t>
      </w:r>
      <w:r>
        <w:t>four blocks: 3</w:t>
      </w:r>
      <w:r w:rsidRPr="00DA4DDD">
        <w:t xml:space="preserve"> blocks of </w:t>
      </w:r>
      <w:r>
        <w:t>320</w:t>
      </w:r>
      <w:r w:rsidRPr="00DA4DDD">
        <w:t xml:space="preserve"> trials each (5 gravities from 0.7g to 1.3g; 2 initial vertical velocities; 2 initial </w:t>
      </w:r>
      <w:r w:rsidRPr="00DA4DDD">
        <w:lastRenderedPageBreak/>
        <w:t>horizontal veloci</w:t>
      </w:r>
      <w:r>
        <w:t>ties; 2 occlusion conditions; 8</w:t>
      </w:r>
      <w:r w:rsidRPr="00DA4DDD">
        <w:t xml:space="preserve"> repetitions per combination)</w:t>
      </w:r>
      <w:r w:rsidR="00F34E8D">
        <w:t xml:space="preserve">. </w:t>
      </w:r>
      <w:r w:rsidR="00B377BA">
        <w:t>W</w:t>
      </w:r>
      <w:r w:rsidR="00F34E8D">
        <w:t>e furthermore tested one block of -1g/1g motion</w:t>
      </w:r>
      <w:r w:rsidRPr="00DA4DDD">
        <w:t xml:space="preserve">. After each block, participants </w:t>
      </w:r>
      <w:r>
        <w:t xml:space="preserve">could </w:t>
      </w:r>
      <w:r w:rsidRPr="00DA4DDD">
        <w:t>take a break. Five subjects</w:t>
      </w:r>
      <w:r>
        <w:t xml:space="preserve"> (s1, s3, s5, s7, s9)</w:t>
      </w:r>
      <w:r w:rsidRPr="00DA4DDD">
        <w:t xml:space="preserve"> receive</w:t>
      </w:r>
      <w:r>
        <w:t>d</w:t>
      </w:r>
      <w:r w:rsidRPr="00DA4DDD">
        <w:t xml:space="preserve"> the 1g/-1g block as first block, while the other five sub</w:t>
      </w:r>
      <w:r>
        <w:t>jects (s2, s4, s6, s8, s10) received it as last block</w:t>
      </w:r>
      <w:r w:rsidR="00F34E8D">
        <w:t>.</w:t>
      </w:r>
    </w:p>
    <w:p w14:paraId="15F8E16C" w14:textId="693E2ADC" w:rsidR="00F05CAA" w:rsidRPr="002A1A9B" w:rsidRDefault="00F05CAA" w:rsidP="00BE7928">
      <w:pPr>
        <w:spacing w:line="480" w:lineRule="auto"/>
        <w:jc w:val="both"/>
      </w:pPr>
    </w:p>
    <w:p w14:paraId="3635FFA9" w14:textId="794D9839" w:rsidR="004D3366" w:rsidRPr="00FB336F" w:rsidRDefault="004A0054" w:rsidP="00BE7928">
      <w:pPr>
        <w:pStyle w:val="Heading1"/>
        <w:spacing w:line="480" w:lineRule="auto"/>
        <w:rPr>
          <w:lang w:val="en-US"/>
        </w:rPr>
      </w:pPr>
      <w:r w:rsidRPr="004A0054">
        <w:rPr>
          <w:lang w:val="en-US"/>
        </w:rPr>
        <w:t>Results</w:t>
      </w:r>
    </w:p>
    <w:p w14:paraId="38ABB8CA" w14:textId="7852DB83" w:rsidR="00A05C6A" w:rsidRPr="002A1A9B" w:rsidRDefault="004D3366" w:rsidP="00BE7928">
      <w:pPr>
        <w:spacing w:line="480" w:lineRule="auto"/>
        <w:jc w:val="both"/>
      </w:pPr>
      <w:r>
        <w:t>While</w:t>
      </w:r>
      <w:r w:rsidR="0031495E">
        <w:t xml:space="preserve"> we have reported the main results of this experiment in a previous paper</w:t>
      </w:r>
      <w:r w:rsidR="00B117EC">
        <w:t xml:space="preserve"> </w:t>
      </w:r>
      <w:r w:rsidR="00B117EC">
        <w:fldChar w:fldCharType="begin" w:fldLock="1"/>
      </w:r>
      <w:r w:rsidR="00F3068C">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B117EC">
        <w:fldChar w:fldCharType="separate"/>
      </w:r>
      <w:r w:rsidR="004A436E" w:rsidRPr="004A436E">
        <w:rPr>
          <w:noProof/>
        </w:rPr>
        <w:t>(Jörges &amp; López-Moliner, 2019)</w:t>
      </w:r>
      <w:r w:rsidR="00B117EC">
        <w:fldChar w:fldCharType="end"/>
      </w:r>
      <w:r w:rsidR="0031495E">
        <w:t>, it is worth reiterating the results for the timing task</w:t>
      </w:r>
      <w:r w:rsidR="005C2993">
        <w:t xml:space="preserve"> for the</w:t>
      </w:r>
      <w:r w:rsidR="00A05C6A">
        <w:t xml:space="preserve"> conditions we are using in our simulations</w:t>
      </w:r>
      <w:r w:rsidR="0031495E">
        <w:t>.</w:t>
      </w:r>
      <w:r w:rsidR="00A05C6A">
        <w:t xml:space="preserve"> We</w:t>
      </w:r>
      <w:r w:rsidR="00B117EC">
        <w:t xml:space="preserve"> r</w:t>
      </w:r>
      <w:r w:rsidR="00A05C6A">
        <w:t>eport mean timing errors as well their standard deviations</w:t>
      </w:r>
      <w:r w:rsidR="00D90250">
        <w:t xml:space="preserve"> for the 0.7-1.3g trials </w:t>
      </w:r>
      <w:r w:rsidR="008F5DD0">
        <w:t xml:space="preserve">both for the Short and the </w:t>
      </w:r>
      <w:r w:rsidR="00D90250">
        <w:t>Long Occlusion condition</w:t>
      </w:r>
      <w:r w:rsidR="008F5DD0">
        <w:t>s</w:t>
      </w:r>
      <w:r w:rsidR="00D90250">
        <w:t>.</w:t>
      </w:r>
      <w:r w:rsidR="006C2849">
        <w:t xml:space="preserve"> Before proceeding to the analysis, we exclude all trials with an absolute error greater than 0.5 s (1091 of 13440 trials). Furthermore, we exclude all trials where subjects pressed the button before the target disappeared (26 of the remaining 12349</w:t>
      </w:r>
      <w:r w:rsidR="002175DD">
        <w:t xml:space="preserve"> trials</w:t>
      </w:r>
      <w:r w:rsidR="006C2849">
        <w:t>). Finally, we also excluded subject s09 from these analyses</w:t>
      </w:r>
      <w:r w:rsidR="002175DD">
        <w:t xml:space="preserve"> (531 of the remaining</w:t>
      </w:r>
      <w:r w:rsidR="006C2849">
        <w:t xml:space="preserve"> </w:t>
      </w:r>
      <w:r w:rsidR="002175DD">
        <w:t xml:space="preserve">12323 trials) </w:t>
      </w:r>
      <w:r w:rsidR="006C2849">
        <w:t>because they displayed a mean temporal error (</w:t>
      </w:r>
      <w:r w:rsidR="00AC5F1C">
        <w:t>0.23 s)</w:t>
      </w:r>
      <w:r w:rsidR="006C2849">
        <w:t xml:space="preserve"> far above the other subjects</w:t>
      </w:r>
      <w:r w:rsidR="00AC5F1C">
        <w:t xml:space="preserve"> (-0.08 to 0.1 s</w:t>
      </w:r>
      <w:r w:rsidR="002175DD">
        <w:t>).</w:t>
      </w:r>
    </w:p>
    <w:p w14:paraId="02A5EBA2" w14:textId="77777777" w:rsidR="00F515FC" w:rsidRDefault="00E470D6" w:rsidP="00BE7928">
      <w:pPr>
        <w:spacing w:line="480" w:lineRule="auto"/>
        <w:jc w:val="both"/>
      </w:pPr>
      <w:r w:rsidRPr="00E470D6">
        <w:t>To</w:t>
      </w:r>
      <w:r>
        <w:t xml:space="preserve"> assess biases, we fit</w:t>
      </w:r>
      <w:r w:rsidR="00D94AEE">
        <w:t>ted</w:t>
      </w:r>
      <w:r>
        <w:t xml:space="preserve"> a Linear Mixed Model </w:t>
      </w:r>
      <w:r w:rsidR="00F515FC">
        <w:t xml:space="preserve">(using the lme4 package in R) </w:t>
      </w:r>
      <w:r w:rsidR="00D94AEE">
        <w:t>where the Temporal Error is explained by</w:t>
      </w:r>
      <w:r w:rsidR="00D94AEE">
        <w:softHyphen/>
      </w:r>
      <w:r>
        <w:t xml:space="preserve"> Gravity as fixed effect, and intercepts per Subject as random effects.</w:t>
      </w:r>
      <w:r w:rsidR="00F515FC">
        <w:t xml:space="preserve"> In lme4 syntax, this translates to:</w:t>
      </w:r>
    </w:p>
    <w:p w14:paraId="5A52153E" w14:textId="30F89303" w:rsidR="00F515FC" w:rsidRDefault="00F515FC" w:rsidP="00BE7928">
      <w:pPr>
        <w:spacing w:line="480" w:lineRule="auto"/>
        <w:jc w:val="both"/>
      </w:pPr>
      <m:oMathPara>
        <m:oMath>
          <m:r>
            <w:rPr>
              <w:rFonts w:ascii="Cambria Math" w:hAnsi="Cambria Math"/>
            </w:rPr>
            <m:t>TimingError ~ Gravity+</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4D733CCF" w14:textId="2AC6EFFD" w:rsidR="00B117EC" w:rsidRDefault="00E470D6" w:rsidP="00BE7928">
      <w:pPr>
        <w:spacing w:line="480" w:lineRule="auto"/>
        <w:jc w:val="both"/>
      </w:pPr>
      <w:r>
        <w:t>We compare this Test Model to a Null Model, without fixed effects and only intercepts per Subject as random effects</w:t>
      </w:r>
      <w:r w:rsidR="00F515FC">
        <w:t>:</w:t>
      </w:r>
    </w:p>
    <w:p w14:paraId="2CF17AE1" w14:textId="76BDCA4B" w:rsidR="00F515FC" w:rsidRDefault="00F515FC" w:rsidP="00BE7928">
      <w:pPr>
        <w:spacing w:line="480" w:lineRule="auto"/>
        <w:jc w:val="both"/>
      </w:pPr>
      <m:oMathPara>
        <m:oMath>
          <m:r>
            <w:rPr>
              <w:rFonts w:ascii="Cambria Math" w:hAnsi="Cambria Math"/>
            </w:rPr>
            <m:t xml:space="preserve">TimingError ~ </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354FADD7" w14:textId="398B7E09" w:rsidR="0031495E" w:rsidRDefault="00E470D6" w:rsidP="00BE7928">
      <w:pPr>
        <w:spacing w:line="480" w:lineRule="auto"/>
        <w:jc w:val="both"/>
      </w:pPr>
      <w:proofErr w:type="gramStart"/>
      <w:r>
        <w:lastRenderedPageBreak/>
        <w:t>An</w:t>
      </w:r>
      <w:proofErr w:type="gramEnd"/>
      <w:r>
        <w:t xml:space="preserve"> </w:t>
      </w:r>
      <w:r w:rsidR="00910B28">
        <w:t>Likelihood Ratio Test</w:t>
      </w:r>
      <w:r>
        <w:t xml:space="preserve"> showed that the Test Model is significantly better than the Null Model (p &lt; 0.001</w:t>
      </w:r>
      <w:r w:rsidRPr="00E470D6">
        <w:t>)</w:t>
      </w:r>
      <w:r>
        <w:t>, and the regression coefficient for Gravity is 0.022 (SE = 0.0007). That is, higher gravities are related to higher values of the temporal errors; higher gravities thus lead to too late responses, while lower gravities lead to too early responses.</w:t>
      </w:r>
      <w:r w:rsidR="00D62B98">
        <w:t xml:space="preserve"> </w:t>
      </w:r>
      <w:r w:rsidR="00B13CEC">
        <w:fldChar w:fldCharType="begin"/>
      </w:r>
      <w:r w:rsidR="00B13CEC">
        <w:instrText xml:space="preserve"> REF _Ref27671330 \h </w:instrText>
      </w:r>
      <w:r w:rsidR="00BE7928">
        <w:instrText xml:space="preserve"> \* MERGEFORMAT </w:instrText>
      </w:r>
      <w:r w:rsidR="00B13CEC">
        <w:fldChar w:fldCharType="separate"/>
      </w:r>
      <w:r w:rsidR="00F86A73" w:rsidRPr="00F515FC">
        <w:t xml:space="preserve">Figure </w:t>
      </w:r>
      <w:r w:rsidR="00F86A73">
        <w:rPr>
          <w:noProof/>
        </w:rPr>
        <w:t>3</w:t>
      </w:r>
      <w:r w:rsidR="00F86A73" w:rsidRPr="00F515FC">
        <w:t xml:space="preserve">: </w:t>
      </w:r>
      <w:r w:rsidR="00F86A73" w:rsidRPr="00B377BA">
        <w:t xml:space="preserve">Temporal </w:t>
      </w:r>
      <w:r w:rsidR="00F86A73">
        <w:t>e</w:t>
      </w:r>
      <w:r w:rsidR="00F86A73" w:rsidRPr="00B377BA">
        <w:t>rr</w:t>
      </w:r>
      <w:r w:rsidR="00F86A73">
        <w:t>ors in the 0.7-1.3 g conditions. The wings of each structure indicate the distribution of responses, while the boxplot in the middle of each structure indicate the 75% percentiles and the mean per condition.</w:t>
      </w:r>
      <w:r w:rsidR="00B13CEC">
        <w:fldChar w:fldCharType="end"/>
      </w:r>
      <w:r w:rsidR="00B13CEC">
        <w:t xml:space="preserve"> illustrated</w:t>
      </w:r>
      <w:r w:rsidR="00D62B98">
        <w:t xml:space="preserve"> the </w:t>
      </w:r>
      <w:r w:rsidR="00B13CEC">
        <w:t xml:space="preserve">distributions of </w:t>
      </w:r>
      <w:r w:rsidR="00D62B98">
        <w:t>Temporal Errors</w:t>
      </w:r>
      <w:r w:rsidR="00B13CEC">
        <w:t xml:space="preserve"> across subjects.</w:t>
      </w:r>
    </w:p>
    <w:p w14:paraId="1B7EAC2F" w14:textId="599604CB" w:rsidR="00F515FC" w:rsidRDefault="00D37CCB" w:rsidP="00BE7928">
      <w:pPr>
        <w:spacing w:line="480" w:lineRule="auto"/>
        <w:jc w:val="both"/>
      </w:pPr>
      <w:r>
        <w:t xml:space="preserve">Assessing precision differences between conditions is not straight-forward with regular Linear Mixed Modelling. Therefore, we employ Bayesian Linear Mixed Modelling to assess whether gravity has an impact on the precision of the timing responses. The R package brms </w:t>
      </w:r>
      <w:r>
        <w:fldChar w:fldCharType="begin" w:fldLock="1"/>
      </w:r>
      <w:r>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fldChar w:fldCharType="separate"/>
      </w:r>
      <w:r w:rsidRPr="00D37CCB">
        <w:rPr>
          <w:noProof/>
        </w:rPr>
        <w:t>(Bürkner, 2018)</w:t>
      </w:r>
      <w:r>
        <w:fldChar w:fldCharType="end"/>
      </w:r>
      <w:r>
        <w:t xml:space="preserve">, which provides user-friendly interface for the package </w:t>
      </w:r>
      <w:proofErr w:type="spellStart"/>
      <w:r>
        <w:t>rstan</w:t>
      </w:r>
      <w:proofErr w:type="spellEnd"/>
      <w:r>
        <w:t xml:space="preserve"> </w:t>
      </w:r>
      <w:r>
        <w:fldChar w:fldCharType="begin" w:fldLock="1"/>
      </w:r>
      <w:r w:rsidR="0006476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fldChar w:fldCharType="separate"/>
      </w:r>
      <w:r w:rsidRPr="00D37CCB">
        <w:rPr>
          <w:noProof/>
        </w:rPr>
        <w:t>(Stan Development Team, 2016)</w:t>
      </w:r>
      <w:r>
        <w:fldChar w:fldCharType="end"/>
      </w:r>
      <w:r>
        <w:t xml:space="preserve"> uses the same syntax as lme4. Thus, to test whether gravity had an impact on the precision of responses, we established the following test model:</w:t>
      </w:r>
    </w:p>
    <w:p w14:paraId="517F8789" w14:textId="1034F03C" w:rsidR="00F515FC" w:rsidRDefault="00F515FC" w:rsidP="00BE7928">
      <w:pPr>
        <w:spacing w:line="480" w:lineRule="auto"/>
        <w:jc w:val="both"/>
      </w:pPr>
      <m:oMathPara>
        <m:oMath>
          <m:r>
            <w:rPr>
              <w:rFonts w:ascii="Cambria Math" w:hAnsi="Cambria Math"/>
            </w:rPr>
            <m:t>TimingError ~ Gravity+</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7C9212A2" w14:textId="162DB626" w:rsidR="001C29B3" w:rsidRDefault="00D37CCB" w:rsidP="00BE7928">
      <w:pPr>
        <w:spacing w:line="480" w:lineRule="auto"/>
        <w:jc w:val="both"/>
      </w:pPr>
      <w:r>
        <w:t>Unlike regular Linear Mixed Models, Bayesian Linear Mixed Models do not need to be compared to a Null Model.</w:t>
      </w:r>
      <w:r w:rsidR="00064760">
        <w:t xml:space="preserve"> We can use the hypothesis() function from the R Core package </w:t>
      </w:r>
      <w:r w:rsidR="00064760">
        <w:fldChar w:fldCharType="begin" w:fldLock="1"/>
      </w:r>
      <w:r w:rsidR="00496BA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064760">
        <w:fldChar w:fldCharType="separate"/>
      </w:r>
      <w:r w:rsidR="00064760" w:rsidRPr="00064760">
        <w:rPr>
          <w:noProof/>
        </w:rPr>
        <w:t>(R Core Team, 2017)</w:t>
      </w:r>
      <w:r w:rsidR="00064760">
        <w:fldChar w:fldCharType="end"/>
      </w:r>
      <w:r w:rsidR="00064760">
        <w:t xml:space="preserve"> to test hypotheses directly. We find a posterior probability of </w:t>
      </w:r>
      <w:r w:rsidR="00064760" w:rsidRPr="00064760">
        <w:t>n</w:t>
      </w:r>
      <w:r w:rsidR="00064760">
        <w:t xml:space="preserve">early 1 that a higher gravity value is related to lower </w:t>
      </w:r>
      <w:r w:rsidR="00DB447B">
        <w:t>variability, the sigma value for Gravity being -0.08</w:t>
      </w:r>
      <w:r w:rsidR="00573E06">
        <w:t>0</w:t>
      </w:r>
      <w:r w:rsidR="00DB447B">
        <w:t xml:space="preserve"> (95 % CI = [-0.</w:t>
      </w:r>
      <w:proofErr w:type="gramStart"/>
      <w:r w:rsidR="00DB447B">
        <w:t>0</w:t>
      </w:r>
      <w:r w:rsidR="00573E06">
        <w:t>86</w:t>
      </w:r>
      <w:r w:rsidR="00DB447B">
        <w:t>,-</w:t>
      </w:r>
      <w:proofErr w:type="gramEnd"/>
      <w:r w:rsidR="00DB447B">
        <w:t>0.07</w:t>
      </w:r>
      <w:r w:rsidR="00573E06">
        <w:t>2</w:t>
      </w:r>
      <w:r w:rsidR="00DB447B">
        <w:t>])</w:t>
      </w:r>
      <w:r w:rsidR="00064760">
        <w:t xml:space="preserve">. The reason is </w:t>
      </w:r>
      <w:r w:rsidR="005A3235">
        <w:t xml:space="preserve">most likely </w:t>
      </w:r>
      <w:r w:rsidR="00064760">
        <w:t xml:space="preserve">that </w:t>
      </w:r>
      <w:r w:rsidR="005A3235">
        <w:t xml:space="preserve">the interval for which the motion </w:t>
      </w:r>
      <w:proofErr w:type="gramStart"/>
      <w:r w:rsidR="005A3235">
        <w:t>has to</w:t>
      </w:r>
      <w:proofErr w:type="gramEnd"/>
      <w:r w:rsidR="005A3235">
        <w:t xml:space="preserve"> be extrapolated is shorter.</w:t>
      </w:r>
      <w:r w:rsidR="00335AF6">
        <w:t xml:space="preserve"> </w:t>
      </w:r>
      <w:r w:rsidR="00D62B98">
        <w:t>Table 1 lists all mean temporal errors and the respective standard errors across participants.</w:t>
      </w:r>
    </w:p>
    <w:tbl>
      <w:tblPr>
        <w:tblStyle w:val="TableGrid"/>
        <w:tblW w:w="0" w:type="auto"/>
        <w:tblLook w:val="04A0" w:firstRow="1" w:lastRow="0" w:firstColumn="1" w:lastColumn="0" w:noHBand="0" w:noVBand="1"/>
      </w:tblPr>
      <w:tblGrid>
        <w:gridCol w:w="972"/>
        <w:gridCol w:w="1078"/>
        <w:gridCol w:w="1050"/>
        <w:gridCol w:w="1074"/>
        <w:gridCol w:w="1017"/>
        <w:gridCol w:w="1074"/>
        <w:gridCol w:w="1051"/>
        <w:gridCol w:w="1017"/>
        <w:gridCol w:w="1017"/>
      </w:tblGrid>
      <w:tr w:rsidR="00DC4107" w14:paraId="31FA7D44" w14:textId="77777777" w:rsidTr="00DC4107">
        <w:tc>
          <w:tcPr>
            <w:tcW w:w="972" w:type="dxa"/>
          </w:tcPr>
          <w:p w14:paraId="3CC58A40" w14:textId="77777777" w:rsidR="00DC4107" w:rsidRDefault="00DC4107" w:rsidP="00BE7928">
            <w:pPr>
              <w:jc w:val="center"/>
            </w:pPr>
          </w:p>
        </w:tc>
        <w:tc>
          <w:tcPr>
            <w:tcW w:w="1078" w:type="dxa"/>
          </w:tcPr>
          <w:p w14:paraId="54660C36" w14:textId="71F0C514" w:rsidR="00DC4107" w:rsidRDefault="00DC4107" w:rsidP="00BE7928">
            <w:pPr>
              <w:jc w:val="center"/>
            </w:pPr>
          </w:p>
        </w:tc>
        <w:tc>
          <w:tcPr>
            <w:tcW w:w="5266" w:type="dxa"/>
            <w:gridSpan w:val="5"/>
          </w:tcPr>
          <w:p w14:paraId="3FF0876C" w14:textId="786E69E5" w:rsidR="00DC4107" w:rsidRPr="00744972" w:rsidRDefault="00DC4107" w:rsidP="00BE7928">
            <w:pPr>
              <w:jc w:val="center"/>
              <w:rPr>
                <w:b/>
                <w:bCs/>
              </w:rPr>
            </w:pPr>
            <w:r w:rsidRPr="00744972">
              <w:rPr>
                <w:b/>
                <w:bCs/>
              </w:rPr>
              <w:t>0.7g-1.3 Block</w:t>
            </w:r>
          </w:p>
        </w:tc>
        <w:tc>
          <w:tcPr>
            <w:tcW w:w="2034" w:type="dxa"/>
            <w:gridSpan w:val="2"/>
          </w:tcPr>
          <w:p w14:paraId="412134FC" w14:textId="4A7348AF" w:rsidR="00DC4107" w:rsidRPr="00744972" w:rsidRDefault="00DC4107" w:rsidP="00BE7928">
            <w:pPr>
              <w:jc w:val="center"/>
              <w:rPr>
                <w:b/>
                <w:bCs/>
              </w:rPr>
            </w:pPr>
            <w:r w:rsidRPr="00744972">
              <w:rPr>
                <w:b/>
                <w:bCs/>
              </w:rPr>
              <w:t>-1g/1g Block</w:t>
            </w:r>
          </w:p>
        </w:tc>
      </w:tr>
      <w:tr w:rsidR="003F1350" w14:paraId="4FC3715C" w14:textId="77777777" w:rsidTr="001176A9">
        <w:tc>
          <w:tcPr>
            <w:tcW w:w="972" w:type="dxa"/>
          </w:tcPr>
          <w:p w14:paraId="6167DADF" w14:textId="77777777" w:rsidR="003F1350" w:rsidRDefault="003F1350" w:rsidP="00BE7928">
            <w:pPr>
              <w:jc w:val="center"/>
            </w:pPr>
          </w:p>
        </w:tc>
        <w:tc>
          <w:tcPr>
            <w:tcW w:w="1078" w:type="dxa"/>
          </w:tcPr>
          <w:p w14:paraId="684489E1" w14:textId="77777777" w:rsidR="003F1350" w:rsidRDefault="003F1350" w:rsidP="00BE7928">
            <w:pPr>
              <w:jc w:val="center"/>
            </w:pPr>
          </w:p>
        </w:tc>
        <w:tc>
          <w:tcPr>
            <w:tcW w:w="7300" w:type="dxa"/>
            <w:gridSpan w:val="7"/>
          </w:tcPr>
          <w:p w14:paraId="17D7E045" w14:textId="69C3B681" w:rsidR="003F1350" w:rsidRPr="003F1350" w:rsidRDefault="003F1350" w:rsidP="00BE7928">
            <w:pPr>
              <w:jc w:val="center"/>
              <w:rPr>
                <w:b/>
                <w:bCs/>
              </w:rPr>
            </w:pPr>
            <w:r w:rsidRPr="003F1350">
              <w:rPr>
                <w:b/>
                <w:bCs/>
              </w:rPr>
              <w:t>Long Occlusion</w:t>
            </w:r>
          </w:p>
        </w:tc>
      </w:tr>
      <w:tr w:rsidR="00DC4107" w14:paraId="2A469646" w14:textId="77777777" w:rsidTr="00DC4107">
        <w:tc>
          <w:tcPr>
            <w:tcW w:w="972" w:type="dxa"/>
          </w:tcPr>
          <w:p w14:paraId="494F3E2B" w14:textId="70A64617" w:rsidR="00DC4107" w:rsidRPr="00744972" w:rsidRDefault="001A290A" w:rsidP="00BE7928">
            <w:pPr>
              <w:jc w:val="cente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71A46BBF" w14:textId="56489901" w:rsidR="00DC4107" w:rsidRDefault="00DC4107" w:rsidP="00BE7928">
            <w:pPr>
              <w:jc w:val="center"/>
            </w:pPr>
          </w:p>
        </w:tc>
        <w:tc>
          <w:tcPr>
            <w:tcW w:w="1050" w:type="dxa"/>
          </w:tcPr>
          <w:p w14:paraId="4BC67A9E" w14:textId="25715899" w:rsidR="00DC4107" w:rsidRPr="00744972" w:rsidRDefault="00DC4107" w:rsidP="00BE7928">
            <w:pPr>
              <w:jc w:val="center"/>
              <w:rPr>
                <w:i/>
                <w:iCs/>
              </w:rPr>
            </w:pPr>
            <w:r w:rsidRPr="00744972">
              <w:rPr>
                <w:i/>
                <w:iCs/>
              </w:rPr>
              <w:t>0.7g</w:t>
            </w:r>
          </w:p>
        </w:tc>
        <w:tc>
          <w:tcPr>
            <w:tcW w:w="1074" w:type="dxa"/>
          </w:tcPr>
          <w:p w14:paraId="185ADF89" w14:textId="1C32AAB9" w:rsidR="00DC4107" w:rsidRPr="00744972" w:rsidRDefault="00DC4107" w:rsidP="00BE7928">
            <w:pPr>
              <w:jc w:val="center"/>
              <w:rPr>
                <w:i/>
                <w:iCs/>
              </w:rPr>
            </w:pPr>
            <w:r w:rsidRPr="00744972">
              <w:rPr>
                <w:i/>
                <w:iCs/>
              </w:rPr>
              <w:t>0.85g</w:t>
            </w:r>
          </w:p>
        </w:tc>
        <w:tc>
          <w:tcPr>
            <w:tcW w:w="1017" w:type="dxa"/>
          </w:tcPr>
          <w:p w14:paraId="713E3FF7" w14:textId="6329A399" w:rsidR="00DC4107" w:rsidRPr="00744972" w:rsidRDefault="00DC4107" w:rsidP="00BE7928">
            <w:pPr>
              <w:jc w:val="center"/>
              <w:rPr>
                <w:i/>
                <w:iCs/>
              </w:rPr>
            </w:pPr>
            <w:r w:rsidRPr="00744972">
              <w:rPr>
                <w:i/>
                <w:iCs/>
              </w:rPr>
              <w:t>1g</w:t>
            </w:r>
          </w:p>
        </w:tc>
        <w:tc>
          <w:tcPr>
            <w:tcW w:w="1074" w:type="dxa"/>
          </w:tcPr>
          <w:p w14:paraId="7C28E595" w14:textId="13C6D2C3" w:rsidR="00DC4107" w:rsidRPr="00744972" w:rsidRDefault="00DC4107" w:rsidP="00BE7928">
            <w:pPr>
              <w:jc w:val="center"/>
              <w:rPr>
                <w:i/>
                <w:iCs/>
              </w:rPr>
            </w:pPr>
            <w:r w:rsidRPr="00744972">
              <w:rPr>
                <w:i/>
                <w:iCs/>
              </w:rPr>
              <w:t>1.15g</w:t>
            </w:r>
          </w:p>
        </w:tc>
        <w:tc>
          <w:tcPr>
            <w:tcW w:w="1051" w:type="dxa"/>
          </w:tcPr>
          <w:p w14:paraId="47FC72E6" w14:textId="11E6CD6E" w:rsidR="00DC4107" w:rsidRPr="00744972" w:rsidRDefault="00DC4107" w:rsidP="00BE7928">
            <w:pPr>
              <w:jc w:val="center"/>
              <w:rPr>
                <w:i/>
                <w:iCs/>
              </w:rPr>
            </w:pPr>
            <w:r w:rsidRPr="00744972">
              <w:rPr>
                <w:i/>
                <w:iCs/>
              </w:rPr>
              <w:t>1.3g</w:t>
            </w:r>
          </w:p>
        </w:tc>
        <w:tc>
          <w:tcPr>
            <w:tcW w:w="1017" w:type="dxa"/>
          </w:tcPr>
          <w:p w14:paraId="3AD0BF71" w14:textId="00468996" w:rsidR="00DC4107" w:rsidRPr="00744972" w:rsidRDefault="00DC4107" w:rsidP="00BE7928">
            <w:pPr>
              <w:jc w:val="center"/>
              <w:rPr>
                <w:i/>
                <w:iCs/>
              </w:rPr>
            </w:pPr>
            <w:r w:rsidRPr="00744972">
              <w:rPr>
                <w:i/>
                <w:iCs/>
              </w:rPr>
              <w:t>-1g</w:t>
            </w:r>
          </w:p>
        </w:tc>
        <w:tc>
          <w:tcPr>
            <w:tcW w:w="1017" w:type="dxa"/>
          </w:tcPr>
          <w:p w14:paraId="754D1C60" w14:textId="307BADC9" w:rsidR="00DC4107" w:rsidRPr="00744972" w:rsidRDefault="00DC4107" w:rsidP="00BE7928">
            <w:pPr>
              <w:jc w:val="center"/>
              <w:rPr>
                <w:i/>
                <w:iCs/>
              </w:rPr>
            </w:pPr>
            <w:r w:rsidRPr="00744972">
              <w:rPr>
                <w:i/>
                <w:iCs/>
              </w:rPr>
              <w:t>1g</w:t>
            </w:r>
          </w:p>
        </w:tc>
      </w:tr>
      <w:tr w:rsidR="00261565" w14:paraId="21552531" w14:textId="77777777" w:rsidTr="00261565">
        <w:tc>
          <w:tcPr>
            <w:tcW w:w="972" w:type="dxa"/>
            <w:vMerge w:val="restart"/>
            <w:vAlign w:val="center"/>
          </w:tcPr>
          <w:p w14:paraId="1F99C082" w14:textId="0356C9D7" w:rsidR="00261565" w:rsidRPr="00744972" w:rsidRDefault="00261565" w:rsidP="00BE7928">
            <w:pPr>
              <w:jc w:val="center"/>
              <w:rPr>
                <w:b/>
                <w:bCs/>
              </w:rPr>
            </w:pPr>
            <w:r w:rsidRPr="00744972">
              <w:rPr>
                <w:b/>
                <w:bCs/>
              </w:rPr>
              <w:t>4.5 m/s</w:t>
            </w:r>
          </w:p>
        </w:tc>
        <w:tc>
          <w:tcPr>
            <w:tcW w:w="1078" w:type="dxa"/>
          </w:tcPr>
          <w:p w14:paraId="70FFB798" w14:textId="0010CD1F" w:rsidR="00261565" w:rsidRPr="00744972" w:rsidRDefault="00261565" w:rsidP="00BE7928">
            <w:pPr>
              <w:jc w:val="center"/>
              <w:rPr>
                <w:i/>
                <w:iCs/>
              </w:rPr>
            </w:pPr>
            <w:r w:rsidRPr="00744972">
              <w:rPr>
                <w:i/>
                <w:iCs/>
              </w:rPr>
              <w:t>Mean</w:t>
            </w:r>
          </w:p>
        </w:tc>
        <w:tc>
          <w:tcPr>
            <w:tcW w:w="1050" w:type="dxa"/>
          </w:tcPr>
          <w:p w14:paraId="1D333CF4" w14:textId="37CF37DC" w:rsidR="00261565" w:rsidRDefault="00261565" w:rsidP="00BE7928">
            <w:pPr>
              <w:jc w:val="center"/>
            </w:pPr>
            <w:r>
              <w:t>-0.07</w:t>
            </w:r>
          </w:p>
        </w:tc>
        <w:tc>
          <w:tcPr>
            <w:tcW w:w="1074" w:type="dxa"/>
          </w:tcPr>
          <w:p w14:paraId="51B6247F" w14:textId="3C74946C" w:rsidR="00261565" w:rsidRDefault="00261565" w:rsidP="00BE7928">
            <w:pPr>
              <w:jc w:val="center"/>
            </w:pPr>
            <w:r>
              <w:t>-0.02</w:t>
            </w:r>
          </w:p>
        </w:tc>
        <w:tc>
          <w:tcPr>
            <w:tcW w:w="1017" w:type="dxa"/>
          </w:tcPr>
          <w:p w14:paraId="53A2FD65" w14:textId="72AE38A8" w:rsidR="00261565" w:rsidRDefault="00261565" w:rsidP="00BE7928">
            <w:pPr>
              <w:jc w:val="center"/>
            </w:pPr>
            <w:r>
              <w:t>0.02</w:t>
            </w:r>
          </w:p>
        </w:tc>
        <w:tc>
          <w:tcPr>
            <w:tcW w:w="1074" w:type="dxa"/>
          </w:tcPr>
          <w:p w14:paraId="2EDFDCB1" w14:textId="7CDD2951" w:rsidR="00261565" w:rsidRDefault="00261565" w:rsidP="00BE7928">
            <w:pPr>
              <w:jc w:val="center"/>
            </w:pPr>
            <w:r>
              <w:t>0.04</w:t>
            </w:r>
          </w:p>
        </w:tc>
        <w:tc>
          <w:tcPr>
            <w:tcW w:w="1051" w:type="dxa"/>
          </w:tcPr>
          <w:p w14:paraId="5D223356" w14:textId="13845818" w:rsidR="00261565" w:rsidRDefault="00261565" w:rsidP="00BE7928">
            <w:pPr>
              <w:jc w:val="center"/>
            </w:pPr>
            <w:r>
              <w:t>0.06</w:t>
            </w:r>
          </w:p>
        </w:tc>
        <w:tc>
          <w:tcPr>
            <w:tcW w:w="1017" w:type="dxa"/>
          </w:tcPr>
          <w:p w14:paraId="04185D90" w14:textId="19F07CB4" w:rsidR="00261565" w:rsidRDefault="00261565" w:rsidP="00BE7928">
            <w:pPr>
              <w:jc w:val="center"/>
            </w:pPr>
            <w:r>
              <w:t>0.09</w:t>
            </w:r>
          </w:p>
        </w:tc>
        <w:tc>
          <w:tcPr>
            <w:tcW w:w="1017" w:type="dxa"/>
          </w:tcPr>
          <w:p w14:paraId="35C9FF55" w14:textId="0840BD6A" w:rsidR="00261565" w:rsidRDefault="00261565" w:rsidP="00BE7928">
            <w:pPr>
              <w:jc w:val="center"/>
            </w:pPr>
            <w:r>
              <w:t>0.04</w:t>
            </w:r>
          </w:p>
        </w:tc>
      </w:tr>
      <w:tr w:rsidR="00261565" w14:paraId="3C9FF616" w14:textId="77777777" w:rsidTr="00261565">
        <w:tc>
          <w:tcPr>
            <w:tcW w:w="972" w:type="dxa"/>
            <w:vMerge/>
            <w:vAlign w:val="center"/>
          </w:tcPr>
          <w:p w14:paraId="13758B30" w14:textId="77777777" w:rsidR="00261565" w:rsidRPr="00744972" w:rsidRDefault="00261565" w:rsidP="00BE7928">
            <w:pPr>
              <w:jc w:val="center"/>
              <w:rPr>
                <w:b/>
                <w:bCs/>
              </w:rPr>
            </w:pPr>
          </w:p>
        </w:tc>
        <w:tc>
          <w:tcPr>
            <w:tcW w:w="1078" w:type="dxa"/>
          </w:tcPr>
          <w:p w14:paraId="1F6959BA" w14:textId="441245D5" w:rsidR="00261565" w:rsidRPr="00744972" w:rsidRDefault="00261565" w:rsidP="00BE7928">
            <w:pPr>
              <w:jc w:val="center"/>
              <w:rPr>
                <w:i/>
                <w:iCs/>
              </w:rPr>
            </w:pPr>
            <w:r w:rsidRPr="00744972">
              <w:rPr>
                <w:i/>
                <w:iCs/>
              </w:rPr>
              <w:t>SD</w:t>
            </w:r>
          </w:p>
        </w:tc>
        <w:tc>
          <w:tcPr>
            <w:tcW w:w="1050" w:type="dxa"/>
          </w:tcPr>
          <w:p w14:paraId="27A3EB45" w14:textId="1F4C5419" w:rsidR="00261565" w:rsidRDefault="00261565" w:rsidP="00BE7928">
            <w:pPr>
              <w:jc w:val="center"/>
            </w:pPr>
            <w:r>
              <w:t>0.11</w:t>
            </w:r>
          </w:p>
        </w:tc>
        <w:tc>
          <w:tcPr>
            <w:tcW w:w="1074" w:type="dxa"/>
          </w:tcPr>
          <w:p w14:paraId="56858078" w14:textId="40EC4F12" w:rsidR="00261565" w:rsidRDefault="00261565" w:rsidP="00BE7928">
            <w:pPr>
              <w:jc w:val="center"/>
            </w:pPr>
            <w:r>
              <w:t>0.10</w:t>
            </w:r>
          </w:p>
        </w:tc>
        <w:tc>
          <w:tcPr>
            <w:tcW w:w="1017" w:type="dxa"/>
          </w:tcPr>
          <w:p w14:paraId="5A9E6398" w14:textId="409EF9F3" w:rsidR="00261565" w:rsidRDefault="00261565" w:rsidP="00BE7928">
            <w:pPr>
              <w:jc w:val="center"/>
            </w:pPr>
            <w:r>
              <w:t>0.09</w:t>
            </w:r>
          </w:p>
        </w:tc>
        <w:tc>
          <w:tcPr>
            <w:tcW w:w="1074" w:type="dxa"/>
          </w:tcPr>
          <w:p w14:paraId="095F9C8F" w14:textId="66D59B0C" w:rsidR="00261565" w:rsidRDefault="00261565" w:rsidP="00BE7928">
            <w:pPr>
              <w:jc w:val="center"/>
            </w:pPr>
            <w:r>
              <w:t>0.08</w:t>
            </w:r>
          </w:p>
        </w:tc>
        <w:tc>
          <w:tcPr>
            <w:tcW w:w="1051" w:type="dxa"/>
          </w:tcPr>
          <w:p w14:paraId="3405C15D" w14:textId="744C6D06" w:rsidR="00261565" w:rsidRDefault="00261565" w:rsidP="00BE7928">
            <w:pPr>
              <w:jc w:val="center"/>
            </w:pPr>
            <w:r>
              <w:t>0.08</w:t>
            </w:r>
          </w:p>
        </w:tc>
        <w:tc>
          <w:tcPr>
            <w:tcW w:w="1017" w:type="dxa"/>
          </w:tcPr>
          <w:p w14:paraId="5BD7D517" w14:textId="7F40C436" w:rsidR="00261565" w:rsidRDefault="00261565" w:rsidP="00BE7928">
            <w:pPr>
              <w:jc w:val="center"/>
            </w:pPr>
            <w:r>
              <w:t>0.11</w:t>
            </w:r>
          </w:p>
        </w:tc>
        <w:tc>
          <w:tcPr>
            <w:tcW w:w="1017" w:type="dxa"/>
          </w:tcPr>
          <w:p w14:paraId="0216B810" w14:textId="72B43CAE" w:rsidR="00261565" w:rsidRDefault="00261565" w:rsidP="00BE7928">
            <w:pPr>
              <w:jc w:val="center"/>
            </w:pPr>
            <w:r>
              <w:t>0.09</w:t>
            </w:r>
          </w:p>
        </w:tc>
      </w:tr>
      <w:tr w:rsidR="00261565" w14:paraId="5849A538" w14:textId="77777777" w:rsidTr="00261565">
        <w:tc>
          <w:tcPr>
            <w:tcW w:w="972" w:type="dxa"/>
            <w:vMerge w:val="restart"/>
            <w:vAlign w:val="center"/>
          </w:tcPr>
          <w:p w14:paraId="5DF5AD53" w14:textId="30046FCF" w:rsidR="00261565" w:rsidRPr="00744972" w:rsidRDefault="00261565" w:rsidP="00BE7928">
            <w:pPr>
              <w:jc w:val="center"/>
              <w:rPr>
                <w:b/>
                <w:bCs/>
              </w:rPr>
            </w:pPr>
            <w:r w:rsidRPr="00744972">
              <w:rPr>
                <w:b/>
                <w:bCs/>
              </w:rPr>
              <w:lastRenderedPageBreak/>
              <w:t>6 m/s</w:t>
            </w:r>
          </w:p>
        </w:tc>
        <w:tc>
          <w:tcPr>
            <w:tcW w:w="1078" w:type="dxa"/>
          </w:tcPr>
          <w:p w14:paraId="3507211F" w14:textId="1BDB1B4E" w:rsidR="00261565" w:rsidRPr="00744972" w:rsidRDefault="00261565" w:rsidP="00BE7928">
            <w:pPr>
              <w:jc w:val="center"/>
              <w:rPr>
                <w:i/>
                <w:iCs/>
              </w:rPr>
            </w:pPr>
            <w:r w:rsidRPr="00744972">
              <w:rPr>
                <w:i/>
                <w:iCs/>
              </w:rPr>
              <w:t>Mean</w:t>
            </w:r>
          </w:p>
        </w:tc>
        <w:tc>
          <w:tcPr>
            <w:tcW w:w="1050" w:type="dxa"/>
          </w:tcPr>
          <w:p w14:paraId="6D8E5F2D" w14:textId="41943E68" w:rsidR="00261565" w:rsidRDefault="00261565" w:rsidP="00BE7928">
            <w:pPr>
              <w:jc w:val="center"/>
            </w:pPr>
            <w:r>
              <w:t>-0.06</w:t>
            </w:r>
          </w:p>
        </w:tc>
        <w:tc>
          <w:tcPr>
            <w:tcW w:w="1074" w:type="dxa"/>
          </w:tcPr>
          <w:p w14:paraId="09E6350A" w14:textId="5982C1CB" w:rsidR="00261565" w:rsidRDefault="00261565" w:rsidP="00BE7928">
            <w:pPr>
              <w:jc w:val="center"/>
            </w:pPr>
            <w:r>
              <w:t>-0.04</w:t>
            </w:r>
          </w:p>
        </w:tc>
        <w:tc>
          <w:tcPr>
            <w:tcW w:w="1017" w:type="dxa"/>
          </w:tcPr>
          <w:p w14:paraId="5F8D857E" w14:textId="3CD0BCB4" w:rsidR="00261565" w:rsidRDefault="00261565" w:rsidP="00BE7928">
            <w:pPr>
              <w:jc w:val="center"/>
            </w:pPr>
            <w:r>
              <w:t>-0.01</w:t>
            </w:r>
          </w:p>
        </w:tc>
        <w:tc>
          <w:tcPr>
            <w:tcW w:w="1074" w:type="dxa"/>
          </w:tcPr>
          <w:p w14:paraId="534709D7" w14:textId="4B3C1D2C" w:rsidR="00261565" w:rsidRDefault="00261565" w:rsidP="00BE7928">
            <w:pPr>
              <w:jc w:val="center"/>
            </w:pPr>
            <w:r>
              <w:t>0.03</w:t>
            </w:r>
          </w:p>
        </w:tc>
        <w:tc>
          <w:tcPr>
            <w:tcW w:w="1051" w:type="dxa"/>
          </w:tcPr>
          <w:p w14:paraId="6751597D" w14:textId="35C8A4D7" w:rsidR="00261565" w:rsidRDefault="00261565" w:rsidP="00BE7928">
            <w:pPr>
              <w:jc w:val="center"/>
            </w:pPr>
            <w:r>
              <w:t>0.06</w:t>
            </w:r>
          </w:p>
        </w:tc>
        <w:tc>
          <w:tcPr>
            <w:tcW w:w="1017" w:type="dxa"/>
          </w:tcPr>
          <w:p w14:paraId="36E30F31" w14:textId="125B66D2" w:rsidR="00261565" w:rsidRDefault="00261565" w:rsidP="00BE7928">
            <w:pPr>
              <w:jc w:val="center"/>
            </w:pPr>
            <w:r>
              <w:t>0.06</w:t>
            </w:r>
          </w:p>
        </w:tc>
        <w:tc>
          <w:tcPr>
            <w:tcW w:w="1017" w:type="dxa"/>
          </w:tcPr>
          <w:p w14:paraId="3FCA8B2A" w14:textId="4046FD4C" w:rsidR="00261565" w:rsidRDefault="00261565" w:rsidP="00BE7928">
            <w:pPr>
              <w:jc w:val="center"/>
            </w:pPr>
            <w:r>
              <w:t>0.03</w:t>
            </w:r>
          </w:p>
        </w:tc>
      </w:tr>
      <w:tr w:rsidR="00261565" w14:paraId="6AA7E941" w14:textId="77777777" w:rsidTr="00DC4107">
        <w:tc>
          <w:tcPr>
            <w:tcW w:w="972" w:type="dxa"/>
            <w:vMerge/>
          </w:tcPr>
          <w:p w14:paraId="4F32AE0D" w14:textId="77777777" w:rsidR="00261565" w:rsidRDefault="00261565" w:rsidP="00BE7928">
            <w:pPr>
              <w:jc w:val="center"/>
            </w:pPr>
          </w:p>
        </w:tc>
        <w:tc>
          <w:tcPr>
            <w:tcW w:w="1078" w:type="dxa"/>
          </w:tcPr>
          <w:p w14:paraId="5A807CF3" w14:textId="687AEF14" w:rsidR="00261565" w:rsidRPr="00744972" w:rsidRDefault="00261565" w:rsidP="00BE7928">
            <w:pPr>
              <w:jc w:val="center"/>
              <w:rPr>
                <w:i/>
                <w:iCs/>
              </w:rPr>
            </w:pPr>
            <w:r w:rsidRPr="00744972">
              <w:rPr>
                <w:i/>
                <w:iCs/>
              </w:rPr>
              <w:t>SD</w:t>
            </w:r>
          </w:p>
        </w:tc>
        <w:tc>
          <w:tcPr>
            <w:tcW w:w="1050" w:type="dxa"/>
          </w:tcPr>
          <w:p w14:paraId="0E46604E" w14:textId="75168E73" w:rsidR="00261565" w:rsidRDefault="00261565" w:rsidP="00BE7928">
            <w:pPr>
              <w:jc w:val="center"/>
            </w:pPr>
            <w:r>
              <w:t>0.16</w:t>
            </w:r>
          </w:p>
        </w:tc>
        <w:tc>
          <w:tcPr>
            <w:tcW w:w="1074" w:type="dxa"/>
          </w:tcPr>
          <w:p w14:paraId="3CE944A3" w14:textId="4CB43927" w:rsidR="00261565" w:rsidRDefault="00261565" w:rsidP="00BE7928">
            <w:pPr>
              <w:jc w:val="center"/>
            </w:pPr>
            <w:r>
              <w:t>0.12</w:t>
            </w:r>
          </w:p>
        </w:tc>
        <w:tc>
          <w:tcPr>
            <w:tcW w:w="1017" w:type="dxa"/>
          </w:tcPr>
          <w:p w14:paraId="5BFAF2CF" w14:textId="77CA5D3C" w:rsidR="00261565" w:rsidRDefault="00261565" w:rsidP="00BE7928">
            <w:pPr>
              <w:jc w:val="center"/>
            </w:pPr>
            <w:r>
              <w:t>0.10</w:t>
            </w:r>
          </w:p>
        </w:tc>
        <w:tc>
          <w:tcPr>
            <w:tcW w:w="1074" w:type="dxa"/>
          </w:tcPr>
          <w:p w14:paraId="4541E7FC" w14:textId="53864AEC" w:rsidR="00261565" w:rsidRDefault="00261565" w:rsidP="00BE7928">
            <w:pPr>
              <w:jc w:val="center"/>
            </w:pPr>
            <w:r>
              <w:t>0.10</w:t>
            </w:r>
          </w:p>
        </w:tc>
        <w:tc>
          <w:tcPr>
            <w:tcW w:w="1051" w:type="dxa"/>
          </w:tcPr>
          <w:p w14:paraId="0C6D80E6" w14:textId="45AD5BA3" w:rsidR="00261565" w:rsidRDefault="00261565" w:rsidP="00BE7928">
            <w:pPr>
              <w:jc w:val="center"/>
            </w:pPr>
            <w:r>
              <w:t>0.10</w:t>
            </w:r>
          </w:p>
        </w:tc>
        <w:tc>
          <w:tcPr>
            <w:tcW w:w="1017" w:type="dxa"/>
          </w:tcPr>
          <w:p w14:paraId="5FF69C91" w14:textId="0D4E3498" w:rsidR="00261565" w:rsidRDefault="00261565" w:rsidP="00BE7928">
            <w:pPr>
              <w:jc w:val="center"/>
            </w:pPr>
            <w:r>
              <w:t>0.14</w:t>
            </w:r>
          </w:p>
        </w:tc>
        <w:tc>
          <w:tcPr>
            <w:tcW w:w="1017" w:type="dxa"/>
          </w:tcPr>
          <w:p w14:paraId="12E15C8B" w14:textId="0C44709B" w:rsidR="00261565" w:rsidRDefault="00261565" w:rsidP="00BE7928">
            <w:pPr>
              <w:keepNext/>
              <w:jc w:val="center"/>
            </w:pPr>
            <w:r>
              <w:t>0.11</w:t>
            </w:r>
          </w:p>
        </w:tc>
      </w:tr>
      <w:tr w:rsidR="006C014A" w14:paraId="49FC22F2" w14:textId="77777777" w:rsidTr="001176A9">
        <w:tc>
          <w:tcPr>
            <w:tcW w:w="9350" w:type="dxa"/>
            <w:gridSpan w:val="9"/>
          </w:tcPr>
          <w:p w14:paraId="6F1D16AF" w14:textId="77777777" w:rsidR="006C014A" w:rsidRDefault="006C014A" w:rsidP="00BE7928">
            <w:pPr>
              <w:keepNext/>
              <w:jc w:val="center"/>
            </w:pPr>
          </w:p>
        </w:tc>
      </w:tr>
      <w:tr w:rsidR="003F1350" w14:paraId="286627A9" w14:textId="77777777" w:rsidTr="001176A9">
        <w:tc>
          <w:tcPr>
            <w:tcW w:w="972" w:type="dxa"/>
          </w:tcPr>
          <w:p w14:paraId="68D582FD" w14:textId="77777777" w:rsidR="003F1350" w:rsidRDefault="003F1350" w:rsidP="00BE7928">
            <w:pPr>
              <w:jc w:val="center"/>
            </w:pPr>
          </w:p>
        </w:tc>
        <w:tc>
          <w:tcPr>
            <w:tcW w:w="1078" w:type="dxa"/>
          </w:tcPr>
          <w:p w14:paraId="620F2562" w14:textId="77777777" w:rsidR="003F1350" w:rsidRPr="00744972" w:rsidRDefault="003F1350" w:rsidP="00BE7928">
            <w:pPr>
              <w:jc w:val="center"/>
              <w:rPr>
                <w:i/>
                <w:iCs/>
              </w:rPr>
            </w:pPr>
          </w:p>
        </w:tc>
        <w:tc>
          <w:tcPr>
            <w:tcW w:w="7300" w:type="dxa"/>
            <w:gridSpan w:val="7"/>
          </w:tcPr>
          <w:p w14:paraId="2AAC2076" w14:textId="6910AE82" w:rsidR="003F1350" w:rsidRPr="003F1350" w:rsidRDefault="003F1350" w:rsidP="00BE7928">
            <w:pPr>
              <w:keepNext/>
              <w:jc w:val="center"/>
              <w:rPr>
                <w:b/>
              </w:rPr>
            </w:pPr>
            <w:r w:rsidRPr="003F1350">
              <w:rPr>
                <w:b/>
              </w:rPr>
              <w:t>Short Occlusion</w:t>
            </w:r>
          </w:p>
        </w:tc>
      </w:tr>
      <w:tr w:rsidR="003F1350" w14:paraId="1BEC5AA8" w14:textId="77777777" w:rsidTr="00DC4107">
        <w:tc>
          <w:tcPr>
            <w:tcW w:w="972" w:type="dxa"/>
          </w:tcPr>
          <w:p w14:paraId="720C3B3C" w14:textId="13CBE11A" w:rsidR="003F1350" w:rsidRDefault="001A290A" w:rsidP="00BE7928">
            <w:pPr>
              <w:jc w:val="cente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5A495984" w14:textId="77777777" w:rsidR="003F1350" w:rsidRPr="00744972" w:rsidRDefault="003F1350" w:rsidP="00BE7928">
            <w:pPr>
              <w:jc w:val="center"/>
              <w:rPr>
                <w:i/>
                <w:iCs/>
              </w:rPr>
            </w:pPr>
          </w:p>
        </w:tc>
        <w:tc>
          <w:tcPr>
            <w:tcW w:w="1050" w:type="dxa"/>
          </w:tcPr>
          <w:p w14:paraId="4AFC0C5F" w14:textId="3F79C412" w:rsidR="003F1350" w:rsidRDefault="003F1350" w:rsidP="00BE7928">
            <w:pPr>
              <w:jc w:val="center"/>
            </w:pPr>
            <w:r w:rsidRPr="00744972">
              <w:rPr>
                <w:i/>
                <w:iCs/>
              </w:rPr>
              <w:t>0.7g</w:t>
            </w:r>
          </w:p>
        </w:tc>
        <w:tc>
          <w:tcPr>
            <w:tcW w:w="1074" w:type="dxa"/>
          </w:tcPr>
          <w:p w14:paraId="4273762C" w14:textId="3D63ABEC" w:rsidR="003F1350" w:rsidRDefault="003F1350" w:rsidP="00BE7928">
            <w:pPr>
              <w:jc w:val="center"/>
            </w:pPr>
            <w:r w:rsidRPr="00744972">
              <w:rPr>
                <w:i/>
                <w:iCs/>
              </w:rPr>
              <w:t>0.85g</w:t>
            </w:r>
          </w:p>
        </w:tc>
        <w:tc>
          <w:tcPr>
            <w:tcW w:w="1017" w:type="dxa"/>
          </w:tcPr>
          <w:p w14:paraId="628951C5" w14:textId="33C75E38" w:rsidR="003F1350" w:rsidRDefault="003F1350" w:rsidP="00BE7928">
            <w:pPr>
              <w:jc w:val="center"/>
            </w:pPr>
            <w:r w:rsidRPr="00744972">
              <w:rPr>
                <w:i/>
                <w:iCs/>
              </w:rPr>
              <w:t>1g</w:t>
            </w:r>
          </w:p>
        </w:tc>
        <w:tc>
          <w:tcPr>
            <w:tcW w:w="1074" w:type="dxa"/>
          </w:tcPr>
          <w:p w14:paraId="4912DFF6" w14:textId="027649E3" w:rsidR="003F1350" w:rsidRDefault="003F1350" w:rsidP="00BE7928">
            <w:pPr>
              <w:jc w:val="center"/>
            </w:pPr>
            <w:r w:rsidRPr="00744972">
              <w:rPr>
                <w:i/>
                <w:iCs/>
              </w:rPr>
              <w:t>1.15g</w:t>
            </w:r>
          </w:p>
        </w:tc>
        <w:tc>
          <w:tcPr>
            <w:tcW w:w="1051" w:type="dxa"/>
          </w:tcPr>
          <w:p w14:paraId="7426C1B2" w14:textId="0EFD3E25" w:rsidR="003F1350" w:rsidRDefault="003F1350" w:rsidP="00BE7928">
            <w:pPr>
              <w:jc w:val="center"/>
            </w:pPr>
            <w:r w:rsidRPr="00744972">
              <w:rPr>
                <w:i/>
                <w:iCs/>
              </w:rPr>
              <w:t>1.3g</w:t>
            </w:r>
          </w:p>
        </w:tc>
        <w:tc>
          <w:tcPr>
            <w:tcW w:w="1017" w:type="dxa"/>
          </w:tcPr>
          <w:p w14:paraId="0DE1C7FF" w14:textId="2445B928" w:rsidR="003F1350" w:rsidRDefault="003F1350" w:rsidP="00BE7928">
            <w:pPr>
              <w:jc w:val="center"/>
            </w:pPr>
            <w:r w:rsidRPr="00744972">
              <w:rPr>
                <w:i/>
                <w:iCs/>
              </w:rPr>
              <w:t>-1g</w:t>
            </w:r>
          </w:p>
        </w:tc>
        <w:tc>
          <w:tcPr>
            <w:tcW w:w="1017" w:type="dxa"/>
          </w:tcPr>
          <w:p w14:paraId="29C23EB4" w14:textId="21DD085A" w:rsidR="003F1350" w:rsidRDefault="003F1350" w:rsidP="00BE7928">
            <w:pPr>
              <w:keepNext/>
              <w:jc w:val="center"/>
            </w:pPr>
            <w:r w:rsidRPr="00744972">
              <w:rPr>
                <w:i/>
                <w:iCs/>
              </w:rPr>
              <w:t>1g</w:t>
            </w:r>
          </w:p>
        </w:tc>
      </w:tr>
      <w:tr w:rsidR="003F1350" w14:paraId="2864EA0B" w14:textId="77777777" w:rsidTr="001176A9">
        <w:tc>
          <w:tcPr>
            <w:tcW w:w="972" w:type="dxa"/>
            <w:vAlign w:val="center"/>
          </w:tcPr>
          <w:p w14:paraId="555E9BA6" w14:textId="0F875D7E" w:rsidR="003F1350" w:rsidRDefault="003F1350" w:rsidP="00BE7928">
            <w:pPr>
              <w:jc w:val="center"/>
            </w:pPr>
            <w:r w:rsidRPr="00744972">
              <w:rPr>
                <w:b/>
                <w:bCs/>
              </w:rPr>
              <w:t>4.5 m/s</w:t>
            </w:r>
          </w:p>
        </w:tc>
        <w:tc>
          <w:tcPr>
            <w:tcW w:w="1078" w:type="dxa"/>
          </w:tcPr>
          <w:p w14:paraId="2986071F" w14:textId="571A6358" w:rsidR="003F1350" w:rsidRPr="00744972" w:rsidRDefault="003F1350" w:rsidP="00BE7928">
            <w:pPr>
              <w:jc w:val="center"/>
              <w:rPr>
                <w:i/>
                <w:iCs/>
              </w:rPr>
            </w:pPr>
            <w:r w:rsidRPr="00744972">
              <w:rPr>
                <w:i/>
                <w:iCs/>
              </w:rPr>
              <w:t>Mean</w:t>
            </w:r>
          </w:p>
        </w:tc>
        <w:tc>
          <w:tcPr>
            <w:tcW w:w="1050" w:type="dxa"/>
          </w:tcPr>
          <w:p w14:paraId="15CC059C" w14:textId="06C2FB19" w:rsidR="003F1350" w:rsidRDefault="003F1350" w:rsidP="00BE7928">
            <w:pPr>
              <w:jc w:val="center"/>
            </w:pPr>
            <w:r w:rsidRPr="003F1350">
              <w:t>0.01</w:t>
            </w:r>
          </w:p>
        </w:tc>
        <w:tc>
          <w:tcPr>
            <w:tcW w:w="1074" w:type="dxa"/>
          </w:tcPr>
          <w:p w14:paraId="4EFFE0E0" w14:textId="436F52BE" w:rsidR="003F1350" w:rsidRDefault="003F1350" w:rsidP="00BE7928">
            <w:pPr>
              <w:jc w:val="center"/>
            </w:pPr>
            <w:r w:rsidRPr="003F1350">
              <w:t>0.05</w:t>
            </w:r>
          </w:p>
        </w:tc>
        <w:tc>
          <w:tcPr>
            <w:tcW w:w="1017" w:type="dxa"/>
          </w:tcPr>
          <w:p w14:paraId="4962DBD9" w14:textId="355643AC" w:rsidR="003F1350" w:rsidRDefault="003F1350" w:rsidP="00BE7928">
            <w:pPr>
              <w:jc w:val="center"/>
            </w:pPr>
            <w:r w:rsidRPr="003F1350">
              <w:t>0.08</w:t>
            </w:r>
          </w:p>
        </w:tc>
        <w:tc>
          <w:tcPr>
            <w:tcW w:w="1074" w:type="dxa"/>
          </w:tcPr>
          <w:p w14:paraId="7098F1F0" w14:textId="1DEBE386" w:rsidR="003F1350" w:rsidRDefault="003F1350" w:rsidP="00BE7928">
            <w:pPr>
              <w:jc w:val="center"/>
            </w:pPr>
            <w:r w:rsidRPr="003F1350">
              <w:t>0.10</w:t>
            </w:r>
          </w:p>
        </w:tc>
        <w:tc>
          <w:tcPr>
            <w:tcW w:w="1051" w:type="dxa"/>
          </w:tcPr>
          <w:p w14:paraId="368689C9" w14:textId="018B86F7" w:rsidR="003F1350" w:rsidRDefault="003F1350" w:rsidP="00BE7928">
            <w:pPr>
              <w:jc w:val="center"/>
            </w:pPr>
            <w:r w:rsidRPr="003F1350">
              <w:t>0.11</w:t>
            </w:r>
          </w:p>
        </w:tc>
        <w:tc>
          <w:tcPr>
            <w:tcW w:w="1017" w:type="dxa"/>
          </w:tcPr>
          <w:p w14:paraId="6260B8C3" w14:textId="2952154B" w:rsidR="003F1350" w:rsidRDefault="003F1350" w:rsidP="00BE7928">
            <w:pPr>
              <w:jc w:val="center"/>
            </w:pPr>
            <w:r w:rsidRPr="003F1350">
              <w:t>0.15</w:t>
            </w:r>
          </w:p>
        </w:tc>
        <w:tc>
          <w:tcPr>
            <w:tcW w:w="1017" w:type="dxa"/>
          </w:tcPr>
          <w:p w14:paraId="339CFB64" w14:textId="722F7D22" w:rsidR="003F1350" w:rsidRDefault="003F1350" w:rsidP="00BE7928">
            <w:pPr>
              <w:keepNext/>
              <w:jc w:val="center"/>
            </w:pPr>
            <w:r w:rsidRPr="003F1350">
              <w:t>0.09</w:t>
            </w:r>
          </w:p>
        </w:tc>
      </w:tr>
      <w:tr w:rsidR="003F1350" w14:paraId="4B24E6C0" w14:textId="77777777" w:rsidTr="001176A9">
        <w:tc>
          <w:tcPr>
            <w:tcW w:w="972" w:type="dxa"/>
            <w:vAlign w:val="center"/>
          </w:tcPr>
          <w:p w14:paraId="4273831C" w14:textId="30BE8EF5" w:rsidR="003F1350" w:rsidRDefault="003F1350" w:rsidP="00BE7928">
            <w:pPr>
              <w:jc w:val="center"/>
            </w:pPr>
          </w:p>
        </w:tc>
        <w:tc>
          <w:tcPr>
            <w:tcW w:w="1078" w:type="dxa"/>
          </w:tcPr>
          <w:p w14:paraId="64799E37" w14:textId="2A620621" w:rsidR="003F1350" w:rsidRPr="00744972" w:rsidRDefault="003F1350" w:rsidP="00BE7928">
            <w:pPr>
              <w:jc w:val="center"/>
              <w:rPr>
                <w:i/>
                <w:iCs/>
              </w:rPr>
            </w:pPr>
            <w:r w:rsidRPr="00744972">
              <w:rPr>
                <w:i/>
                <w:iCs/>
              </w:rPr>
              <w:t>SD</w:t>
            </w:r>
          </w:p>
        </w:tc>
        <w:tc>
          <w:tcPr>
            <w:tcW w:w="1050" w:type="dxa"/>
          </w:tcPr>
          <w:p w14:paraId="28B7840A" w14:textId="11377A09" w:rsidR="003F1350" w:rsidRDefault="003F1350" w:rsidP="00BE7928">
            <w:pPr>
              <w:jc w:val="center"/>
            </w:pPr>
            <w:r w:rsidRPr="003F1350">
              <w:t>0.12</w:t>
            </w:r>
          </w:p>
        </w:tc>
        <w:tc>
          <w:tcPr>
            <w:tcW w:w="1074" w:type="dxa"/>
          </w:tcPr>
          <w:p w14:paraId="2351483B" w14:textId="2076EBA2" w:rsidR="003F1350" w:rsidRDefault="003F1350" w:rsidP="00BE7928">
            <w:pPr>
              <w:jc w:val="center"/>
            </w:pPr>
            <w:r w:rsidRPr="003F1350">
              <w:t>0.10</w:t>
            </w:r>
          </w:p>
        </w:tc>
        <w:tc>
          <w:tcPr>
            <w:tcW w:w="1017" w:type="dxa"/>
          </w:tcPr>
          <w:p w14:paraId="004CB5B0" w14:textId="244AE9F9" w:rsidR="003F1350" w:rsidRDefault="003F1350" w:rsidP="00BE7928">
            <w:pPr>
              <w:jc w:val="center"/>
            </w:pPr>
            <w:r w:rsidRPr="003F1350">
              <w:t>0.09</w:t>
            </w:r>
          </w:p>
        </w:tc>
        <w:tc>
          <w:tcPr>
            <w:tcW w:w="1074" w:type="dxa"/>
          </w:tcPr>
          <w:p w14:paraId="19E2C189" w14:textId="0E3A3B9B" w:rsidR="003F1350" w:rsidRDefault="003F1350" w:rsidP="00BE7928">
            <w:pPr>
              <w:jc w:val="center"/>
            </w:pPr>
            <w:r w:rsidRPr="003F1350">
              <w:t>0.08</w:t>
            </w:r>
          </w:p>
        </w:tc>
        <w:tc>
          <w:tcPr>
            <w:tcW w:w="1051" w:type="dxa"/>
          </w:tcPr>
          <w:p w14:paraId="2B2758C6" w14:textId="3C2CE5AE" w:rsidR="003F1350" w:rsidRDefault="003F1350" w:rsidP="00BE7928">
            <w:pPr>
              <w:jc w:val="center"/>
            </w:pPr>
            <w:r w:rsidRPr="003F1350">
              <w:t>0.08</w:t>
            </w:r>
          </w:p>
        </w:tc>
        <w:tc>
          <w:tcPr>
            <w:tcW w:w="1017" w:type="dxa"/>
          </w:tcPr>
          <w:p w14:paraId="1F856806" w14:textId="69720755" w:rsidR="003F1350" w:rsidRDefault="003F1350" w:rsidP="00BE7928">
            <w:pPr>
              <w:jc w:val="center"/>
            </w:pPr>
            <w:r w:rsidRPr="003F1350">
              <w:t>0.10</w:t>
            </w:r>
          </w:p>
        </w:tc>
        <w:tc>
          <w:tcPr>
            <w:tcW w:w="1017" w:type="dxa"/>
          </w:tcPr>
          <w:p w14:paraId="5BF46DCB" w14:textId="04B1D812" w:rsidR="003F1350" w:rsidRDefault="003F1350" w:rsidP="00BE7928">
            <w:pPr>
              <w:keepNext/>
              <w:jc w:val="center"/>
            </w:pPr>
            <w:r w:rsidRPr="003F1350">
              <w:t>0.09</w:t>
            </w:r>
          </w:p>
        </w:tc>
      </w:tr>
      <w:tr w:rsidR="003F1350" w14:paraId="7C092616" w14:textId="77777777" w:rsidTr="001176A9">
        <w:tc>
          <w:tcPr>
            <w:tcW w:w="972" w:type="dxa"/>
            <w:vAlign w:val="center"/>
          </w:tcPr>
          <w:p w14:paraId="43073D1F" w14:textId="0D91EDB1" w:rsidR="003F1350" w:rsidRDefault="003F1350" w:rsidP="00BE7928">
            <w:pPr>
              <w:jc w:val="center"/>
            </w:pPr>
            <w:r w:rsidRPr="00744972">
              <w:rPr>
                <w:b/>
                <w:bCs/>
              </w:rPr>
              <w:t>6 m/s</w:t>
            </w:r>
          </w:p>
        </w:tc>
        <w:tc>
          <w:tcPr>
            <w:tcW w:w="1078" w:type="dxa"/>
          </w:tcPr>
          <w:p w14:paraId="07C0B584" w14:textId="325860A4" w:rsidR="003F1350" w:rsidRPr="00744972" w:rsidRDefault="003F1350" w:rsidP="00BE7928">
            <w:pPr>
              <w:jc w:val="center"/>
              <w:rPr>
                <w:i/>
                <w:iCs/>
              </w:rPr>
            </w:pPr>
            <w:r w:rsidRPr="00744972">
              <w:rPr>
                <w:i/>
                <w:iCs/>
              </w:rPr>
              <w:t>Mean</w:t>
            </w:r>
          </w:p>
        </w:tc>
        <w:tc>
          <w:tcPr>
            <w:tcW w:w="1050" w:type="dxa"/>
          </w:tcPr>
          <w:p w14:paraId="070047F9" w14:textId="69ACD4AF" w:rsidR="003F1350" w:rsidRDefault="003F1350" w:rsidP="00BE7928">
            <w:pPr>
              <w:jc w:val="center"/>
            </w:pPr>
            <w:r w:rsidRPr="003F1350">
              <w:t>0.03</w:t>
            </w:r>
          </w:p>
        </w:tc>
        <w:tc>
          <w:tcPr>
            <w:tcW w:w="1074" w:type="dxa"/>
          </w:tcPr>
          <w:p w14:paraId="30D5C5B8" w14:textId="61FF53BB" w:rsidR="003F1350" w:rsidRDefault="003F1350" w:rsidP="00BE7928">
            <w:pPr>
              <w:jc w:val="center"/>
            </w:pPr>
            <w:r w:rsidRPr="003F1350">
              <w:t>0.04</w:t>
            </w:r>
          </w:p>
        </w:tc>
        <w:tc>
          <w:tcPr>
            <w:tcW w:w="1017" w:type="dxa"/>
          </w:tcPr>
          <w:p w14:paraId="140EE868" w14:textId="3A0C4346" w:rsidR="003F1350" w:rsidRDefault="003F1350" w:rsidP="00BE7928">
            <w:pPr>
              <w:jc w:val="center"/>
            </w:pPr>
            <w:r w:rsidRPr="003F1350">
              <w:t>0.06</w:t>
            </w:r>
          </w:p>
        </w:tc>
        <w:tc>
          <w:tcPr>
            <w:tcW w:w="1074" w:type="dxa"/>
          </w:tcPr>
          <w:p w14:paraId="1AF698FA" w14:textId="522A437F" w:rsidR="003F1350" w:rsidRDefault="003F1350" w:rsidP="00BE7928">
            <w:pPr>
              <w:jc w:val="center"/>
            </w:pPr>
            <w:r w:rsidRPr="003F1350">
              <w:t>0.09</w:t>
            </w:r>
          </w:p>
        </w:tc>
        <w:tc>
          <w:tcPr>
            <w:tcW w:w="1051" w:type="dxa"/>
          </w:tcPr>
          <w:p w14:paraId="01577555" w14:textId="4935E79D" w:rsidR="003F1350" w:rsidRDefault="003F1350" w:rsidP="00BE7928">
            <w:pPr>
              <w:jc w:val="center"/>
            </w:pPr>
            <w:r w:rsidRPr="003F1350">
              <w:t>0.11</w:t>
            </w:r>
          </w:p>
        </w:tc>
        <w:tc>
          <w:tcPr>
            <w:tcW w:w="1017" w:type="dxa"/>
          </w:tcPr>
          <w:p w14:paraId="133CEE6F" w14:textId="6C15A048" w:rsidR="003F1350" w:rsidRDefault="003F1350" w:rsidP="00BE7928">
            <w:pPr>
              <w:jc w:val="center"/>
            </w:pPr>
            <w:r w:rsidRPr="003F1350">
              <w:t>0.12</w:t>
            </w:r>
          </w:p>
        </w:tc>
        <w:tc>
          <w:tcPr>
            <w:tcW w:w="1017" w:type="dxa"/>
          </w:tcPr>
          <w:p w14:paraId="2393E6C7" w14:textId="5596D6A8" w:rsidR="003F1350" w:rsidRDefault="003F1350" w:rsidP="00BE7928">
            <w:pPr>
              <w:keepNext/>
              <w:jc w:val="center"/>
            </w:pPr>
            <w:r w:rsidRPr="003F1350">
              <w:t>0.09</w:t>
            </w:r>
          </w:p>
        </w:tc>
      </w:tr>
      <w:tr w:rsidR="003F1350" w14:paraId="38B4D64A" w14:textId="77777777" w:rsidTr="001176A9">
        <w:tc>
          <w:tcPr>
            <w:tcW w:w="972" w:type="dxa"/>
          </w:tcPr>
          <w:p w14:paraId="61B54411" w14:textId="65A5B9FF" w:rsidR="003F1350" w:rsidRDefault="003F1350" w:rsidP="00BE7928">
            <w:pPr>
              <w:jc w:val="center"/>
            </w:pPr>
          </w:p>
        </w:tc>
        <w:tc>
          <w:tcPr>
            <w:tcW w:w="1078" w:type="dxa"/>
          </w:tcPr>
          <w:p w14:paraId="020124BC" w14:textId="0380360B" w:rsidR="003F1350" w:rsidRPr="00744972" w:rsidRDefault="003F1350" w:rsidP="00BE7928">
            <w:pPr>
              <w:jc w:val="center"/>
              <w:rPr>
                <w:i/>
                <w:iCs/>
              </w:rPr>
            </w:pPr>
            <w:r w:rsidRPr="00744972">
              <w:rPr>
                <w:i/>
                <w:iCs/>
              </w:rPr>
              <w:t>SD</w:t>
            </w:r>
          </w:p>
        </w:tc>
        <w:tc>
          <w:tcPr>
            <w:tcW w:w="1050" w:type="dxa"/>
          </w:tcPr>
          <w:p w14:paraId="00EAEAA3" w14:textId="7D2DC62B" w:rsidR="003F1350" w:rsidRDefault="003F1350" w:rsidP="00BE7928">
            <w:pPr>
              <w:jc w:val="center"/>
            </w:pPr>
            <w:r w:rsidRPr="003F1350">
              <w:t>0.14</w:t>
            </w:r>
          </w:p>
        </w:tc>
        <w:tc>
          <w:tcPr>
            <w:tcW w:w="1074" w:type="dxa"/>
          </w:tcPr>
          <w:p w14:paraId="4F381462" w14:textId="5819CC78" w:rsidR="003F1350" w:rsidRDefault="003F1350" w:rsidP="00BE7928">
            <w:pPr>
              <w:jc w:val="center"/>
            </w:pPr>
            <w:r w:rsidRPr="003F1350">
              <w:t>0.11</w:t>
            </w:r>
          </w:p>
        </w:tc>
        <w:tc>
          <w:tcPr>
            <w:tcW w:w="1017" w:type="dxa"/>
          </w:tcPr>
          <w:p w14:paraId="3572C1AC" w14:textId="1CD44A5D" w:rsidR="003F1350" w:rsidRDefault="003F1350" w:rsidP="00BE7928">
            <w:pPr>
              <w:jc w:val="center"/>
            </w:pPr>
            <w:r w:rsidRPr="003F1350">
              <w:t>0.11</w:t>
            </w:r>
          </w:p>
        </w:tc>
        <w:tc>
          <w:tcPr>
            <w:tcW w:w="1074" w:type="dxa"/>
          </w:tcPr>
          <w:p w14:paraId="0E7CB48F" w14:textId="0735088B" w:rsidR="003F1350" w:rsidRDefault="003F1350" w:rsidP="00BE7928">
            <w:pPr>
              <w:jc w:val="center"/>
            </w:pPr>
            <w:r w:rsidRPr="003F1350">
              <w:t>0.09</w:t>
            </w:r>
          </w:p>
        </w:tc>
        <w:tc>
          <w:tcPr>
            <w:tcW w:w="1051" w:type="dxa"/>
          </w:tcPr>
          <w:p w14:paraId="612799F4" w14:textId="156FBB84" w:rsidR="003F1350" w:rsidRDefault="003F1350" w:rsidP="00BE7928">
            <w:pPr>
              <w:jc w:val="center"/>
            </w:pPr>
            <w:r w:rsidRPr="003F1350">
              <w:t>0.09</w:t>
            </w:r>
          </w:p>
        </w:tc>
        <w:tc>
          <w:tcPr>
            <w:tcW w:w="1017" w:type="dxa"/>
          </w:tcPr>
          <w:p w14:paraId="474A14D6" w14:textId="69381984" w:rsidR="003F1350" w:rsidRDefault="003F1350" w:rsidP="00BE7928">
            <w:pPr>
              <w:jc w:val="center"/>
            </w:pPr>
            <w:r w:rsidRPr="003F1350">
              <w:t>0.13</w:t>
            </w:r>
          </w:p>
        </w:tc>
        <w:tc>
          <w:tcPr>
            <w:tcW w:w="1017" w:type="dxa"/>
          </w:tcPr>
          <w:p w14:paraId="000E1E80" w14:textId="392919E6" w:rsidR="003F1350" w:rsidRDefault="003F1350" w:rsidP="00BE7928">
            <w:pPr>
              <w:keepNext/>
              <w:jc w:val="center"/>
            </w:pPr>
            <w:r w:rsidRPr="003F1350">
              <w:t>0.11</w:t>
            </w:r>
          </w:p>
        </w:tc>
      </w:tr>
    </w:tbl>
    <w:p w14:paraId="7BA640E4" w14:textId="791F72D6" w:rsidR="00B377BA" w:rsidRPr="00B377BA" w:rsidRDefault="00B377BA" w:rsidP="00BE7928">
      <w:pPr>
        <w:pStyle w:val="Caption"/>
        <w:spacing w:line="480" w:lineRule="auto"/>
        <w:rPr>
          <w:lang w:val="en-US"/>
        </w:rPr>
      </w:pPr>
      <w:r w:rsidRPr="00B377BA">
        <w:rPr>
          <w:lang w:val="en-US"/>
        </w:rPr>
        <w:t xml:space="preserve">Table </w:t>
      </w:r>
      <w:r w:rsidR="00F01E10">
        <w:rPr>
          <w:lang w:val="en-US"/>
        </w:rPr>
        <w:fldChar w:fldCharType="begin"/>
      </w:r>
      <w:r w:rsidR="00F01E10">
        <w:rPr>
          <w:lang w:val="en-US"/>
        </w:rPr>
        <w:instrText xml:space="preserve"> SEQ Table \* ARABIC </w:instrText>
      </w:r>
      <w:r w:rsidR="00F01E10">
        <w:rPr>
          <w:lang w:val="en-US"/>
        </w:rPr>
        <w:fldChar w:fldCharType="separate"/>
      </w:r>
      <w:r w:rsidR="00F86A73">
        <w:rPr>
          <w:noProof/>
          <w:lang w:val="en-US"/>
        </w:rPr>
        <w:t>1</w:t>
      </w:r>
      <w:r w:rsidR="00F01E10">
        <w:rPr>
          <w:lang w:val="en-US"/>
        </w:rPr>
        <w:fldChar w:fldCharType="end"/>
      </w:r>
      <w:r w:rsidRPr="00B377BA">
        <w:rPr>
          <w:lang w:val="en-US"/>
        </w:rPr>
        <w:t>: Means and standard d</w:t>
      </w:r>
      <w:r>
        <w:rPr>
          <w:lang w:val="en-US"/>
        </w:rPr>
        <w:t>eviations observed for the temporal errors divided by gravities and initial vertical velocities.</w:t>
      </w:r>
    </w:p>
    <w:p w14:paraId="605EB236" w14:textId="56E927DF" w:rsidR="00112346" w:rsidRDefault="00744972" w:rsidP="00BE7928">
      <w:pPr>
        <w:spacing w:line="480" w:lineRule="auto"/>
        <w:jc w:val="both"/>
      </w:pPr>
      <w:r>
        <w:t xml:space="preserve">Interestingly, precision </w:t>
      </w:r>
      <w:r w:rsidR="00C660CF">
        <w:t>seems to be</w:t>
      </w:r>
      <w:r>
        <w:t xml:space="preserve"> higher for 1g trials than for -1g trials. To test this</w:t>
      </w:r>
      <w:r w:rsidR="00B377BA">
        <w:t xml:space="preserve"> observation statistically</w:t>
      </w:r>
      <w:r>
        <w:t xml:space="preserve">, we fitted a </w:t>
      </w:r>
      <w:r w:rsidR="00064760">
        <w:t xml:space="preserve">second Bayesian </w:t>
      </w:r>
      <w:r>
        <w:t>Linear Mixed Model to the -1g/1g data, where gravity as fixed effect factor and subjects as random effects predict the</w:t>
      </w:r>
      <w:r w:rsidR="00064760">
        <w:t xml:space="preserve"> timing error</w:t>
      </w:r>
      <w:r w:rsidR="00AC189D">
        <w:t>:</w:t>
      </w:r>
    </w:p>
    <w:p w14:paraId="738DB7C5" w14:textId="49AB7060" w:rsidR="00112346" w:rsidRDefault="00112346" w:rsidP="00BE7928">
      <w:pPr>
        <w:spacing w:line="480" w:lineRule="auto"/>
        <w:jc w:val="both"/>
      </w:pPr>
      <m:oMathPara>
        <m:oMath>
          <m:r>
            <w:rPr>
              <w:rFonts w:ascii="Cambria Math" w:hAnsi="Cambria Math"/>
            </w:rPr>
            <m:t>TimingError ~ Gravity+</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015ACA05" w14:textId="45994E36" w:rsidR="00744972" w:rsidRDefault="00573E06" w:rsidP="00BE7928">
      <w:pPr>
        <w:spacing w:line="480" w:lineRule="auto"/>
        <w:jc w:val="both"/>
      </w:pPr>
      <w:r>
        <w:t>We tested the hypothesis that Gravity would lead to lower variability. The posterior probability of this hypothesis being true was nearly 1, with a sigma value for Gravity of -0.009 (CI = [-0.</w:t>
      </w:r>
      <w:proofErr w:type="gramStart"/>
      <w:r>
        <w:t>012,-</w:t>
      </w:r>
      <w:proofErr w:type="gramEnd"/>
      <w:r>
        <w:t>0.006]. This</w:t>
      </w:r>
      <w:r w:rsidR="00744972">
        <w:t xml:space="preserve"> indicat</w:t>
      </w:r>
      <w:r w:rsidR="001908AE">
        <w:t>es</w:t>
      </w:r>
      <w:r w:rsidR="00744972">
        <w:t xml:space="preserve"> that the absolute error is lower and thus the precision is higher for 1g than for -1g. On a theoretical level, this </w:t>
      </w:r>
      <w:r w:rsidR="007F0B9A">
        <w:t xml:space="preserve">is in line </w:t>
      </w:r>
      <w:r w:rsidR="00744972">
        <w:t>with previous findings</w:t>
      </w:r>
      <w:r w:rsidR="00C660CF">
        <w:t xml:space="preserve"> </w:t>
      </w:r>
      <w:r w:rsidR="00C660CF">
        <w:fldChar w:fldCharType="begin" w:fldLock="1"/>
      </w:r>
      <w:r w:rsidR="00AC189D">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C660CF">
        <w:fldChar w:fldCharType="separate"/>
      </w:r>
      <w:r w:rsidR="00C660CF" w:rsidRPr="00C660CF">
        <w:rPr>
          <w:noProof/>
        </w:rPr>
        <w:t>(Indovina et al., 2005)</w:t>
      </w:r>
      <w:r w:rsidR="00C660CF">
        <w:fldChar w:fldCharType="end"/>
      </w:r>
      <w:r w:rsidR="00744972">
        <w:t xml:space="preserve"> showing that the internal representation of gravity is not activated </w:t>
      </w:r>
      <w:r w:rsidR="007F0B9A">
        <w:t>when upwards motion is presented, even when the absolute value of acceleration impacting the object is equal to the absolute value of earth gravity (9.81 m/²). The precision may thus be higher for 1g than for -1g because the internal model of gravity is utilized for 1g, but not for -1g trials.</w:t>
      </w:r>
    </w:p>
    <w:p w14:paraId="3CD62024" w14:textId="77777777" w:rsidR="00744972" w:rsidRDefault="00744972" w:rsidP="00BE7928">
      <w:pPr>
        <w:pStyle w:val="Heading1"/>
        <w:spacing w:line="480" w:lineRule="auto"/>
        <w:rPr>
          <w:lang w:val="en-US"/>
        </w:rPr>
      </w:pPr>
    </w:p>
    <w:p w14:paraId="35A7B314" w14:textId="0E02AB67" w:rsidR="00FD302A" w:rsidRDefault="006B4496" w:rsidP="00BE7928">
      <w:pPr>
        <w:pStyle w:val="Heading1"/>
        <w:spacing w:line="480" w:lineRule="auto"/>
        <w:rPr>
          <w:lang w:val="en-US"/>
        </w:rPr>
      </w:pPr>
      <w:r>
        <w:rPr>
          <w:lang w:val="en-US"/>
        </w:rPr>
        <w:t>Simulations</w:t>
      </w:r>
    </w:p>
    <w:p w14:paraId="03750082" w14:textId="77777777" w:rsidR="006B4496" w:rsidRDefault="006B4496" w:rsidP="00BE7928">
      <w:pPr>
        <w:spacing w:line="480" w:lineRule="auto"/>
        <w:jc w:val="both"/>
      </w:pPr>
      <w:r>
        <w:t xml:space="preserve">The physical formula for distance from initial velocity and acceleration (Equation 4) is the base for both of our simulation procedures. This reflects the assumption that humans perform the task at hand accurately </w:t>
      </w:r>
      <w:r>
        <w:lastRenderedPageBreak/>
        <w:t xml:space="preserve">– under most circumstances. This assumption is supported by our data, which show a high accuracy for the earth gravity conditions. </w:t>
      </w:r>
    </w:p>
    <w:p w14:paraId="3328BB89" w14:textId="2B137775" w:rsidR="006C014A" w:rsidRDefault="006B4496" w:rsidP="00BE7928">
      <w:pPr>
        <w:spacing w:line="480" w:lineRule="auto"/>
      </w:pPr>
      <w:r>
        <w:t xml:space="preserve">We furthermore neglect the </w:t>
      </w:r>
      <w:r w:rsidR="006C014A">
        <w:t>air drag for these simulations and use the equation for linearly accelerated motion as an approximation</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C014A" w:rsidRPr="00277A48" w14:paraId="172FCCC5" w14:textId="77777777" w:rsidTr="001176A9">
        <w:trPr>
          <w:trHeight w:val="376"/>
        </w:trPr>
        <w:tc>
          <w:tcPr>
            <w:tcW w:w="8314" w:type="dxa"/>
            <w:shd w:val="clear" w:color="auto" w:fill="FFFFFF" w:themeFill="background1"/>
            <w:vAlign w:val="center"/>
          </w:tcPr>
          <w:p w14:paraId="3CAF32DD" w14:textId="682CD19F" w:rsidR="006C014A" w:rsidRPr="00277A48" w:rsidRDefault="001A290A" w:rsidP="00BE7928">
            <w:pPr>
              <w:pStyle w:val="MaterialsandMethodsText"/>
              <w:spacing w:line="480" w:lineRule="auto"/>
            </w:pPr>
            <m:oMathPara>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oMath>
            </m:oMathPara>
          </w:p>
        </w:tc>
        <w:tc>
          <w:tcPr>
            <w:tcW w:w="783" w:type="dxa"/>
            <w:shd w:val="clear" w:color="auto" w:fill="FFFFFF" w:themeFill="background1"/>
            <w:vAlign w:val="center"/>
          </w:tcPr>
          <w:p w14:paraId="283F15B0" w14:textId="77777777" w:rsidR="006C014A" w:rsidRPr="00277A48" w:rsidRDefault="006C014A" w:rsidP="00BE7928">
            <w:pPr>
              <w:pStyle w:val="MaterialsandMethodsText"/>
              <w:spacing w:line="480" w:lineRule="auto"/>
            </w:pPr>
            <w:r w:rsidRPr="00277A48">
              <w:t>[</w:t>
            </w:r>
            <w:r>
              <w:t>4</w:t>
            </w:r>
            <w:r w:rsidRPr="00277A48">
              <w:t>]</w:t>
            </w:r>
          </w:p>
        </w:tc>
      </w:tr>
      <w:tr w:rsidR="006C014A" w:rsidRPr="00277A48" w14:paraId="6A4E6391" w14:textId="77777777" w:rsidTr="001176A9">
        <w:trPr>
          <w:trHeight w:val="675"/>
        </w:trPr>
        <w:tc>
          <w:tcPr>
            <w:tcW w:w="8314" w:type="dxa"/>
            <w:shd w:val="clear" w:color="auto" w:fill="FFFFFF" w:themeFill="background1"/>
            <w:vAlign w:val="center"/>
          </w:tcPr>
          <w:p w14:paraId="1FCF4E27" w14:textId="37ADBC67" w:rsidR="006C014A" w:rsidRDefault="001A290A"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r>
                          <w:rPr>
                            <w:rFonts w:ascii="Cambria Math" w:hAnsi="Cambria Math"/>
                          </w:rPr>
                          <m:t>g</m:t>
                        </m:r>
                      </m:num>
                      <m:den>
                        <m:r>
                          <w:rPr>
                            <w:rFonts w:ascii="Cambria Math" w:hAnsi="Cambria Math"/>
                          </w:rPr>
                          <m:t>2</m:t>
                        </m:r>
                      </m:den>
                    </m:f>
                  </m:den>
                </m:f>
              </m:oMath>
            </m:oMathPara>
          </w:p>
        </w:tc>
        <w:tc>
          <w:tcPr>
            <w:tcW w:w="783" w:type="dxa"/>
            <w:shd w:val="clear" w:color="auto" w:fill="FFFFFF" w:themeFill="background1"/>
            <w:vAlign w:val="center"/>
          </w:tcPr>
          <w:p w14:paraId="6EF5E490" w14:textId="77777777" w:rsidR="006C014A" w:rsidRPr="00277A48" w:rsidRDefault="006C014A" w:rsidP="00BE7928">
            <w:pPr>
              <w:pStyle w:val="MaterialsandMethodsText"/>
              <w:spacing w:line="480" w:lineRule="auto"/>
            </w:pPr>
            <w:r w:rsidRPr="00277A48">
              <w:t>[</w:t>
            </w:r>
            <w:r>
              <w:t>5</w:t>
            </w:r>
            <w:r w:rsidRPr="00277A48">
              <w:t>]</w:t>
            </w:r>
          </w:p>
        </w:tc>
      </w:tr>
    </w:tbl>
    <w:p w14:paraId="5C4EAA3C" w14:textId="5778AC4F" w:rsidR="006C014A" w:rsidRDefault="006C014A" w:rsidP="00BE7928">
      <w:pPr>
        <w:spacing w:line="480" w:lineRule="auto"/>
        <w:jc w:val="both"/>
      </w:pPr>
      <w:r>
        <w:t>As evidenced by a comparison between equations (1) and (2) and equations (3) and (4), the computational complexity increases significantly if we want to accommodate air drag, while the gains in accuracy are margina</w:t>
      </w:r>
      <w:r w:rsidR="006B4496">
        <w:t>l (0.02 s in the condition with the most extreme differences)</w:t>
      </w:r>
      <w:r>
        <w:t>.</w:t>
      </w:r>
    </w:p>
    <w:p w14:paraId="28C89C81" w14:textId="77777777" w:rsidR="006C014A" w:rsidRDefault="006C014A" w:rsidP="00BE7928">
      <w:pPr>
        <w:spacing w:after="0" w:line="480" w:lineRule="auto"/>
        <w:rPr>
          <w:rStyle w:val="Heading2Char"/>
          <w:lang w:val="en-US"/>
        </w:rPr>
      </w:pPr>
    </w:p>
    <w:p w14:paraId="3FE28196" w14:textId="06874743" w:rsidR="006C014A" w:rsidRDefault="006C014A" w:rsidP="00BE7928">
      <w:pPr>
        <w:spacing w:after="0" w:line="480" w:lineRule="auto"/>
        <w:rPr>
          <w:rStyle w:val="Heading2Char"/>
          <w:lang w:val="en-US"/>
        </w:rPr>
      </w:pPr>
      <w:r>
        <w:rPr>
          <w:rStyle w:val="Heading2Char"/>
          <w:lang w:val="en-US"/>
        </w:rPr>
        <w:t>Mean of the Gravity Prior</w:t>
      </w:r>
    </w:p>
    <w:p w14:paraId="5EC83A41" w14:textId="724AB840" w:rsidR="00A54235" w:rsidRDefault="00316387" w:rsidP="00BE7928">
      <w:pPr>
        <w:spacing w:line="480" w:lineRule="auto"/>
        <w:jc w:val="both"/>
      </w:pPr>
      <w:r w:rsidRPr="00316387">
        <w:t>To characterize the</w:t>
      </w:r>
      <w:r>
        <w:t xml:space="preserve"> mean</w:t>
      </w:r>
      <w:r w:rsidRPr="00316387">
        <w:t xml:space="preserve"> Strong Gravity Prior, we </w:t>
      </w:r>
      <w:r>
        <w:t xml:space="preserve">build upon our model the mean timing errors presented in our previous data </w:t>
      </w:r>
      <w:r>
        <w:fldChar w:fldCharType="begin" w:fldLock="1"/>
      </w:r>
      <w:r w:rsidR="00F3068C">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Importantly, </w:t>
      </w:r>
      <w:r w:rsidR="009F7941">
        <w:t>the predictions of our model matched the observed data only for the Long Occlusion condition. In the Long Occlusion condition, subjects displayed a tendency to respond slightly too late, while their responses should be centered around zero. Our ad hoc explanation of this discrepancy was that subjects were often executing a saccade when the ball returned to initial height. This saccade might have interfered with the predictions. An alternative explanation may be, however, that our subjects underestimated the target’s speed at disappearance due to the so called Aubert-</w:t>
      </w:r>
      <w:proofErr w:type="spellStart"/>
      <w:r w:rsidR="009F7941">
        <w:t>Fleischl</w:t>
      </w:r>
      <w:proofErr w:type="spellEnd"/>
      <w:r w:rsidR="009F7941">
        <w:t xml:space="preserve"> phenomenon: humans estimate the speed of a target that they pursue with their eyes at about 80 % of </w:t>
      </w:r>
      <w:r w:rsidR="001A57F8">
        <w:t>its</w:t>
      </w:r>
      <w:r w:rsidR="009F7941">
        <w:t xml:space="preserve"> actual speed</w:t>
      </w:r>
      <w:r w:rsidR="00006956">
        <w:rPr>
          <w:rFonts w:eastAsiaTheme="minorEastAsia"/>
        </w:rPr>
        <w:t xml:space="preserve"> </w:t>
      </w:r>
      <w:r w:rsidR="00006956">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w:instrText>
      </w:r>
      <w:r w:rsidR="002502B8" w:rsidRPr="002502B8">
        <w:rPr>
          <w:rFonts w:eastAsiaTheme="minorEastAsia"/>
          <w:lang w:val="de-DE"/>
        </w:rPr>
        <w:instrText>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Wertheim, &amp; Bles, 1991; Fleischl, 1882; Spering &amp; Montagnini, 2011; Wertheim &amp; Van Gelder, 1990)","plainTextFormattedCitation":"(Aubert, 1887; de Graaf, Wertheim, &amp; Bles, 1991; Fleischl, 1882; Spering &amp; Montagnini, 2011; Wertheim &amp; Van Gelder, 1990)","previouslyFormattedCitation":"(Aubert, 1887; de Graaf, Wertheim, &amp; Bles, 1991; Fleischl, 1882; Spering &amp; Montagnini, 2011; Wertheim &amp; Van Gelder, 1990)"},"properties":{"noteIndex":0},"schema":"https://github.com/citation-style-language/schema/raw/master/csl-citation.json"}</w:instrText>
      </w:r>
      <w:r w:rsidR="00006956">
        <w:rPr>
          <w:rFonts w:eastAsiaTheme="minorEastAsia"/>
        </w:rPr>
        <w:fldChar w:fldCharType="separate"/>
      </w:r>
      <w:r w:rsidR="00006956" w:rsidRPr="00613131">
        <w:rPr>
          <w:rFonts w:eastAsiaTheme="minorEastAsia"/>
          <w:noProof/>
          <w:lang w:val="de-DE"/>
        </w:rPr>
        <w:t>(Aubert, 1887; de Graaf, Wertheim, &amp; Bles, 1991; Fleischl, 1882; Spering &amp; Montagnini, 2011; Wertheim &amp; Van Gelder, 1990)</w:t>
      </w:r>
      <w:r w:rsidR="00006956">
        <w:rPr>
          <w:rFonts w:eastAsiaTheme="minorEastAsia"/>
        </w:rPr>
        <w:fldChar w:fldCharType="end"/>
      </w:r>
      <w:r w:rsidR="009F7941" w:rsidRPr="00006956">
        <w:rPr>
          <w:lang w:val="de-DE"/>
        </w:rPr>
        <w:t xml:space="preserve">. </w:t>
      </w:r>
      <w:r w:rsidR="009F7941">
        <w:t xml:space="preserve">Our subjects were specifically instructed to follow the target with their eyes, and the eye-tracking data we collected that they generally </w:t>
      </w:r>
      <w:r w:rsidR="009F7941">
        <w:lastRenderedPageBreak/>
        <w:t xml:space="preserve">did pursue the target. An underestimation of the velocity at disappearance could explain the tendency of subjects to respond too late in the Short Occlusion condition. For the Long Occlusion condition, on the contrary, the vertical speed at disappearance is very low and has a nearly neglectable influence on the final prediction. Setting the perceived velocity at 80 % of the presented velocity </w:t>
      </w:r>
      <w:r w:rsidR="004A436E">
        <w:t>should</w:t>
      </w:r>
      <w:r w:rsidR="00A44908">
        <w:t xml:space="preserve"> thus yield more accurate predictions for the Short Occlusion condition, while the accuracy for the Long Occlusion condition would be largely maintained.</w:t>
      </w:r>
      <w:r w:rsidR="00A54235">
        <w:t xml:space="preserve"> </w:t>
      </w:r>
      <w:r w:rsidR="00A44908">
        <w:t>We thus employ the same procedure laid out in</w:t>
      </w:r>
      <w:r w:rsidR="004A436E">
        <w:t xml:space="preserve"> </w:t>
      </w:r>
      <w:r w:rsidR="004A436E">
        <w:fldChar w:fldCharType="begin" w:fldLock="1"/>
      </w:r>
      <w:r w:rsidR="004A43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2019)","manualFormatting":"(Jörges &amp; López-Moliner, 2019)","plainTextFormattedCitation":"(B. Jörges &amp; López-Moliner, 2019)","previouslyFormattedCitation":"(B. Jörges &amp; López-Moliner, 2019)"},"properties":{"noteIndex":0},"schema":"https://github.com/citation-style-language/schema/raw/master/csl-citation.json"}</w:instrText>
      </w:r>
      <w:r w:rsidR="004A436E">
        <w:fldChar w:fldCharType="separate"/>
      </w:r>
      <w:r w:rsidR="004A436E" w:rsidRPr="004A436E">
        <w:rPr>
          <w:noProof/>
        </w:rPr>
        <w:t>(Jörges &amp; López-Moliner, 2019)</w:t>
      </w:r>
      <w:r w:rsidR="004A436E">
        <w:fldChar w:fldCharType="end"/>
      </w:r>
      <w:r w:rsidR="00A44908">
        <w:t>, but add a coefficient of 0.8 to the perceived velocity at disappearance</w:t>
      </w:r>
      <w:r w:rsidR="00A54235">
        <w:t xml:space="preserve"> to account for the </w:t>
      </w:r>
      <w:r w:rsidR="00A44908">
        <w:t>Aubert-</w:t>
      </w:r>
      <w:proofErr w:type="spellStart"/>
      <w:r w:rsidR="00A44908">
        <w:t>Fleischl</w:t>
      </w:r>
      <w:proofErr w:type="spellEnd"/>
      <w:r w:rsidR="00A44908">
        <w:t xml:space="preserve"> phenomenon.</w:t>
      </w:r>
      <w:r w:rsidR="00A54235">
        <w:t xml:space="preserve"> </w:t>
      </w:r>
    </w:p>
    <w:p w14:paraId="3D6B2CB7" w14:textId="25B0A66C" w:rsidR="00A54235" w:rsidRPr="00316387" w:rsidRDefault="00A54235" w:rsidP="00BE7928">
      <w:pPr>
        <w:spacing w:line="480" w:lineRule="auto"/>
        <w:jc w:val="both"/>
      </w:pPr>
      <w:r>
        <w:t xml:space="preserve">We will briefly summarize the procedure and then present how this tweak affects the results of our simulations. We used the physical formula for distance from accelerated motion (Equation 4, with </w:t>
      </w:r>
      <w:r w:rsidRPr="00A54235">
        <w:rPr>
          <w:i/>
        </w:rPr>
        <w:t>d</w:t>
      </w:r>
      <w:r>
        <w:t xml:space="preserve"> being the height as disappearance, </w:t>
      </w:r>
      <w:proofErr w:type="spellStart"/>
      <w:r w:rsidRPr="00A54235">
        <w:rPr>
          <w:i/>
        </w:rPr>
        <w:t>v</w:t>
      </w:r>
      <w:r w:rsidRPr="00A54235">
        <w:rPr>
          <w:i/>
          <w:vertAlign w:val="subscript"/>
        </w:rPr>
        <w:t>y</w:t>
      </w:r>
      <w:proofErr w:type="spellEnd"/>
      <w:r>
        <w:t xml:space="preserve"> the vertical velocity at disappearance and </w:t>
      </w:r>
      <w:r w:rsidRPr="00A54235">
        <w:rPr>
          <w:i/>
        </w:rPr>
        <w:t>g</w:t>
      </w:r>
      <w:r>
        <w:t xml:space="preserve"> being gravity). For our simulations, we assume that humans use an earth gravity value of 9.81 m/s² independently of the presented gravity value, </w:t>
      </w:r>
      <w:proofErr w:type="gramStart"/>
      <w:r>
        <w:t>as long as</w:t>
      </w:r>
      <w:proofErr w:type="gramEnd"/>
      <w:r>
        <w:t xml:space="preserve"> the display is roughly in line with a real-world scenario. We furthermore assume that we perceive the vertical velocity a</w:t>
      </w:r>
      <w:r w:rsidR="004A436E">
        <w:t>t</w:t>
      </w:r>
      <w:r>
        <w:t xml:space="preserve"> disappearance at 80 % of the presented velocity. </w:t>
      </w:r>
      <w:r w:rsidR="0024603B">
        <w:t>Equation 5 thus becomes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24603B" w:rsidRPr="00277A48" w14:paraId="7F034FCD" w14:textId="77777777" w:rsidTr="001176A9">
        <w:trPr>
          <w:trHeight w:val="675"/>
        </w:trPr>
        <w:tc>
          <w:tcPr>
            <w:tcW w:w="8314" w:type="dxa"/>
            <w:shd w:val="clear" w:color="auto" w:fill="FFFFFF" w:themeFill="background1"/>
            <w:vAlign w:val="center"/>
          </w:tcPr>
          <w:p w14:paraId="69070792" w14:textId="36FDF37D" w:rsidR="0024603B" w:rsidRDefault="001A290A"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 perceived</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 perceived</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den>
                </m:f>
              </m:oMath>
            </m:oMathPara>
          </w:p>
        </w:tc>
        <w:tc>
          <w:tcPr>
            <w:tcW w:w="783" w:type="dxa"/>
            <w:shd w:val="clear" w:color="auto" w:fill="FFFFFF" w:themeFill="background1"/>
            <w:vAlign w:val="center"/>
          </w:tcPr>
          <w:p w14:paraId="4DBA4C06" w14:textId="77777777" w:rsidR="0024603B" w:rsidRPr="00277A48" w:rsidRDefault="0024603B" w:rsidP="00BE7928">
            <w:pPr>
              <w:pStyle w:val="MaterialsandMethodsText"/>
              <w:spacing w:line="480" w:lineRule="auto"/>
            </w:pPr>
            <w:r w:rsidRPr="00277A48">
              <w:t>[</w:t>
            </w:r>
            <w:r>
              <w:t>5</w:t>
            </w:r>
            <w:r w:rsidRPr="00277A48">
              <w:t>]</w:t>
            </w:r>
          </w:p>
        </w:tc>
      </w:tr>
    </w:tbl>
    <w:p w14:paraId="04141A8A" w14:textId="4E127E35" w:rsidR="0024603B" w:rsidRDefault="0024603B" w:rsidP="00BE7928">
      <w:pPr>
        <w:spacing w:line="480" w:lineRule="auto"/>
        <w:jc w:val="both"/>
        <w:rPr>
          <w:rFonts w:eastAsiaTheme="minorEastAsia"/>
        </w:rPr>
      </w:pPr>
      <w:r w:rsidRPr="0024603B">
        <w:t xml:space="preserve">With </w:t>
      </w:r>
      <m:oMath>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perceived</m:t>
            </m:r>
          </m:sub>
        </m:sSub>
        <m:r>
          <m:rPr>
            <m:sty m:val="p"/>
          </m:rPr>
          <w:rPr>
            <w:rFonts w:ascii="Cambria Math" w:hAnsi="Cambria Math"/>
          </w:rPr>
          <m:t> = 0.8*</m:t>
        </m:r>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presented</m:t>
            </m:r>
          </m:sub>
        </m:sSub>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 = </m:t>
        </m:r>
        <m:f>
          <m:fPr>
            <m:ctrlPr>
              <w:rPr>
                <w:rFonts w:ascii="Cambria Math" w:hAnsi="Cambria Math"/>
                <w:i/>
              </w:rPr>
            </m:ctrlPr>
          </m:fPr>
          <m:num>
            <m:r>
              <w:rPr>
                <w:rFonts w:ascii="Cambria Math" w:hAnsi="Cambria Math"/>
              </w:rPr>
              <m:t> 9.81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w:t>
      </w:r>
    </w:p>
    <w:p w14:paraId="36809EBB" w14:textId="3ADDC020" w:rsidR="0024603B" w:rsidRDefault="0024603B" w:rsidP="00BE7928">
      <w:pPr>
        <w:spacing w:line="480" w:lineRule="auto"/>
        <w:jc w:val="both"/>
        <w:rPr>
          <w:rFonts w:eastAsiaTheme="minorEastAsia"/>
        </w:rPr>
      </w:pPr>
      <w:r>
        <w:rPr>
          <w:rFonts w:eastAsiaTheme="minorEastAsia"/>
        </w:rPr>
        <w:t>We use this formula to simulate the timing error for each trial separately without adding noise. We furthermore also simulate the responses without accounting for the Aubert-</w:t>
      </w:r>
      <w:proofErr w:type="spellStart"/>
      <w:r>
        <w:rPr>
          <w:rFonts w:eastAsiaTheme="minorEastAsia"/>
        </w:rPr>
        <w:t>Fleischl</w:t>
      </w:r>
      <w:proofErr w:type="spellEnd"/>
      <w:r>
        <w:rPr>
          <w:rFonts w:eastAsiaTheme="minorEastAsia"/>
        </w:rPr>
        <w:t xml:space="preserve"> phenomenon</w:t>
      </w:r>
      <w:r w:rsidR="004A436E">
        <w:rPr>
          <w:rFonts w:eastAsiaTheme="minorEastAsia"/>
        </w:rPr>
        <w:t xml:space="preserve"> to compare performance for both models</w:t>
      </w:r>
      <w:r>
        <w:rPr>
          <w:rFonts w:eastAsiaTheme="minorEastAsia"/>
        </w:rPr>
        <w:t>.</w:t>
      </w:r>
      <w:r w:rsidR="00E7767D">
        <w:rPr>
          <w:rFonts w:eastAsiaTheme="minorEastAsia"/>
        </w:rPr>
        <w:t xml:space="preserve"> </w:t>
      </w:r>
      <w:r w:rsidR="00E7767D">
        <w:rPr>
          <w:rFonts w:eastAsiaTheme="minorEastAsia"/>
        </w:rPr>
        <w:fldChar w:fldCharType="begin"/>
      </w:r>
      <w:r w:rsidR="00E7767D">
        <w:rPr>
          <w:rFonts w:eastAsiaTheme="minorEastAsia"/>
        </w:rPr>
        <w:instrText xml:space="preserve"> REF _Ref27880460 \h </w:instrText>
      </w:r>
      <w:r w:rsidR="00BE7928">
        <w:rPr>
          <w:rFonts w:eastAsiaTheme="minorEastAsia"/>
        </w:rPr>
        <w:instrText xml:space="preserve"> \* MERGEFORMAT </w:instrText>
      </w:r>
      <w:r w:rsidR="00E7767D">
        <w:rPr>
          <w:rFonts w:eastAsiaTheme="minorEastAsia"/>
        </w:rPr>
      </w:r>
      <w:r w:rsidR="00E7767D">
        <w:rPr>
          <w:rFonts w:eastAsiaTheme="minorEastAsia"/>
        </w:rPr>
        <w:fldChar w:fldCharType="separate"/>
      </w:r>
      <w:r w:rsidR="00F86A73" w:rsidRPr="00E7767D">
        <w:t xml:space="preserve">Figure </w:t>
      </w:r>
      <w:r w:rsidR="00F86A73">
        <w:rPr>
          <w:noProof/>
        </w:rPr>
        <w:t>4</w:t>
      </w:r>
      <w:r w:rsidR="00E7767D">
        <w:rPr>
          <w:rFonts w:eastAsiaTheme="minorEastAsia"/>
        </w:rPr>
        <w:fldChar w:fldCharType="end"/>
      </w:r>
      <w:r w:rsidR="00E7767D">
        <w:rPr>
          <w:rFonts w:eastAsiaTheme="minorEastAsia"/>
        </w:rPr>
        <w:t xml:space="preserve"> visualizes the mean errors observed in our participants</w:t>
      </w:r>
      <w:r w:rsidR="004A436E">
        <w:rPr>
          <w:rFonts w:eastAsiaTheme="minorEastAsia"/>
        </w:rPr>
        <w:t xml:space="preserve"> (“Obs</w:t>
      </w:r>
      <w:r w:rsidR="001A57F8">
        <w:rPr>
          <w:rFonts w:eastAsiaTheme="minorEastAsia"/>
        </w:rPr>
        <w:t>.</w:t>
      </w:r>
      <w:r w:rsidR="004A436E">
        <w:rPr>
          <w:rFonts w:eastAsiaTheme="minorEastAsia"/>
        </w:rPr>
        <w:t xml:space="preserve"> Error”)</w:t>
      </w:r>
      <w:r w:rsidR="00E7767D">
        <w:rPr>
          <w:rFonts w:eastAsiaTheme="minorEastAsia"/>
        </w:rPr>
        <w:t>, the mean errors when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(AF)”)</w:t>
      </w:r>
      <w:r w:rsidR="00E7767D">
        <w:rPr>
          <w:rFonts w:eastAsiaTheme="minorEastAsia"/>
        </w:rPr>
        <w:t>, and the mean errors when not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(No AF)”)</w:t>
      </w:r>
      <w:r w:rsidR="00E7767D">
        <w:rPr>
          <w:rFonts w:eastAsiaTheme="minorEastAsia"/>
        </w:rPr>
        <w:t xml:space="preserve">. </w:t>
      </w:r>
    </w:p>
    <w:p w14:paraId="4378EE50" w14:textId="7F502E51" w:rsidR="0024603B" w:rsidRDefault="000C63D1" w:rsidP="00BE7928">
      <w:pPr>
        <w:spacing w:line="480" w:lineRule="auto"/>
        <w:jc w:val="both"/>
        <w:rPr>
          <w:rFonts w:eastAsiaTheme="minorEastAsia"/>
        </w:rPr>
      </w:pPr>
      <w:r w:rsidRPr="000C63D1">
        <w:rPr>
          <w:rFonts w:eastAsiaTheme="minorEastAsia"/>
        </w:rPr>
        <w:lastRenderedPageBreak/>
        <w:t>The</w:t>
      </w:r>
      <w:r w:rsidR="00BB40C9">
        <w:rPr>
          <w:rFonts w:eastAsiaTheme="minorEastAsia"/>
        </w:rPr>
        <w:t xml:space="preserve"> overall</w:t>
      </w:r>
      <w:r w:rsidRPr="000C63D1">
        <w:rPr>
          <w:rFonts w:eastAsiaTheme="minorEastAsia"/>
        </w:rPr>
        <w:t xml:space="preserve"> </w:t>
      </w:r>
      <w:r w:rsidR="00E333EA">
        <w:rPr>
          <w:rFonts w:eastAsiaTheme="minorEastAsia"/>
        </w:rPr>
        <w:t xml:space="preserve">Root Mean Squared Error </w:t>
      </w:r>
      <w:r w:rsidRPr="000C63D1">
        <w:rPr>
          <w:rFonts w:eastAsiaTheme="minorEastAsia"/>
        </w:rPr>
        <w:t xml:space="preserve">between AF model predictions and observed behavior is </w:t>
      </w:r>
      <w:r>
        <w:rPr>
          <w:rFonts w:eastAsiaTheme="minorEastAsia"/>
        </w:rPr>
        <w:t>0.0</w:t>
      </w:r>
      <w:r w:rsidR="00E333EA">
        <w:rPr>
          <w:rFonts w:eastAsiaTheme="minorEastAsia"/>
        </w:rPr>
        <w:t>14</w:t>
      </w:r>
      <w:r w:rsidR="005B3488">
        <w:rPr>
          <w:rFonts w:eastAsiaTheme="minorEastAsia"/>
        </w:rPr>
        <w:t> s</w:t>
      </w:r>
      <w:r>
        <w:rPr>
          <w:rFonts w:eastAsiaTheme="minorEastAsia"/>
        </w:rPr>
        <w:t xml:space="preserve">, and for the non-AF model predictions </w:t>
      </w:r>
      <w:r w:rsidR="0067438C">
        <w:rPr>
          <w:rFonts w:eastAsiaTheme="minorEastAsia"/>
        </w:rPr>
        <w:t>nearly twice as high</w:t>
      </w:r>
      <w:r w:rsidR="00BB40C9">
        <w:rPr>
          <w:rFonts w:eastAsiaTheme="minorEastAsia"/>
        </w:rPr>
        <w:t xml:space="preserve">, at </w:t>
      </w:r>
      <w:r w:rsidR="00E333EA">
        <w:rPr>
          <w:rFonts w:eastAsiaTheme="minorEastAsia"/>
        </w:rPr>
        <w:t>0.0244</w:t>
      </w:r>
      <w:r w:rsidR="005B3488">
        <w:rPr>
          <w:rFonts w:eastAsiaTheme="minorEastAsia"/>
        </w:rPr>
        <w:t> s</w:t>
      </w:r>
      <w:r w:rsidR="00BB40C9">
        <w:rPr>
          <w:rFonts w:eastAsiaTheme="minorEastAsia"/>
        </w:rPr>
        <w:t xml:space="preserve">. </w:t>
      </w:r>
      <w:r w:rsidR="00054679">
        <w:rPr>
          <w:rFonts w:eastAsiaTheme="minorEastAsia"/>
        </w:rPr>
        <w:fldChar w:fldCharType="begin"/>
      </w:r>
      <w:r w:rsidR="00054679">
        <w:rPr>
          <w:rFonts w:eastAsiaTheme="minorEastAsia"/>
        </w:rPr>
        <w:instrText xml:space="preserve"> REF _Ref27937618 \h </w:instrText>
      </w:r>
      <w:r w:rsidR="00BE7928">
        <w:rPr>
          <w:rFonts w:eastAsiaTheme="minorEastAsia"/>
        </w:rPr>
        <w:instrText xml:space="preserve"> \* MERGEFORMAT </w:instrText>
      </w:r>
      <w:r w:rsidR="00054679">
        <w:rPr>
          <w:rFonts w:eastAsiaTheme="minorEastAsia"/>
        </w:rPr>
      </w:r>
      <w:r w:rsidR="00054679">
        <w:rPr>
          <w:rFonts w:eastAsiaTheme="minorEastAsia"/>
        </w:rPr>
        <w:fldChar w:fldCharType="separate"/>
      </w:r>
      <w:r w:rsidR="00F86A73" w:rsidRPr="00AB56E9">
        <w:t xml:space="preserve">Table </w:t>
      </w:r>
      <w:r w:rsidR="00F86A73">
        <w:rPr>
          <w:noProof/>
        </w:rPr>
        <w:t>2</w:t>
      </w:r>
      <w:r w:rsidR="00054679">
        <w:rPr>
          <w:rFonts w:eastAsiaTheme="minorEastAsia"/>
        </w:rPr>
        <w:fldChar w:fldCharType="end"/>
      </w:r>
      <w:r w:rsidR="00054679">
        <w:rPr>
          <w:rFonts w:eastAsiaTheme="minorEastAsia"/>
        </w:rPr>
        <w:t xml:space="preserve"> </w:t>
      </w:r>
      <w:r w:rsidR="00BB40C9">
        <w:rPr>
          <w:rFonts w:eastAsiaTheme="minorEastAsia"/>
        </w:rPr>
        <w:t>shows the error for each of the conditions.</w:t>
      </w:r>
      <w:r w:rsidR="0058768C">
        <w:rPr>
          <w:rFonts w:eastAsiaTheme="minorEastAsia"/>
        </w:rPr>
        <w:t xml:space="preserve"> Including the AF phenomenon thus vastly improves the model’s generalizability at the cost of a slight reduction in accuracy for the longest occlusion (Long Occlusion and</w:t>
      </w:r>
      <w:r w:rsidR="0058768C" w:rsidRPr="0058768C">
        <w:rPr>
          <w:i/>
        </w:rPr>
        <w:t xml:space="preserve"> </w:t>
      </w:r>
      <w:proofErr w:type="spellStart"/>
      <w:r w:rsidR="0058768C" w:rsidRPr="00A54235">
        <w:rPr>
          <w:i/>
        </w:rPr>
        <w:t>v</w:t>
      </w:r>
      <w:r w:rsidR="0058768C" w:rsidRPr="00A54235">
        <w:rPr>
          <w:i/>
          <w:vertAlign w:val="subscript"/>
        </w:rPr>
        <w:t>y</w:t>
      </w:r>
      <w:proofErr w:type="spellEnd"/>
      <w:r w:rsidR="0058768C">
        <w:rPr>
          <w:rFonts w:eastAsiaTheme="minorEastAsia"/>
        </w:rPr>
        <w:t> = 6 m/s).</w:t>
      </w:r>
    </w:p>
    <w:tbl>
      <w:tblPr>
        <w:tblStyle w:val="TableGrid"/>
        <w:tblW w:w="0" w:type="auto"/>
        <w:tblLook w:val="04A0" w:firstRow="1" w:lastRow="0" w:firstColumn="1" w:lastColumn="0" w:noHBand="0" w:noVBand="1"/>
      </w:tblPr>
      <w:tblGrid>
        <w:gridCol w:w="1870"/>
        <w:gridCol w:w="1870"/>
        <w:gridCol w:w="1870"/>
        <w:gridCol w:w="1870"/>
        <w:gridCol w:w="1870"/>
      </w:tblGrid>
      <w:tr w:rsidR="00BB40C9" w14:paraId="7DA558E9" w14:textId="77777777" w:rsidTr="001176A9">
        <w:tc>
          <w:tcPr>
            <w:tcW w:w="1870" w:type="dxa"/>
          </w:tcPr>
          <w:p w14:paraId="0A65EBF8" w14:textId="77777777" w:rsidR="00BB40C9" w:rsidRDefault="00BB40C9" w:rsidP="00DF10FA">
            <w:pPr>
              <w:jc w:val="both"/>
            </w:pPr>
          </w:p>
        </w:tc>
        <w:tc>
          <w:tcPr>
            <w:tcW w:w="3740" w:type="dxa"/>
            <w:gridSpan w:val="2"/>
          </w:tcPr>
          <w:p w14:paraId="1E481919" w14:textId="69FF5C67" w:rsidR="00BB40C9" w:rsidRPr="00BB40C9" w:rsidRDefault="00BB40C9" w:rsidP="00DF10FA">
            <w:pPr>
              <w:jc w:val="center"/>
              <w:rPr>
                <w:b/>
              </w:rPr>
            </w:pPr>
            <w:r w:rsidRPr="00BB40C9">
              <w:rPr>
                <w:b/>
              </w:rPr>
              <w:t>Long Occlusion</w:t>
            </w:r>
          </w:p>
        </w:tc>
        <w:tc>
          <w:tcPr>
            <w:tcW w:w="3740" w:type="dxa"/>
            <w:gridSpan w:val="2"/>
          </w:tcPr>
          <w:p w14:paraId="0888A818" w14:textId="59F9C807" w:rsidR="00BB40C9" w:rsidRPr="00BB40C9" w:rsidRDefault="00BB40C9" w:rsidP="00DF10FA">
            <w:pPr>
              <w:jc w:val="center"/>
              <w:rPr>
                <w:b/>
              </w:rPr>
            </w:pPr>
            <w:r w:rsidRPr="00BB40C9">
              <w:rPr>
                <w:b/>
              </w:rPr>
              <w:t>Short Occlusion</w:t>
            </w:r>
          </w:p>
        </w:tc>
      </w:tr>
      <w:tr w:rsidR="00BB40C9" w14:paraId="2C170DBB" w14:textId="77777777" w:rsidTr="00BB40C9">
        <w:tc>
          <w:tcPr>
            <w:tcW w:w="1870" w:type="dxa"/>
          </w:tcPr>
          <w:p w14:paraId="4B50EBB0" w14:textId="254AF59B" w:rsidR="00BB40C9" w:rsidRPr="00AB56E9" w:rsidRDefault="001A290A" w:rsidP="00DF10FA">
            <w:pPr>
              <w:jc w:val="cente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yi</m:t>
                    </m:r>
                  </m:sub>
                </m:sSub>
              </m:oMath>
            </m:oMathPara>
          </w:p>
        </w:tc>
        <w:tc>
          <w:tcPr>
            <w:tcW w:w="1870" w:type="dxa"/>
          </w:tcPr>
          <w:p w14:paraId="7A6EA151" w14:textId="457C727D" w:rsidR="00BB40C9" w:rsidRPr="00BB40C9" w:rsidRDefault="00BB40C9" w:rsidP="00DF10FA">
            <w:pPr>
              <w:jc w:val="center"/>
              <w:rPr>
                <w:i/>
              </w:rPr>
            </w:pPr>
            <w:r w:rsidRPr="00BB40C9">
              <w:rPr>
                <w:i/>
              </w:rPr>
              <w:t>AF</w:t>
            </w:r>
          </w:p>
        </w:tc>
        <w:tc>
          <w:tcPr>
            <w:tcW w:w="1870" w:type="dxa"/>
          </w:tcPr>
          <w:p w14:paraId="012F8D3A" w14:textId="247D5588" w:rsidR="00BB40C9" w:rsidRPr="00BB40C9" w:rsidRDefault="00BB40C9" w:rsidP="00DF10FA">
            <w:pPr>
              <w:jc w:val="center"/>
              <w:rPr>
                <w:i/>
              </w:rPr>
            </w:pPr>
            <w:r w:rsidRPr="00BB40C9">
              <w:rPr>
                <w:i/>
              </w:rPr>
              <w:t>No AF</w:t>
            </w:r>
          </w:p>
        </w:tc>
        <w:tc>
          <w:tcPr>
            <w:tcW w:w="1870" w:type="dxa"/>
          </w:tcPr>
          <w:p w14:paraId="184993A9" w14:textId="7D613693" w:rsidR="00BB40C9" w:rsidRPr="00BB40C9" w:rsidRDefault="00BB40C9" w:rsidP="00DF10FA">
            <w:pPr>
              <w:jc w:val="center"/>
              <w:rPr>
                <w:i/>
              </w:rPr>
            </w:pPr>
            <w:r w:rsidRPr="00BB40C9">
              <w:rPr>
                <w:i/>
              </w:rPr>
              <w:t>AF</w:t>
            </w:r>
          </w:p>
        </w:tc>
        <w:tc>
          <w:tcPr>
            <w:tcW w:w="1870" w:type="dxa"/>
          </w:tcPr>
          <w:p w14:paraId="59B2669A" w14:textId="46664B7D" w:rsidR="00BB40C9" w:rsidRPr="00BB40C9" w:rsidRDefault="00BB40C9" w:rsidP="00DF10FA">
            <w:pPr>
              <w:jc w:val="center"/>
              <w:rPr>
                <w:i/>
              </w:rPr>
            </w:pPr>
            <w:r w:rsidRPr="00BB40C9">
              <w:rPr>
                <w:i/>
              </w:rPr>
              <w:t>No AF</w:t>
            </w:r>
          </w:p>
        </w:tc>
      </w:tr>
      <w:tr w:rsidR="00BB40C9" w14:paraId="6C2ED551" w14:textId="77777777" w:rsidTr="00BB40C9">
        <w:tc>
          <w:tcPr>
            <w:tcW w:w="1870" w:type="dxa"/>
          </w:tcPr>
          <w:p w14:paraId="0B7690C2" w14:textId="3682CA78" w:rsidR="00BB40C9" w:rsidRPr="00BB40C9" w:rsidRDefault="00BB40C9" w:rsidP="00DF10FA">
            <w:pPr>
              <w:jc w:val="center"/>
              <w:rPr>
                <w:i/>
              </w:rPr>
            </w:pPr>
            <w:r w:rsidRPr="00BB40C9">
              <w:rPr>
                <w:i/>
              </w:rPr>
              <w:t>4.5 m/s</w:t>
            </w:r>
          </w:p>
        </w:tc>
        <w:tc>
          <w:tcPr>
            <w:tcW w:w="1870" w:type="dxa"/>
          </w:tcPr>
          <w:p w14:paraId="5E9C2370" w14:textId="17413E0B" w:rsidR="00BB40C9" w:rsidRDefault="00BB40C9" w:rsidP="00DF10FA">
            <w:pPr>
              <w:jc w:val="center"/>
            </w:pPr>
            <w:r>
              <w:t>0.</w:t>
            </w:r>
            <w:r w:rsidR="001063C4">
              <w:t>00</w:t>
            </w:r>
            <w:r w:rsidR="00E333EA">
              <w:t> s</w:t>
            </w:r>
          </w:p>
        </w:tc>
        <w:tc>
          <w:tcPr>
            <w:tcW w:w="1870" w:type="dxa"/>
          </w:tcPr>
          <w:p w14:paraId="27086C09" w14:textId="473C8CC8" w:rsidR="00BB40C9" w:rsidRDefault="001063C4" w:rsidP="00DF10FA">
            <w:pPr>
              <w:jc w:val="center"/>
            </w:pPr>
            <w:r>
              <w:t>0.006</w:t>
            </w:r>
            <w:r w:rsidR="00E333EA">
              <w:t> s</w:t>
            </w:r>
          </w:p>
        </w:tc>
        <w:tc>
          <w:tcPr>
            <w:tcW w:w="1870" w:type="dxa"/>
          </w:tcPr>
          <w:p w14:paraId="092561C6" w14:textId="147D4258" w:rsidR="00BB40C9" w:rsidRDefault="001063C4" w:rsidP="00DF10FA">
            <w:pPr>
              <w:jc w:val="center"/>
            </w:pPr>
            <w:r>
              <w:t>0.01</w:t>
            </w:r>
            <w:r w:rsidR="00E333EA">
              <w:t> s</w:t>
            </w:r>
          </w:p>
        </w:tc>
        <w:tc>
          <w:tcPr>
            <w:tcW w:w="1870" w:type="dxa"/>
          </w:tcPr>
          <w:p w14:paraId="7A24ADDC" w14:textId="4F6B5787" w:rsidR="00BB40C9" w:rsidRDefault="001063C4" w:rsidP="00DF10FA">
            <w:pPr>
              <w:jc w:val="center"/>
            </w:pPr>
            <w:r>
              <w:t>0.03</w:t>
            </w:r>
            <w:r w:rsidR="00E333EA">
              <w:t> s</w:t>
            </w:r>
          </w:p>
        </w:tc>
      </w:tr>
      <w:tr w:rsidR="00BB40C9" w14:paraId="2780974C" w14:textId="77777777" w:rsidTr="00BB40C9">
        <w:tc>
          <w:tcPr>
            <w:tcW w:w="1870" w:type="dxa"/>
          </w:tcPr>
          <w:p w14:paraId="5BBA8321" w14:textId="370784EA" w:rsidR="00BB40C9" w:rsidRPr="00BB40C9" w:rsidRDefault="00BB40C9" w:rsidP="00DF10FA">
            <w:pPr>
              <w:jc w:val="center"/>
              <w:rPr>
                <w:i/>
              </w:rPr>
            </w:pPr>
            <w:r w:rsidRPr="00BB40C9">
              <w:rPr>
                <w:i/>
              </w:rPr>
              <w:t>6 m/s</w:t>
            </w:r>
          </w:p>
        </w:tc>
        <w:tc>
          <w:tcPr>
            <w:tcW w:w="1870" w:type="dxa"/>
          </w:tcPr>
          <w:p w14:paraId="1D4568D3" w14:textId="42DAF07A" w:rsidR="00BB40C9" w:rsidRDefault="001063C4" w:rsidP="00DF10FA">
            <w:pPr>
              <w:jc w:val="center"/>
            </w:pPr>
            <w:r>
              <w:t>0.025</w:t>
            </w:r>
            <w:r w:rsidR="00E333EA">
              <w:t> s</w:t>
            </w:r>
          </w:p>
        </w:tc>
        <w:tc>
          <w:tcPr>
            <w:tcW w:w="1870" w:type="dxa"/>
          </w:tcPr>
          <w:p w14:paraId="0AD32658" w14:textId="6A643B34" w:rsidR="00BB40C9" w:rsidRDefault="001063C4" w:rsidP="00DF10FA">
            <w:pPr>
              <w:jc w:val="center"/>
            </w:pPr>
            <w:r>
              <w:t>0.022</w:t>
            </w:r>
            <w:r w:rsidR="00E333EA">
              <w:t> s</w:t>
            </w:r>
          </w:p>
        </w:tc>
        <w:tc>
          <w:tcPr>
            <w:tcW w:w="1870" w:type="dxa"/>
          </w:tcPr>
          <w:p w14:paraId="6172C094" w14:textId="18E2B4BF" w:rsidR="00BB40C9" w:rsidRDefault="001063C4" w:rsidP="00DF10FA">
            <w:pPr>
              <w:jc w:val="center"/>
            </w:pPr>
            <w:r>
              <w:t>0.009</w:t>
            </w:r>
            <w:r w:rsidR="00E333EA">
              <w:t> s</w:t>
            </w:r>
          </w:p>
        </w:tc>
        <w:tc>
          <w:tcPr>
            <w:tcW w:w="1870" w:type="dxa"/>
          </w:tcPr>
          <w:p w14:paraId="0A52D9F7" w14:textId="625146E9" w:rsidR="00BB40C9" w:rsidRDefault="001063C4" w:rsidP="00DF10FA">
            <w:pPr>
              <w:keepNext/>
              <w:jc w:val="center"/>
            </w:pPr>
            <w:r>
              <w:t>0.03</w:t>
            </w:r>
            <w:r w:rsidR="00E333EA">
              <w:t> s</w:t>
            </w:r>
          </w:p>
        </w:tc>
      </w:tr>
    </w:tbl>
    <w:p w14:paraId="0FF7AB0A" w14:textId="4E6F39A1" w:rsidR="00BB40C9" w:rsidRDefault="00F01E10" w:rsidP="00F86A73">
      <w:pPr>
        <w:pStyle w:val="Caption"/>
        <w:rPr>
          <w:lang w:val="en-US"/>
        </w:rPr>
      </w:pPr>
      <w:bookmarkStart w:id="0" w:name="_Ref27937618"/>
      <w:r w:rsidRPr="00AB56E9">
        <w:rPr>
          <w:lang w:val="en-US"/>
        </w:rPr>
        <w:t xml:space="preserve">Table </w:t>
      </w:r>
      <w:r>
        <w:fldChar w:fldCharType="begin"/>
      </w:r>
      <w:r w:rsidRPr="00AB56E9">
        <w:rPr>
          <w:lang w:val="en-US"/>
        </w:rPr>
        <w:instrText xml:space="preserve"> SEQ Table \* ARABIC </w:instrText>
      </w:r>
      <w:r>
        <w:fldChar w:fldCharType="separate"/>
      </w:r>
      <w:r w:rsidR="00F86A73">
        <w:rPr>
          <w:noProof/>
          <w:lang w:val="en-US"/>
        </w:rPr>
        <w:t>2</w:t>
      </w:r>
      <w:r>
        <w:fldChar w:fldCharType="end"/>
      </w:r>
      <w:bookmarkEnd w:id="0"/>
      <w:r w:rsidRPr="00AB56E9">
        <w:rPr>
          <w:lang w:val="en-US"/>
        </w:rPr>
        <w:t xml:space="preserve">: </w:t>
      </w:r>
      <w:r w:rsidR="001063C4">
        <w:rPr>
          <w:lang w:val="en-US"/>
        </w:rPr>
        <w:t>Root Mean Squared Errors (RMSEs) between simulated</w:t>
      </w:r>
      <w:r w:rsidR="00AB56E9">
        <w:rPr>
          <w:lang w:val="en-US"/>
        </w:rPr>
        <w:t xml:space="preserve"> and observed mean errors for simulations including the Aubert-</w:t>
      </w:r>
      <w:proofErr w:type="spellStart"/>
      <w:r w:rsidR="00AB56E9">
        <w:rPr>
          <w:lang w:val="en-US"/>
        </w:rPr>
        <w:t>Fleischl</w:t>
      </w:r>
      <w:proofErr w:type="spellEnd"/>
      <w:r w:rsidR="00AB56E9">
        <w:rPr>
          <w:lang w:val="en-US"/>
        </w:rPr>
        <w:t xml:space="preserve"> phenomenon (AF) and simulations that don’t (No AF). </w:t>
      </w:r>
      <w:r w:rsidR="0058768C">
        <w:rPr>
          <w:lang w:val="en-US"/>
        </w:rPr>
        <w:t>Lower values signify a better fit.</w:t>
      </w:r>
    </w:p>
    <w:p w14:paraId="33CD367A" w14:textId="62AFB777" w:rsidR="0058768C" w:rsidRPr="0058768C" w:rsidRDefault="0058768C" w:rsidP="00BE7928">
      <w:pPr>
        <w:spacing w:line="480" w:lineRule="auto"/>
      </w:pPr>
      <w:r>
        <w:t>This improvement upon our previous model lends further support to the idea that the mean of a strong gravity prior is at or very close to 9.81 /s².</w:t>
      </w:r>
    </w:p>
    <w:p w14:paraId="75D01815" w14:textId="77777777" w:rsidR="000C63D1" w:rsidRPr="004A0054" w:rsidRDefault="000C63D1" w:rsidP="00BE7928">
      <w:pPr>
        <w:spacing w:line="480" w:lineRule="auto"/>
        <w:jc w:val="both"/>
        <w:rPr>
          <w:rStyle w:val="Heading2Char"/>
          <w:lang w:val="en-US"/>
        </w:rPr>
      </w:pPr>
    </w:p>
    <w:p w14:paraId="1A321467" w14:textId="0A1E4592" w:rsidR="004A0054" w:rsidRPr="004A0054" w:rsidRDefault="0058768C" w:rsidP="00BE7928">
      <w:pPr>
        <w:spacing w:after="0" w:line="480" w:lineRule="auto"/>
        <w:rPr>
          <w:rStyle w:val="Heading2Char"/>
          <w:lang w:val="en-US"/>
        </w:rPr>
      </w:pPr>
      <w:r>
        <w:rPr>
          <w:rStyle w:val="Heading2Char"/>
          <w:lang w:val="en-US"/>
        </w:rPr>
        <w:t>Standard Deviation of the Gravity Prior</w:t>
      </w:r>
    </w:p>
    <w:p w14:paraId="14266157" w14:textId="0A03C5A2" w:rsidR="008734D9" w:rsidRDefault="0058768C" w:rsidP="00BE7928">
      <w:pPr>
        <w:spacing w:line="480" w:lineRule="auto"/>
        <w:jc w:val="both"/>
        <w:rPr>
          <w:rFonts w:eastAsiaTheme="minorEastAsia"/>
        </w:rPr>
      </w:pPr>
      <w:r>
        <w:t xml:space="preserve">The second value needed to characterize a normal distribution, which we assume the strong gravity prior to be represented as, is its standard deviation. </w:t>
      </w:r>
      <w:r w:rsidR="00FD302A">
        <w:t>There are two different ways to approach this problem</w:t>
      </w:r>
      <w:r>
        <w:t>:</w:t>
      </w:r>
      <w:r w:rsidR="00FD302A">
        <w:t xml:space="preserve"> First, we can </w:t>
      </w:r>
      <w:r w:rsidR="0068122F">
        <w:t>simulate</w:t>
      </w:r>
      <w:r w:rsidR="00FD302A">
        <w:t xml:space="preserve"> the temporal responses of our subjects assuming different standard deviations for the gravity prior and minimize the difference between the standard deviations of the responses we observed in our subjects and the model standard deviations.</w:t>
      </w:r>
      <w:r w:rsidR="0038698B">
        <w:t xml:space="preserve"> In this case, we would draw the values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38698B">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38698B">
        <w:rPr>
          <w:rFonts w:eastAsiaTheme="minorEastAsia"/>
        </w:rPr>
        <w:t xml:space="preserve"> from distributions with given means and standard deviations, and compute a simulated temporal response from these values. The mean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would be the last observed velocity in y direction</w:t>
      </w:r>
      <w:r w:rsidR="00006956">
        <w:rPr>
          <w:rFonts w:eastAsiaTheme="minorEastAsia"/>
        </w:rPr>
        <w:t>, corrected by a factor of 0.8 for the Aubert-</w:t>
      </w:r>
      <w:proofErr w:type="spellStart"/>
      <w:r w:rsidR="00006956">
        <w:rPr>
          <w:rFonts w:eastAsiaTheme="minorEastAsia"/>
        </w:rPr>
        <w:t>Fleischl</w:t>
      </w:r>
      <w:proofErr w:type="spellEnd"/>
      <w:r w:rsidR="00006956">
        <w:rPr>
          <w:rFonts w:eastAsiaTheme="minorEastAsia"/>
        </w:rPr>
        <w:t xml:space="preserve"> phenomenon,</w:t>
      </w:r>
      <w:r w:rsidR="0038698B">
        <w:rPr>
          <w:rFonts w:eastAsiaTheme="minorEastAsia"/>
        </w:rPr>
        <w:t xml:space="preserve"> and the standard deviation can be computed based on Weber fractions for velocity discrimination from the literature. </w:t>
      </w:r>
      <w:r w:rsidR="000A198D">
        <w:rPr>
          <w:rFonts w:eastAsiaTheme="minorEastAsia"/>
        </w:rPr>
        <w:t xml:space="preserve">The mean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0A198D">
        <w:rPr>
          <w:rFonts w:eastAsiaTheme="minorEastAsia"/>
        </w:rPr>
        <w:t xml:space="preserve"> is the distance in y direction between the point of disappearance and the reference height. The mean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0A198D">
        <w:rPr>
          <w:rFonts w:eastAsiaTheme="minorEastAsia"/>
        </w:rPr>
        <w:t xml:space="preserve"> is 9.81 m/s², and we optimize over its standard deviation to match the standard deviation observed in the </w:t>
      </w:r>
      <w:r w:rsidR="009C1994">
        <w:rPr>
          <w:rFonts w:eastAsiaTheme="minorEastAsia"/>
        </w:rPr>
        <w:t>subjects’</w:t>
      </w:r>
      <w:r w:rsidR="000A198D">
        <w:rPr>
          <w:rFonts w:eastAsiaTheme="minorEastAsia"/>
        </w:rPr>
        <w:t xml:space="preserve"> temporal responses. </w:t>
      </w:r>
    </w:p>
    <w:p w14:paraId="654BF540" w14:textId="674977BA" w:rsidR="00FD302A" w:rsidRDefault="000A198D" w:rsidP="00BE7928">
      <w:pPr>
        <w:spacing w:line="480" w:lineRule="auto"/>
        <w:jc w:val="both"/>
        <w:rPr>
          <w:rFonts w:eastAsiaTheme="minorEastAsia"/>
        </w:rPr>
      </w:pPr>
      <w:r>
        <w:rPr>
          <w:rFonts w:eastAsiaTheme="minorEastAsia"/>
        </w:rPr>
        <w:t xml:space="preserve">A second approach would be to solve equation (3)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Pr>
          <w:rFonts w:eastAsiaTheme="minorEastAsia"/>
        </w:rPr>
        <w:t>, and then compute its mean and standard deviation ana</w:t>
      </w:r>
      <w:proofErr w:type="spellStart"/>
      <w:r>
        <w:rPr>
          <w:rFonts w:eastAsiaTheme="minorEastAsia"/>
        </w:rPr>
        <w:t>lytically</w:t>
      </w:r>
      <w:proofErr w:type="spellEnd"/>
      <w:r>
        <w:rPr>
          <w:rFonts w:eastAsiaTheme="minorEastAsia"/>
        </w:rPr>
        <w:t xml:space="preserve"> based on the means and standard deviations of </w:t>
      </w:r>
      <m:oMath>
        <m:r>
          <w:rPr>
            <w:rFonts w:ascii="Cambria Math" w:eastAsiaTheme="minorEastAsia" w:hAnsi="Cambria Math"/>
          </w:rPr>
          <m:t>t</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eastAsiaTheme="minorEastAsia"/>
        </w:rPr>
        <w:t>.</w:t>
      </w:r>
      <w:r w:rsidR="00BA72A8">
        <w:rPr>
          <w:rFonts w:eastAsiaTheme="minorEastAsia"/>
        </w:rPr>
        <w:t xml:space="preserve"> For the addition, subtraction and multiplication of two normal distributions, there are analytic solutions to compute mean and standard deviation of the resulting distribution.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6444" w:rsidRPr="00277A48" w14:paraId="0BC125B0" w14:textId="77777777" w:rsidTr="00334100">
        <w:trPr>
          <w:trHeight w:val="376"/>
        </w:trPr>
        <w:tc>
          <w:tcPr>
            <w:tcW w:w="8314" w:type="dxa"/>
            <w:shd w:val="clear" w:color="auto" w:fill="FFFFFF" w:themeFill="background1"/>
            <w:vAlign w:val="center"/>
          </w:tcPr>
          <w:p w14:paraId="16FF0281" w14:textId="241993C1" w:rsidR="00EE6444" w:rsidRPr="00277A48" w:rsidRDefault="001A290A" w:rsidP="00BE7928">
            <w:pPr>
              <w:pStyle w:val="MaterialsandMethodsText"/>
              <w:spacing w:line="480" w:lineRule="auto"/>
            </w:pPr>
            <m:oMathPara>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783" w:type="dxa"/>
            <w:shd w:val="clear" w:color="auto" w:fill="FFFFFF" w:themeFill="background1"/>
            <w:vAlign w:val="center"/>
          </w:tcPr>
          <w:p w14:paraId="500FDDE9" w14:textId="3FC26A82" w:rsidR="00EE6444" w:rsidRPr="00277A48" w:rsidRDefault="00EE6444" w:rsidP="00BE7928">
            <w:pPr>
              <w:pStyle w:val="MaterialsandMethodsText"/>
              <w:spacing w:line="480" w:lineRule="auto"/>
            </w:pPr>
            <w:r w:rsidRPr="00277A48">
              <w:t>[</w:t>
            </w:r>
            <w:r w:rsidR="00FA5BF0">
              <w:t>6</w:t>
            </w:r>
            <w:r w:rsidRPr="00277A48">
              <w:t>]</w:t>
            </w:r>
          </w:p>
        </w:tc>
      </w:tr>
    </w:tbl>
    <w:p w14:paraId="2E0C898B" w14:textId="1ECB9131" w:rsidR="003405B4" w:rsidRPr="00EE6444" w:rsidRDefault="00EE6444" w:rsidP="00BE7928">
      <w:pPr>
        <w:spacing w:line="480" w:lineRule="auto"/>
        <w:jc w:val="both"/>
        <w:rPr>
          <w:rFonts w:eastAsiaTheme="minorEastAsia"/>
        </w:rPr>
      </w:pPr>
      <w:r>
        <w:rPr>
          <w:rFonts w:eastAsiaTheme="minorEastAsia"/>
        </w:rPr>
        <w:t xml:space="preserve">However, as evident from Equation 5, this </w:t>
      </w:r>
      <w:r w:rsidR="00BA72A8">
        <w:rPr>
          <w:rFonts w:eastAsiaTheme="minorEastAsia"/>
        </w:rPr>
        <w:t xml:space="preserve">method requires </w:t>
      </w:r>
      <w:r>
        <w:rPr>
          <w:rFonts w:eastAsiaTheme="minorEastAsia"/>
        </w:rPr>
        <w:t xml:space="preserve">computing the standard deviation of the quotient of two distributions. </w:t>
      </w:r>
      <w:r w:rsidR="00FA5BF0">
        <w:rPr>
          <w:rFonts w:eastAsiaTheme="minorEastAsia"/>
        </w:rPr>
        <w:t xml:space="preserve">To our knowledge, this is not </w:t>
      </w:r>
      <w:r>
        <w:rPr>
          <w:rFonts w:eastAsiaTheme="minorEastAsia"/>
        </w:rPr>
        <w:t xml:space="preserve">possible </w:t>
      </w:r>
      <w:r w:rsidR="00FA5BF0">
        <w:rPr>
          <w:rFonts w:eastAsiaTheme="minorEastAsia"/>
        </w:rPr>
        <w:t>in an analytical fashion and would entail simulations by itself</w:t>
      </w:r>
      <w:r w:rsidR="00BA72A8">
        <w:rPr>
          <w:rFonts w:eastAsiaTheme="minorEastAsia"/>
        </w:rPr>
        <w:t>. W</w:t>
      </w:r>
      <w:r>
        <w:rPr>
          <w:rFonts w:eastAsiaTheme="minorEastAsia"/>
        </w:rPr>
        <w:t xml:space="preserve">e will </w:t>
      </w:r>
      <w:r w:rsidR="00BA72A8">
        <w:rPr>
          <w:rFonts w:eastAsiaTheme="minorEastAsia"/>
        </w:rPr>
        <w:t xml:space="preserve">thus </w:t>
      </w:r>
      <w:r>
        <w:rPr>
          <w:rFonts w:eastAsiaTheme="minorEastAsia"/>
        </w:rPr>
        <w:t xml:space="preserve">focus on </w:t>
      </w:r>
      <w:r w:rsidR="00FA5BF0">
        <w:rPr>
          <w:rFonts w:eastAsiaTheme="minorEastAsia"/>
        </w:rPr>
        <w:t xml:space="preserve">the </w:t>
      </w:r>
      <w:r w:rsidR="00BA72A8">
        <w:rPr>
          <w:rFonts w:eastAsiaTheme="minorEastAsia"/>
        </w:rPr>
        <w:t xml:space="preserve">simulation </w:t>
      </w:r>
      <w:r w:rsidR="00FA5BF0">
        <w:rPr>
          <w:rFonts w:eastAsiaTheme="minorEastAsia"/>
        </w:rPr>
        <w:t>approach</w:t>
      </w:r>
      <w:r>
        <w:rPr>
          <w:rFonts w:eastAsiaTheme="minorEastAsia"/>
        </w:rPr>
        <w:t>.</w:t>
      </w:r>
    </w:p>
    <w:p w14:paraId="1B101AF6" w14:textId="77777777" w:rsidR="00EE6444" w:rsidRPr="00EE6444" w:rsidRDefault="00EE6444" w:rsidP="00BE7928">
      <w:pPr>
        <w:spacing w:line="480" w:lineRule="auto"/>
      </w:pPr>
    </w:p>
    <w:p w14:paraId="3205658D" w14:textId="1B086556" w:rsidR="00FD302A" w:rsidRPr="00604840" w:rsidRDefault="00FD302A" w:rsidP="00BE7928">
      <w:pPr>
        <w:pStyle w:val="Heading3"/>
        <w:spacing w:line="480" w:lineRule="auto"/>
      </w:pPr>
      <w:r w:rsidRPr="00FD302A">
        <w:t>Assumptions</w:t>
      </w:r>
    </w:p>
    <w:p w14:paraId="141593B7" w14:textId="75C4230A" w:rsidR="00FD302A" w:rsidRDefault="00006956" w:rsidP="00BE7928">
      <w:pPr>
        <w:spacing w:line="480" w:lineRule="auto"/>
      </w:pPr>
      <w:r>
        <w:t xml:space="preserve">For this approach, we need to make several </w:t>
      </w:r>
      <w:r w:rsidR="00F1488E">
        <w:t>assumptions</w:t>
      </w:r>
      <w:r>
        <w:t xml:space="preserve">. In the following, we will outline each </w:t>
      </w:r>
      <w:r w:rsidR="00F1488E">
        <w:t>and provide the rationale</w:t>
      </w:r>
      <w:r>
        <w:t xml:space="preserve"> for the chosen values</w:t>
      </w:r>
      <w:r w:rsidR="00F1488E">
        <w:t>.</w:t>
      </w:r>
    </w:p>
    <w:p w14:paraId="1AD07D85" w14:textId="25807B86" w:rsidR="00F1488E" w:rsidRPr="00F2167B" w:rsidRDefault="00F1488E" w:rsidP="00BE7928">
      <w:pPr>
        <w:spacing w:line="480" w:lineRule="auto"/>
        <w:jc w:val="both"/>
        <w:rPr>
          <w:rFonts w:eastAsiaTheme="minorEastAsia"/>
        </w:rPr>
      </w:pPr>
      <w:r w:rsidRPr="00F2167B">
        <w:rPr>
          <w:rFonts w:eastAsiaTheme="minorEastAsia"/>
          <w:b/>
        </w:rPr>
        <w:t>Use of Equation (3)</w:t>
      </w:r>
      <w:r w:rsidR="003405B4" w:rsidRPr="00F2167B">
        <w:rPr>
          <w:rFonts w:eastAsiaTheme="minorEastAsia"/>
        </w:rPr>
        <w:t> </w:t>
      </w:r>
      <w:r w:rsidRPr="00F2167B">
        <w:rPr>
          <w:rFonts w:eastAsiaTheme="minorEastAsia"/>
        </w:rPr>
        <w:t>–</w:t>
      </w:r>
      <w:r w:rsidR="003405B4" w:rsidRPr="00F2167B">
        <w:rPr>
          <w:rFonts w:eastAsiaTheme="minorEastAsia"/>
        </w:rPr>
        <w:t> </w:t>
      </w:r>
      <w:r w:rsidRPr="00F2167B">
        <w:rPr>
          <w:rFonts w:eastAsiaTheme="minorEastAsia"/>
        </w:rPr>
        <w:t xml:space="preserve">In our previous paper, we have shown that predictions based on Equation 3 fit observed temporal errors </w:t>
      </w:r>
      <w:r w:rsidR="002C490B">
        <w:rPr>
          <w:rFonts w:eastAsiaTheme="minorEastAsia"/>
        </w:rPr>
        <w:t>reasonably well</w:t>
      </w:r>
      <w:r w:rsidR="008A7B56">
        <w:rPr>
          <w:rFonts w:eastAsiaTheme="minorEastAsia"/>
        </w:rPr>
        <w:t xml:space="preserve"> </w:t>
      </w:r>
      <w:r w:rsidR="008A7B56">
        <w:rPr>
          <w:rFonts w:eastAsiaTheme="minorEastAsia"/>
        </w:rPr>
        <w:fldChar w:fldCharType="begin" w:fldLock="1"/>
      </w:r>
      <w:r w:rsidR="00F3068C">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A7B56">
        <w:rPr>
          <w:rFonts w:eastAsiaTheme="minorEastAsia"/>
        </w:rPr>
        <w:fldChar w:fldCharType="separate"/>
      </w:r>
      <w:r w:rsidR="004A436E" w:rsidRPr="004A436E">
        <w:rPr>
          <w:rFonts w:eastAsiaTheme="minorEastAsia"/>
          <w:noProof/>
        </w:rPr>
        <w:t>(Jörges &amp; López-Moliner, 2019)</w:t>
      </w:r>
      <w:r w:rsidR="008A7B56">
        <w:rPr>
          <w:rFonts w:eastAsiaTheme="minorEastAsia"/>
        </w:rPr>
        <w:fldChar w:fldCharType="end"/>
      </w:r>
      <w:r w:rsidRPr="00F2167B">
        <w:rPr>
          <w:rFonts w:eastAsiaTheme="minorEastAsia"/>
        </w:rPr>
        <w:t>. This is particularly the case when subjects extrapolated motion for larger time frames in the Long Occlusion condition.</w:t>
      </w:r>
      <w:r w:rsidR="003405B4" w:rsidRPr="00F2167B">
        <w:rPr>
          <w:rFonts w:eastAsiaTheme="minorEastAsia"/>
        </w:rPr>
        <w:t xml:space="preserve"> The difference in predictions for this equation with regards to Equation (2) is</w:t>
      </w:r>
      <w:r w:rsidR="00FA5BF0">
        <w:rPr>
          <w:rFonts w:eastAsiaTheme="minorEastAsia"/>
        </w:rPr>
        <w:t xml:space="preserve"> at most</w:t>
      </w:r>
      <w:r w:rsidR="003405B4" w:rsidRPr="00F2167B">
        <w:rPr>
          <w:rFonts w:eastAsiaTheme="minorEastAsia"/>
        </w:rPr>
        <w:t xml:space="preserve"> 3 </w:t>
      </w:r>
      <w:proofErr w:type="spellStart"/>
      <w:r w:rsidR="003405B4" w:rsidRPr="00F2167B">
        <w:rPr>
          <w:rFonts w:eastAsiaTheme="minorEastAsia"/>
        </w:rPr>
        <w:t>ms</w:t>
      </w:r>
      <w:proofErr w:type="spellEnd"/>
      <w:r w:rsidR="003405B4" w:rsidRPr="00F2167B">
        <w:rPr>
          <w:rFonts w:eastAsiaTheme="minorEastAsia"/>
        </w:rPr>
        <w:t>, and the added computational complexity does not justify the added accuracy</w:t>
      </w:r>
      <w:r w:rsidR="00FA5BF0">
        <w:rPr>
          <w:rFonts w:eastAsiaTheme="minorEastAsia"/>
        </w:rPr>
        <w:t>, especially since our main concern is precision.</w:t>
      </w:r>
    </w:p>
    <w:p w14:paraId="72EE1853" w14:textId="5EB03A38" w:rsidR="00A643B3" w:rsidRDefault="001A290A" w:rsidP="00BE7928">
      <w:pPr>
        <w:spacing w:line="480" w:lineRule="auto"/>
        <w:jc w:val="both"/>
        <w:rPr>
          <w:rFonts w:eastAsiaTheme="minorEastAsia"/>
        </w:rPr>
      </w:pPr>
      <m:oMath>
        <m:sSub>
          <m:sSubPr>
            <m:ctrlPr>
              <w:rPr>
                <w:rFonts w:ascii="Cambria Math" w:eastAsiaTheme="minorEastAsia" w:hAnsi="Cambria Math"/>
                <w:b/>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3405B4">
        <w:rPr>
          <w:rFonts w:eastAsiaTheme="minorEastAsia"/>
        </w:rPr>
        <w:t xml:space="preserve"> – The velocity term in </w:t>
      </w:r>
      <w:r w:rsidR="00FA5BF0">
        <w:rPr>
          <w:rFonts w:eastAsiaTheme="minorEastAsia"/>
        </w:rPr>
        <w:t xml:space="preserve">Equation 4 </w:t>
      </w:r>
      <w:r w:rsidR="003405B4">
        <w:rPr>
          <w:rFonts w:eastAsiaTheme="minorEastAsia"/>
        </w:rPr>
        <w:t>(</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y</m:t>
            </m:r>
          </m:sub>
        </m:sSub>
        <m:r>
          <m:rPr>
            <m:sty m:val="p"/>
          </m:rPr>
          <w:rPr>
            <w:rFonts w:ascii="Cambria Math" w:eastAsiaTheme="minorEastAsia" w:hAnsi="Cambria Math"/>
          </w:rPr>
          <m:t>*</m:t>
        </m:r>
        <m:r>
          <w:rPr>
            <w:rFonts w:ascii="Cambria Math" w:eastAsiaTheme="minorEastAsia" w:hAnsi="Cambria Math"/>
          </w:rPr>
          <m:t>t</m:t>
        </m:r>
      </m:oMath>
      <w:r w:rsidR="003405B4">
        <w:rPr>
          <w:rFonts w:eastAsiaTheme="minorEastAsia"/>
        </w:rPr>
        <w:t xml:space="preserve">) refers to the part of the full distance the target moved because of its initial velocity. Our targets disappeared right after </w:t>
      </w:r>
      <w:proofErr w:type="gramStart"/>
      <w:r w:rsidR="003405B4">
        <w:rPr>
          <w:rFonts w:eastAsiaTheme="minorEastAsia"/>
        </w:rPr>
        <w:t>peak,</w:t>
      </w:r>
      <w:proofErr w:type="gramEnd"/>
      <w:r w:rsidR="003405B4">
        <w:rPr>
          <w:rFonts w:eastAsiaTheme="minorEastAsia"/>
        </w:rPr>
        <w:t xml:space="preserve"> therefore their initial velocity was very low. The velocity term thus contributes less to the full estimate than the gravity term</w:t>
      </w:r>
      <w:r w:rsidR="00006956">
        <w:rPr>
          <w:rFonts w:eastAsiaTheme="minorEastAsia"/>
        </w:rPr>
        <w:t xml:space="preserve">, especially in </w:t>
      </w:r>
      <w:r w:rsidR="00006956">
        <w:rPr>
          <w:rFonts w:eastAsiaTheme="minorEastAsia"/>
        </w:rPr>
        <w:lastRenderedPageBreak/>
        <w:t>the Long Occlusion condition</w:t>
      </w:r>
      <w:r w:rsidR="00A643B3">
        <w:rPr>
          <w:rFonts w:eastAsiaTheme="minorEastAsia"/>
        </w:rPr>
        <w:t xml:space="preserve"> (see also </w:t>
      </w:r>
      <w:r w:rsidR="00A643B3">
        <w:rPr>
          <w:rFonts w:eastAsiaTheme="minorEastAsia"/>
        </w:rPr>
        <w:fldChar w:fldCharType="begin"/>
      </w:r>
      <w:r w:rsidR="00A643B3">
        <w:rPr>
          <w:rFonts w:eastAsiaTheme="minorEastAsia"/>
        </w:rPr>
        <w:instrText xml:space="preserve"> REF _Ref28582960 \h </w:instrText>
      </w:r>
      <w:r w:rsidR="00BE7928">
        <w:rPr>
          <w:rFonts w:eastAsiaTheme="minorEastAsia"/>
        </w:rPr>
        <w:instrText xml:space="preserve"> \* MERGEFORMAT </w:instrText>
      </w:r>
      <w:r w:rsidR="00A643B3">
        <w:rPr>
          <w:rFonts w:eastAsiaTheme="minorEastAsia"/>
        </w:rPr>
      </w:r>
      <w:r w:rsidR="00A643B3">
        <w:rPr>
          <w:rFonts w:eastAsiaTheme="minorEastAsia"/>
        </w:rPr>
        <w:fldChar w:fldCharType="separate"/>
      </w:r>
      <w:r w:rsidR="00F86A73" w:rsidRPr="00E72229">
        <w:t xml:space="preserve">Figure </w:t>
      </w:r>
      <w:r w:rsidR="00F86A73">
        <w:rPr>
          <w:noProof/>
        </w:rPr>
        <w:t>5</w:t>
      </w:r>
      <w:r w:rsidR="00A643B3">
        <w:rPr>
          <w:rFonts w:eastAsiaTheme="minorEastAsia"/>
        </w:rPr>
        <w:fldChar w:fldCharType="end"/>
      </w:r>
      <w:r w:rsidR="00A643B3">
        <w:rPr>
          <w:rFonts w:eastAsiaTheme="minorEastAsia"/>
        </w:rPr>
        <w:t>C)</w:t>
      </w:r>
      <w:r w:rsidR="00006956">
        <w:rPr>
          <w:rFonts w:eastAsiaTheme="minorEastAsia"/>
        </w:rPr>
        <w:t>.</w:t>
      </w:r>
      <w:r w:rsidR="003405B4">
        <w:rPr>
          <w:rFonts w:eastAsiaTheme="minorEastAsia"/>
        </w:rPr>
        <w:t xml:space="preserve"> </w:t>
      </w:r>
      <w:r w:rsidR="00A643B3">
        <w:rPr>
          <w:rFonts w:eastAsiaTheme="minorEastAsia"/>
        </w:rPr>
        <w:t>Importantly, the vertical velocity component is not perceived directly. Rather, it has to be recovered from the tangential speed</w:t>
      </w:r>
      <w:r w:rsidR="00EE4C58">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tan,perceived</m:t>
            </m:r>
          </m:sub>
        </m:sSub>
        <m:r>
          <w:rPr>
            <w:rFonts w:ascii="Cambria Math" w:hAnsi="Cambria Math"/>
          </w:rPr>
          <m:t>)</m:t>
        </m:r>
      </m:oMath>
      <w:r w:rsidR="00A643B3">
        <w:rPr>
          <w:rFonts w:eastAsiaTheme="minorEastAsia"/>
        </w:rPr>
        <w:t xml:space="preserve"> and the angle between the tangential speed vector and the vertical speed vector </w:t>
      </w:r>
      <w:r w:rsidR="00EE4C58">
        <w:rPr>
          <w:rFonts w:eastAsiaTheme="minorEastAsia"/>
        </w:rPr>
        <w:t>(</w:t>
      </w:r>
      <m:oMath>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 xml:space="preserve">) </m:t>
        </m:r>
      </m:oMath>
      <w:r w:rsidR="00A643B3">
        <w:rPr>
          <w:rFonts w:eastAsiaTheme="minorEastAsia"/>
        </w:rPr>
        <w:t>by means of the equation:</w:t>
      </w:r>
    </w:p>
    <w:p w14:paraId="04337C2C" w14:textId="5A34FCE4" w:rsidR="00A643B3" w:rsidRDefault="001A290A" w:rsidP="00BE7928">
      <w:pPr>
        <w:spacing w:line="480" w:lineRule="auto"/>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y,perceived</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tan,perceived</m:t>
              </m:r>
            </m:sub>
          </m:sSub>
        </m:oMath>
      </m:oMathPara>
    </w:p>
    <w:p w14:paraId="4CD13B5A" w14:textId="78330079" w:rsidR="00FE5C97" w:rsidRDefault="00A340F9" w:rsidP="00BE7928">
      <w:pPr>
        <w:spacing w:line="480" w:lineRule="auto"/>
        <w:jc w:val="both"/>
        <w:rPr>
          <w:rFonts w:eastAsiaTheme="minorEastAsia"/>
        </w:rPr>
      </w:pPr>
      <w:r>
        <w:rPr>
          <w:rFonts w:eastAsiaTheme="minorEastAsia"/>
        </w:rPr>
        <w:t xml:space="preserve">Weber fractions for </w:t>
      </w:r>
      <w:r w:rsidR="000F7858">
        <w:rPr>
          <w:rFonts w:eastAsiaTheme="minorEastAsia"/>
        </w:rPr>
        <w:t xml:space="preserve">the </w:t>
      </w:r>
      <w:r>
        <w:rPr>
          <w:rFonts w:eastAsiaTheme="minorEastAsia"/>
        </w:rPr>
        <w:t xml:space="preserve">discrimination </w:t>
      </w:r>
      <w:r w:rsidR="000F7858">
        <w:rPr>
          <w:rFonts w:eastAsiaTheme="minorEastAsia"/>
        </w:rPr>
        <w:t xml:space="preserve">of angular velocities </w:t>
      </w:r>
      <w:r>
        <w:rPr>
          <w:rFonts w:eastAsiaTheme="minorEastAsia"/>
        </w:rPr>
        <w:t xml:space="preserve">reported in the literature are about </w:t>
      </w:r>
      <w:r w:rsidR="000F7858">
        <w:rPr>
          <w:rFonts w:eastAsiaTheme="minorEastAsia"/>
        </w:rPr>
        <w:t>10</w:t>
      </w:r>
      <w:r>
        <w:rPr>
          <w:rFonts w:eastAsiaTheme="minorEastAsia"/>
        </w:rPr>
        <w:t> %</w:t>
      </w:r>
      <w:r w:rsidR="000F7858">
        <w:rPr>
          <w:rFonts w:eastAsiaTheme="minorEastAsia"/>
        </w:rPr>
        <w:t xml:space="preserve"> </w:t>
      </w:r>
      <w:r w:rsidR="000F7858">
        <w:rPr>
          <w:rFonts w:eastAsiaTheme="minorEastAsia"/>
        </w:rPr>
        <w:fldChar w:fldCharType="begin" w:fldLock="1"/>
      </w:r>
      <w:r w:rsidR="0036389C">
        <w:rPr>
          <w:rFonts w:eastAsiaTheme="minorEastAsia"/>
        </w:rPr>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discrimination","type":"article-journal","volume":"47"},"uris":["http://www.mendeley.com/documents/?uuid=d5a898f5-37ef-495c-914c-e542be6c1115"]}],"mendeley":{"formattedCitation":"(Kaiser, 1990)","plainTextFormattedCitation":"(Kaiser, 1990)","previouslyFormattedCitation":"(Kaiser, 1990)"},"properties":{"noteIndex":0},"schema":"https://github.com/citation-style-language/schema/raw/master/csl-citation.json"}</w:instrText>
      </w:r>
      <w:r w:rsidR="000F7858">
        <w:rPr>
          <w:rFonts w:eastAsiaTheme="minorEastAsia"/>
        </w:rPr>
        <w:fldChar w:fldCharType="separate"/>
      </w:r>
      <w:r w:rsidR="000F7858" w:rsidRPr="000F7858">
        <w:rPr>
          <w:rFonts w:eastAsiaTheme="minorEastAsia"/>
          <w:noProof/>
        </w:rPr>
        <w:t>(Kaiser, 1990)</w:t>
      </w:r>
      <w:r w:rsidR="000F7858">
        <w:rPr>
          <w:rFonts w:eastAsiaTheme="minorEastAsia"/>
        </w:rPr>
        <w:fldChar w:fldCharType="end"/>
      </w:r>
      <w:r w:rsidR="000F7858">
        <w:rPr>
          <w:rFonts w:eastAsiaTheme="minorEastAsia"/>
        </w:rPr>
        <w:t>.</w:t>
      </w:r>
      <w:r w:rsidR="00B27F0E">
        <w:rPr>
          <w:rFonts w:eastAsiaTheme="minorEastAsia"/>
        </w:rPr>
        <w:t xml:space="preserve"> </w:t>
      </w:r>
      <w:r w:rsidR="00F2167B">
        <w:rPr>
          <w:rFonts w:eastAsiaTheme="minorEastAsia"/>
        </w:rPr>
        <w:t xml:space="preserve">To calculate the standard deviation of the distribution of perceived velocities from the Weber fraction, we </w:t>
      </w:r>
      <w:proofErr w:type="gramStart"/>
      <w:r w:rsidR="00F2167B">
        <w:rPr>
          <w:rFonts w:eastAsiaTheme="minorEastAsia"/>
        </w:rPr>
        <w:t>have to</w:t>
      </w:r>
      <w:proofErr w:type="gramEnd"/>
      <w:r w:rsidR="00F2167B">
        <w:rPr>
          <w:rFonts w:eastAsiaTheme="minorEastAsia"/>
        </w:rPr>
        <w:t xml:space="preserve"> find that normal distribution where a difference of </w:t>
      </w:r>
      <w:r w:rsidR="000F7858">
        <w:rPr>
          <w:rFonts w:eastAsiaTheme="minorEastAsia"/>
        </w:rPr>
        <w:t>10</w:t>
      </w:r>
      <w:r w:rsidR="00F2167B">
        <w:rPr>
          <w:rFonts w:eastAsiaTheme="minorEastAsia"/>
        </w:rPr>
        <w:t xml:space="preserve"> % from its </w:t>
      </w:r>
      <w:r w:rsidR="002A7435">
        <w:rPr>
          <w:rFonts w:eastAsiaTheme="minorEastAsia"/>
        </w:rPr>
        <w:t>mean</w:t>
      </w:r>
      <w:r w:rsidR="00F2167B">
        <w:rPr>
          <w:rFonts w:eastAsiaTheme="minorEastAsia"/>
        </w:rPr>
        <w:t xml:space="preserve"> leads to a proportion of responses of 25/75 %. For a </w:t>
      </w:r>
      <w:r w:rsidR="00282356">
        <w:rPr>
          <w:rFonts w:eastAsiaTheme="minorEastAsia"/>
        </w:rPr>
        <w:t xml:space="preserve">standardized </w:t>
      </w:r>
      <w:r w:rsidR="00F2167B">
        <w:rPr>
          <w:rFonts w:eastAsiaTheme="minorEastAsia"/>
        </w:rPr>
        <w:t xml:space="preserve">normal distribution with a mean of 1, </w:t>
      </w:r>
      <w:r w:rsidR="008A7B56">
        <w:rPr>
          <w:rFonts w:eastAsiaTheme="minorEastAsia"/>
        </w:rPr>
        <w:t>this is</w:t>
      </w:r>
      <w:r w:rsidR="00F2167B">
        <w:rPr>
          <w:rFonts w:eastAsiaTheme="minorEastAsia"/>
        </w:rPr>
        <w:t xml:space="preserve"> a standard deviation of 0.1</w:t>
      </w:r>
      <w:r w:rsidR="000F7858">
        <w:rPr>
          <w:rFonts w:eastAsiaTheme="minorEastAsia"/>
        </w:rPr>
        <w:t>48</w:t>
      </w:r>
      <w:r w:rsidR="00F2167B">
        <w:rPr>
          <w:rFonts w:eastAsiaTheme="minorEastAsia"/>
        </w:rPr>
        <w:t>.</w:t>
      </w:r>
      <w:r w:rsidR="008A7B56">
        <w:rPr>
          <w:rFonts w:eastAsiaTheme="minorEastAsia"/>
        </w:rPr>
        <w:t xml:space="preserve"> Note that, by using a standardized normal distribution, we assume that Weber fractions are constant across the relevant range of stimulus strengths.</w:t>
      </w:r>
      <w:r w:rsidR="000F7858">
        <w:rPr>
          <w:rFonts w:eastAsiaTheme="minorEastAsia"/>
        </w:rPr>
        <w:t xml:space="preserve"> </w:t>
      </w:r>
      <w:r w:rsidR="000F7858" w:rsidRPr="000F7858">
        <w:rPr>
          <w:rFonts w:eastAsiaTheme="minorEastAsia"/>
        </w:rPr>
        <w:t>Figure 5C shows how predictions vary with varying variability in perceived vertical velocity: The effect is negligible for the Long Occlusion condition, while it increases response variability uniformly across gravities.</w:t>
      </w:r>
      <w:r w:rsidR="008A7B56">
        <w:rPr>
          <w:rFonts w:eastAsiaTheme="minorEastAsia"/>
        </w:rPr>
        <w:t xml:space="preserve"> </w:t>
      </w:r>
      <w:r w:rsidR="00010AD7">
        <w:rPr>
          <w:rFonts w:eastAsiaTheme="minorEastAsia"/>
        </w:rPr>
        <w:t xml:space="preserve">Further variability is incurred in estimating </w:t>
      </w:r>
      <m:oMath>
        <m:sSub>
          <m:sSubPr>
            <m:ctrlPr>
              <w:rPr>
                <w:rFonts w:ascii="Cambria Math" w:hAnsi="Cambria Math"/>
                <w:i/>
              </w:rPr>
            </m:ctrlPr>
          </m:sSubPr>
          <m:e>
            <m:r>
              <w:rPr>
                <w:rFonts w:ascii="Cambria Math" w:hAnsi="Cambria Math"/>
              </w:rPr>
              <m:t>α</m:t>
            </m:r>
          </m:e>
          <m:sub>
            <m:r>
              <w:rPr>
                <w:rFonts w:ascii="Cambria Math" w:hAnsi="Cambria Math"/>
              </w:rPr>
              <m:t>perceived</m:t>
            </m:r>
          </m:sub>
        </m:sSub>
      </m:oMath>
      <w:r w:rsidR="00010AD7">
        <w:rPr>
          <w:rFonts w:eastAsiaTheme="minorEastAsia"/>
        </w:rPr>
        <w:t>.</w:t>
      </w:r>
      <w:r w:rsidR="008E0A14">
        <w:rPr>
          <w:rFonts w:eastAsiaTheme="minorEastAsia"/>
        </w:rPr>
        <w:t xml:space="preserve"> Following</w:t>
      </w:r>
      <w:r w:rsidR="00010AD7">
        <w:rPr>
          <w:rFonts w:eastAsiaTheme="minorEastAsia"/>
        </w:rPr>
        <w:t xml:space="preserve"> </w:t>
      </w:r>
      <w:r w:rsidR="008E0A14">
        <w:rPr>
          <w:rFonts w:eastAsiaTheme="minorEastAsia"/>
        </w:rPr>
        <w:fldChar w:fldCharType="begin" w:fldLock="1"/>
      </w:r>
      <w:r w:rsidR="00905A4B">
        <w:rPr>
          <w:rFonts w:eastAsiaTheme="minorEastAsia"/>
        </w:rPr>
        <w:instrText>ADDIN CSL_CITATION {"citationItems":[{"id":"ITEM-1","itemData":{"DOI":"10.1113/jphysiol.1995.sp020623","ISSN":"14697793","PMID":"7776259","abstract":"1. Human perceptual learning in discrimination of the oblique orientation was studied using psychophysical methods. Subjects were trained daily to improve their ability to identify the orientation of a circular 2.5 deg diameter unidimensional noise field. Dramatic improvements in sensitivity to contour orientation occurred over a period of 15‐20 days. The improved performance persisted for several months. Improvement was more evident between daily sessions than within sessions. This was partly due to fatigue interfering with the learning effect. Moreover, a consolidation period seemed to be required. 2. Improvement was restricted to the position of the stimulus being trained. This position dependency of the learning effect proved very precise. After training at a specific stimulus position, merely displacing the stimulus to an adjacent position caused a marked increase in thresholds. 3. No transfer of the training effect was observed between orientations. Following a shift of 90 deg away from the trained orientation, performance fell, even below the initial level. 4. We observed complete to almost complete transfer between the two eyes. 5. Our results suggest plastic changes at a level of the visual processing stream where input from both eyes has come together, but where generalization for spatial localization and orientation has not yet occurred. © 1995 The Physiological Society","author":[{"dropping-particle":"","family":"Schoups","given":"A. A.","non-dropping-particle":"","parse-names":false,"suffix":""},{"dropping-particle":"","family":"Vogels","given":"R.","non-dropping-particle":"","parse-names":false,"suffix":""},{"dropping-particle":"","family":"Orban","given":"G. A.","non-dropping-particle":"","parse-names":false,"suffix":""}],"container-title":"The Journal of Physiology","id":"ITEM-1","issue":"3","issued":{"date-parts":[["1995"]]},"page":"797-810","title":"Human perceptual learning in identifying the oblique orientation: retinotopy, orientation specificity and monocularity.","type":"article-journal","volume":"483"},"uris":["http://www.mendeley.com/documents/?uuid=39c93a4a-6f04-4158-aebf-7b8e5f372570"]}],"mendeley":{"formattedCitation":"(Schoups, Vogels, &amp; Orban, 1995)","plainTextFormattedCitation":"(Schoups, Vogels, &amp; Orban, 1995)","previouslyFormattedCitation":"(Schoups, Vogels, &amp; Orban, 1995)"},"properties":{"noteIndex":0},"schema":"https://github.com/citation-style-language/schema/raw/master/csl-citation.json"}</w:instrText>
      </w:r>
      <w:r w:rsidR="008E0A14">
        <w:rPr>
          <w:rFonts w:eastAsiaTheme="minorEastAsia"/>
        </w:rPr>
        <w:fldChar w:fldCharType="separate"/>
      </w:r>
      <w:r w:rsidR="008E0A14" w:rsidRPr="008E0A14">
        <w:rPr>
          <w:rFonts w:eastAsiaTheme="minorEastAsia"/>
          <w:noProof/>
        </w:rPr>
        <w:t>(Schoups, Vogels, &amp; Orban, 1995)</w:t>
      </w:r>
      <w:r w:rsidR="008E0A14">
        <w:rPr>
          <w:rFonts w:eastAsiaTheme="minorEastAsia"/>
        </w:rPr>
        <w:fldChar w:fldCharType="end"/>
      </w:r>
      <w:r w:rsidR="008E0A14">
        <w:rPr>
          <w:rFonts w:eastAsiaTheme="minorEastAsia"/>
        </w:rPr>
        <w:t>, the JND for orientation discrimination in untrained subjects is around 6° for oblique orientations. This corresponds to a standard deviation of</w:t>
      </w:r>
      <w:r w:rsidR="000F7858">
        <w:rPr>
          <w:rFonts w:eastAsiaTheme="minorEastAsia"/>
        </w:rPr>
        <w:t xml:space="preserve"> 0.089.</w:t>
      </w:r>
    </w:p>
    <w:p w14:paraId="4B6C06F8" w14:textId="42113A0A" w:rsidR="003405B4" w:rsidRPr="00751D13" w:rsidRDefault="007F3FAE" w:rsidP="00BE7928">
      <w:pPr>
        <w:spacing w:line="480" w:lineRule="auto"/>
        <w:jc w:val="both"/>
        <w:rPr>
          <w:rFonts w:eastAsiaTheme="minorEastAsia"/>
        </w:rPr>
      </w:pPr>
      <w:r>
        <w:rPr>
          <w:rFonts w:eastAsiaTheme="minorEastAsia"/>
        </w:rPr>
        <w:t xml:space="preserve">Furthermore, we </w:t>
      </w:r>
      <w:r w:rsidR="001C3968">
        <w:rPr>
          <w:rFonts w:eastAsiaTheme="minorEastAsia"/>
        </w:rPr>
        <w:t xml:space="preserve">need to </w:t>
      </w:r>
      <w:r w:rsidR="001176A9">
        <w:rPr>
          <w:rFonts w:eastAsiaTheme="minorEastAsia"/>
        </w:rPr>
        <w:t xml:space="preserve">account </w:t>
      </w:r>
      <w:r w:rsidR="00514798">
        <w:rPr>
          <w:rFonts w:eastAsiaTheme="minorEastAsia"/>
        </w:rPr>
        <w:t xml:space="preserve">for </w:t>
      </w:r>
      <w:r>
        <w:rPr>
          <w:rFonts w:eastAsiaTheme="minorEastAsia"/>
        </w:rPr>
        <w:t>the Aubert-</w:t>
      </w:r>
      <w:proofErr w:type="spellStart"/>
      <w:r>
        <w:rPr>
          <w:rFonts w:eastAsiaTheme="minorEastAsia"/>
        </w:rPr>
        <w:t>Fleischl</w:t>
      </w:r>
      <w:proofErr w:type="spellEnd"/>
      <w:r>
        <w:rPr>
          <w:rFonts w:eastAsiaTheme="minorEastAsia"/>
        </w:rPr>
        <w:t xml:space="preserve"> phenomenon, which </w:t>
      </w:r>
      <w:r w:rsidR="001C3968">
        <w:rPr>
          <w:rFonts w:eastAsiaTheme="minorEastAsia"/>
        </w:rPr>
        <w:t xml:space="preserve">consists in an underestimation of the velocity of a moving target </w:t>
      </w:r>
      <w:r w:rsidR="00751D13">
        <w:rPr>
          <w:rFonts w:eastAsiaTheme="minorEastAsia"/>
        </w:rPr>
        <w:t>during smooth pursuit</w:t>
      </w:r>
      <w:r w:rsidR="00F91E84">
        <w:rPr>
          <w:rFonts w:eastAsiaTheme="minorEastAsia"/>
        </w:rPr>
        <w:t xml:space="preserve"> </w:t>
      </w:r>
      <w:r w:rsidR="00F91E84">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w:instrText>
      </w:r>
      <w:r w:rsidR="002502B8" w:rsidRPr="003A0E22">
        <w:rPr>
          <w:rFonts w:eastAsiaTheme="minorEastAsia"/>
          <w:lang w:val="de-DE"/>
        </w:rPr>
        <w:instrText>":"Pflüger,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et al., 1991; Fleischl, 1882; Spering &amp; Montagnini, 2011; Wertheim &amp; Van Gelder, 1990)","plainTextFormattedCitation":"(Aubert, 1887; de Graaf et al., 1991; Fleischl, 1882; Spering &amp; Montagnini, 2011; Wertheim &amp; Van Gelder, 1990)","previouslyFormattedCitation":"(Aubert, 1887; de Graaf et al., 1991; Fleischl, 1882; Spering &amp; Montagnini, 2011; Wertheim &amp; Van Gelder, 1990)"},"properties":{"noteIndex":0},"schema":"https://github.com/citation-style-language/schema/raw/master/csl-citation.json"}</w:instrText>
      </w:r>
      <w:r w:rsidR="00F91E84">
        <w:rPr>
          <w:rFonts w:eastAsiaTheme="minorEastAsia"/>
        </w:rPr>
        <w:fldChar w:fldCharType="separate"/>
      </w:r>
      <w:r w:rsidR="00997DC0" w:rsidRPr="00997DC0">
        <w:rPr>
          <w:rFonts w:eastAsiaTheme="minorEastAsia"/>
          <w:noProof/>
          <w:lang w:val="de-DE"/>
        </w:rPr>
        <w:t>(Aubert, 1887; de Graaf et al., 1991; Fleischl, 1882; Spering &amp; Montagnini, 2011; Wertheim &amp; Van Gelder, 1990)</w:t>
      </w:r>
      <w:r w:rsidR="00F91E84">
        <w:rPr>
          <w:rFonts w:eastAsiaTheme="minorEastAsia"/>
        </w:rPr>
        <w:fldChar w:fldCharType="end"/>
      </w:r>
      <w:r w:rsidR="00F91E84" w:rsidRPr="00F91E84">
        <w:rPr>
          <w:rFonts w:eastAsiaTheme="minorEastAsia"/>
          <w:lang w:val="de-DE"/>
        </w:rPr>
        <w:t>.</w:t>
      </w:r>
      <w:r w:rsidR="00613131" w:rsidRPr="00F91E84">
        <w:rPr>
          <w:rFonts w:eastAsiaTheme="minorEastAsia"/>
          <w:lang w:val="de-DE"/>
        </w:rPr>
        <w:t xml:space="preserve"> </w:t>
      </w:r>
      <w:r w:rsidR="00F91E84">
        <w:rPr>
          <w:rFonts w:eastAsiaTheme="minorEastAsia"/>
        </w:rPr>
        <w:t>While this effect should in principle be partially offset by improved predictions for motion coherent with earth gravity – an empirical question that has, to our knowledge, not been addressed so far –, our simulations show that a Aubert-</w:t>
      </w:r>
      <w:proofErr w:type="spellStart"/>
      <w:r w:rsidR="00F91E84">
        <w:rPr>
          <w:rFonts w:eastAsiaTheme="minorEastAsia"/>
        </w:rPr>
        <w:t>Fleischl</w:t>
      </w:r>
      <w:proofErr w:type="spellEnd"/>
      <w:r w:rsidR="00F91E84">
        <w:rPr>
          <w:rFonts w:eastAsiaTheme="minorEastAsia"/>
        </w:rPr>
        <w:t xml:space="preserve"> correction factor of 0.8 yields an excellent fit for the observed</w:t>
      </w:r>
      <w:r w:rsidR="00EE4C58">
        <w:rPr>
          <w:rFonts w:eastAsiaTheme="minorEastAsia"/>
        </w:rPr>
        <w:t xml:space="preserve"> mean</w:t>
      </w:r>
      <w:r w:rsidR="00F91E84">
        <w:rPr>
          <w:rFonts w:eastAsiaTheme="minorEastAsia"/>
        </w:rPr>
        <w:t xml:space="preserve"> errors</w:t>
      </w:r>
      <w:r w:rsidR="00751D13">
        <w:rPr>
          <w:rFonts w:eastAsiaTheme="minorEastAsia"/>
        </w:rPr>
        <w:t>.</w:t>
      </w:r>
      <w:r w:rsidR="00F91E84">
        <w:rPr>
          <w:rFonts w:eastAsiaTheme="minorEastAsia"/>
        </w:rPr>
        <w:t xml:space="preserve"> We thus proceed with a value of 0.8 also for the simulations concerning the standard deviation. </w:t>
      </w:r>
    </w:p>
    <w:p w14:paraId="0A544604" w14:textId="4DFC596D" w:rsidR="00F2167B" w:rsidRDefault="001A290A" w:rsidP="00BE7928">
      <w:pPr>
        <w:spacing w:line="480" w:lineRule="auto"/>
        <w:jc w:val="both"/>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y</m:t>
            </m:r>
          </m:sub>
        </m:sSub>
      </m:oMath>
      <w:r w:rsidR="00F2167B">
        <w:rPr>
          <w:rFonts w:eastAsiaTheme="minorEastAsia"/>
        </w:rPr>
        <w:t xml:space="preserve"> – </w:t>
      </w:r>
      <w:r w:rsidR="00314718">
        <w:rPr>
          <w:rFonts w:eastAsiaTheme="minorEastAsia"/>
        </w:rPr>
        <w:t>For t</w:t>
      </w:r>
      <w:r w:rsidR="00FA5BF0">
        <w:rPr>
          <w:rFonts w:eastAsiaTheme="minorEastAsia"/>
        </w:rPr>
        <w:t>he distance term (</w:t>
      </w: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rsidR="00314718">
        <w:rPr>
          <w:rFonts w:eastAsiaTheme="minorEastAsia"/>
        </w:rPr>
        <w:t>, w</w:t>
      </w:r>
      <w:proofErr w:type="spellStart"/>
      <w:r w:rsidR="009D5CCF">
        <w:rPr>
          <w:rFonts w:eastAsiaTheme="minorEastAsia"/>
        </w:rPr>
        <w:t>e</w:t>
      </w:r>
      <w:proofErr w:type="spellEnd"/>
      <w:r w:rsidR="009D5CCF">
        <w:rPr>
          <w:rFonts w:eastAsiaTheme="minorEastAsia"/>
        </w:rPr>
        <w:t xml:space="preserve"> choose the stimulus value as mean distance, as we don’t expect any biases.</w:t>
      </w:r>
      <w:r w:rsidR="00FA5BF0">
        <w:rPr>
          <w:rFonts w:eastAsiaTheme="minorEastAsia"/>
        </w:rPr>
        <w:t xml:space="preserve"> </w:t>
      </w:r>
      <w:r w:rsidR="009D5CCF">
        <w:rPr>
          <w:rFonts w:eastAsiaTheme="minorEastAsia"/>
        </w:rPr>
        <w:t xml:space="preserve">In terms of precision, </w:t>
      </w:r>
      <w:r w:rsidR="00595505">
        <w:rPr>
          <w:rFonts w:eastAsiaTheme="minorEastAsia"/>
        </w:rPr>
        <w:t>Weber fractions of 3 % to 5 % are observed for distance estimate</w:t>
      </w:r>
      <w:r w:rsidR="00FA5BF0">
        <w:rPr>
          <w:rFonts w:eastAsiaTheme="minorEastAsia"/>
        </w:rPr>
        <w:t>s</w:t>
      </w:r>
      <w:r w:rsidR="00595505">
        <w:rPr>
          <w:rFonts w:eastAsiaTheme="minorEastAsia"/>
        </w:rPr>
        <w:t xml:space="preserve"> in the front parallel plane </w:t>
      </w:r>
      <w:r w:rsidR="00595505">
        <w:rPr>
          <w:rFonts w:eastAsiaTheme="minorEastAsia"/>
        </w:rPr>
        <w:fldChar w:fldCharType="begin" w:fldLock="1"/>
      </w:r>
      <w:r w:rsidR="007614EE">
        <w:rPr>
          <w:rFonts w:eastAsiaTheme="minorEastAsia"/>
        </w:rPr>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Length","type":"article-journal","volume":"22"},"uris":["http://www.mendeley.com/documents/?uuid=ddcca986-0d8e-4ba8-98d8-01700f1bbc07"]}],"mendeley":{"formattedCitation":"(Norman, Todd, Perotti, &amp; Tittle, 1996)","plainTextFormattedCitation":"(Norman, Todd, Perotti, &amp; Tittle, 1996)","previouslyFormattedCitation":"(Norman, Todd, Perotti, &amp; Tittle, 1996)"},"properties":{"noteIndex":0},"schema":"https://github.com/citation-style-language/schema/raw/master/csl-citation.json"}</w:instrText>
      </w:r>
      <w:r w:rsidR="00595505">
        <w:rPr>
          <w:rFonts w:eastAsiaTheme="minorEastAsia"/>
        </w:rPr>
        <w:fldChar w:fldCharType="separate"/>
      </w:r>
      <w:r w:rsidR="00595505" w:rsidRPr="00595505">
        <w:rPr>
          <w:rFonts w:eastAsiaTheme="minorEastAsia"/>
          <w:noProof/>
        </w:rPr>
        <w:t>(Norman, Todd, Perotti, &amp; Tittle, 1996)</w:t>
      </w:r>
      <w:r w:rsidR="00595505">
        <w:rPr>
          <w:rFonts w:eastAsiaTheme="minorEastAsia"/>
        </w:rPr>
        <w:fldChar w:fldCharType="end"/>
      </w:r>
      <w:r w:rsidR="00595505">
        <w:rPr>
          <w:rFonts w:eastAsiaTheme="minorEastAsia"/>
        </w:rPr>
        <w:t>.</w:t>
      </w:r>
      <w:r w:rsidR="00FA5BF0">
        <w:rPr>
          <w:rFonts w:eastAsiaTheme="minorEastAsia"/>
        </w:rPr>
        <w:t xml:space="preserve"> However,</w:t>
      </w:r>
      <w:r w:rsidR="00236BC9">
        <w:rPr>
          <w:rFonts w:eastAsiaTheme="minorEastAsia"/>
        </w:rPr>
        <w:t xml:space="preserve"> since subjects </w:t>
      </w:r>
      <w:proofErr w:type="gramStart"/>
      <w:r w:rsidR="00236BC9">
        <w:rPr>
          <w:rFonts w:eastAsiaTheme="minorEastAsia"/>
        </w:rPr>
        <w:t>have to</w:t>
      </w:r>
      <w:proofErr w:type="gramEnd"/>
      <w:r w:rsidR="00236BC9">
        <w:rPr>
          <w:rFonts w:eastAsiaTheme="minorEastAsia"/>
        </w:rPr>
        <w:t xml:space="preserve"> estimate the distance not between two well defined points, but rather the </w:t>
      </w:r>
      <w:r w:rsidR="0075723D">
        <w:rPr>
          <w:rFonts w:eastAsiaTheme="minorEastAsia"/>
        </w:rPr>
        <w:t>height above the simulated table</w:t>
      </w:r>
      <w:r w:rsidR="00236BC9">
        <w:rPr>
          <w:rFonts w:eastAsiaTheme="minorEastAsia"/>
        </w:rPr>
        <w:t>, the precision of these estimates is likely lower than reported for the above task. We thus work with a Weber fraction of twice the reported value (10 %)</w:t>
      </w:r>
      <w:r w:rsidR="00517EE5">
        <w:rPr>
          <w:rFonts w:eastAsiaTheme="minorEastAsia"/>
        </w:rPr>
        <w:t>.</w:t>
      </w:r>
      <w:r w:rsidR="00236BC9">
        <w:rPr>
          <w:rFonts w:eastAsiaTheme="minorEastAsia"/>
        </w:rPr>
        <w:t xml:space="preserve"> </w:t>
      </w:r>
      <w:r w:rsidR="00517EE5">
        <w:rPr>
          <w:rFonts w:eastAsiaTheme="minorEastAsia"/>
        </w:rPr>
        <w:t>Using the above method, we determine that the standard deviation for this value is</w:t>
      </w:r>
      <w:r w:rsidR="00282356">
        <w:rPr>
          <w:rFonts w:eastAsiaTheme="minorEastAsia"/>
        </w:rPr>
        <w:t xml:space="preserve"> 0.</w:t>
      </w:r>
      <w:r w:rsidR="00236BC9">
        <w:rPr>
          <w:rFonts w:eastAsiaTheme="minorEastAsia"/>
        </w:rPr>
        <w:t>148</w:t>
      </w:r>
      <w:r w:rsidR="00282356">
        <w:rPr>
          <w:rFonts w:eastAsiaTheme="minorEastAsia"/>
        </w:rPr>
        <w:t>.</w:t>
      </w:r>
      <w:r w:rsidR="00E817C4">
        <w:rPr>
          <w:rFonts w:eastAsiaTheme="minorEastAsia"/>
        </w:rPr>
        <w:t xml:space="preserve"> </w:t>
      </w:r>
      <w:r w:rsidR="00E817C4">
        <w:rPr>
          <w:rFonts w:eastAsiaTheme="minorEastAsia"/>
        </w:rPr>
        <w:fldChar w:fldCharType="begin"/>
      </w:r>
      <w:r w:rsidR="00E817C4">
        <w:rPr>
          <w:rFonts w:eastAsiaTheme="minorEastAsia"/>
        </w:rPr>
        <w:instrText xml:space="preserve"> REF _Ref28582960 \h </w:instrText>
      </w:r>
      <w:r w:rsidR="00BE7928">
        <w:rPr>
          <w:rFonts w:eastAsiaTheme="minorEastAsia"/>
        </w:rPr>
        <w:instrText xml:space="preserve"> \* MERGEFORMAT </w:instrText>
      </w:r>
      <w:r w:rsidR="00E817C4">
        <w:rPr>
          <w:rFonts w:eastAsiaTheme="minorEastAsia"/>
        </w:rPr>
      </w:r>
      <w:r w:rsidR="00E817C4">
        <w:rPr>
          <w:rFonts w:eastAsiaTheme="minorEastAsia"/>
        </w:rPr>
        <w:fldChar w:fldCharType="separate"/>
      </w:r>
      <w:r w:rsidR="00F86A73" w:rsidRPr="00E72229">
        <w:t xml:space="preserve">Figure </w:t>
      </w:r>
      <w:r w:rsidR="00F86A73">
        <w:rPr>
          <w:noProof/>
        </w:rPr>
        <w:t>5</w:t>
      </w:r>
      <w:r w:rsidR="00E817C4">
        <w:rPr>
          <w:rFonts w:eastAsiaTheme="minorEastAsia"/>
        </w:rPr>
        <w:fldChar w:fldCharType="end"/>
      </w:r>
      <w:r w:rsidR="00E817C4">
        <w:rPr>
          <w:rFonts w:eastAsiaTheme="minorEastAsia"/>
        </w:rPr>
        <w:t>A shows how predictions vary with variability in perceived distance: There is a slight logarithmic pattern, where response variability added by higher variability in perceived distance increases with decreas</w:t>
      </w:r>
      <w:r w:rsidR="00517EE5">
        <w:rPr>
          <w:rFonts w:eastAsiaTheme="minorEastAsia"/>
        </w:rPr>
        <w:t>ing</w:t>
      </w:r>
      <w:r w:rsidR="00E817C4">
        <w:rPr>
          <w:rFonts w:eastAsiaTheme="minorEastAsia"/>
        </w:rPr>
        <w:t xml:space="preserve"> gravity.</w:t>
      </w:r>
    </w:p>
    <w:p w14:paraId="60B316A8" w14:textId="7645A61F" w:rsidR="008734D9" w:rsidRDefault="00282356" w:rsidP="00BE7928">
      <w:pPr>
        <w:spacing w:line="480" w:lineRule="auto"/>
        <w:jc w:val="both"/>
        <w:rPr>
          <w:rFonts w:eastAsiaTheme="minorEastAsia"/>
        </w:rPr>
      </w:pPr>
      <w:r w:rsidRPr="004D128E">
        <w:rPr>
          <w:rFonts w:eastAsiaTheme="minorEastAsia"/>
          <w:b/>
        </w:rPr>
        <w:t>t</w:t>
      </w:r>
      <w:r>
        <w:rPr>
          <w:rFonts w:eastAsiaTheme="minorEastAsia"/>
        </w:rPr>
        <w:t> </w:t>
      </w:r>
      <w:r w:rsidR="001A57F8">
        <w:rPr>
          <w:rFonts w:eastAsiaTheme="minorEastAsia"/>
        </w:rPr>
        <w:t>– The</w:t>
      </w:r>
      <w:r w:rsidR="004D128E">
        <w:rPr>
          <w:rFonts w:eastAsiaTheme="minorEastAsia"/>
        </w:rPr>
        <w:t xml:space="preserve"> response time t is measured directly in our task, both in mean and variability.</w:t>
      </w:r>
    </w:p>
    <w:p w14:paraId="7F529505" w14:textId="7CDDF615" w:rsidR="006D769B" w:rsidRDefault="008734D9" w:rsidP="00BE7928">
      <w:pPr>
        <w:spacing w:line="480" w:lineRule="auto"/>
        <w:jc w:val="both"/>
        <w:rPr>
          <w:rFonts w:eastAsiaTheme="minorEastAsia"/>
        </w:rPr>
      </w:pPr>
      <w:r w:rsidRPr="001906EB">
        <w:rPr>
          <w:rFonts w:eastAsiaTheme="minorEastAsia"/>
          <w:b/>
        </w:rPr>
        <w:t xml:space="preserve">Remaining </w:t>
      </w:r>
      <w:r w:rsidR="00EB5FB9" w:rsidRPr="001906EB">
        <w:rPr>
          <w:rFonts w:eastAsiaTheme="minorEastAsia"/>
          <w:b/>
        </w:rPr>
        <w:t>Variabilit</w:t>
      </w:r>
      <w:r w:rsidR="001906EB" w:rsidRPr="001906EB">
        <w:rPr>
          <w:rFonts w:eastAsiaTheme="minorEastAsia"/>
          <w:b/>
        </w:rPr>
        <w:t>y</w:t>
      </w:r>
      <w:r w:rsidR="001906EB" w:rsidRPr="001906EB">
        <w:rPr>
          <w:rFonts w:eastAsiaTheme="minorEastAsia"/>
        </w:rPr>
        <w:t xml:space="preserve"> – </w:t>
      </w:r>
      <w:r w:rsidRPr="007614EE">
        <w:rPr>
          <w:rFonts w:eastAsiaTheme="minorEastAsia"/>
        </w:rPr>
        <w:t xml:space="preserve">For our simulations, we rely on accounting for every source of variability in the responses. </w:t>
      </w:r>
      <w:r w:rsidR="00E817C4">
        <w:rPr>
          <w:rFonts w:eastAsiaTheme="minorEastAsia"/>
        </w:rPr>
        <w:t xml:space="preserve">One source of error </w:t>
      </w:r>
      <w:r w:rsidRPr="007614EE">
        <w:rPr>
          <w:rFonts w:eastAsiaTheme="minorEastAsia"/>
        </w:rPr>
        <w:t>beyond</w:t>
      </w:r>
      <w:r w:rsidR="00880A31">
        <w:rPr>
          <w:rFonts w:eastAsiaTheme="minorEastAsia"/>
        </w:rPr>
        <w:t xml:space="preserve"> perceiving and representing</w:t>
      </w:r>
      <w:r w:rsidRPr="007614EE">
        <w:rPr>
          <w:rFonts w:eastAsiaTheme="minorEastAsia"/>
        </w:rPr>
        <w:t xml:space="preserve"> </w:t>
      </w:r>
      <w:r w:rsidRPr="00E817C4">
        <w:rPr>
          <w:rFonts w:eastAsiaTheme="minorEastAsia"/>
          <w:b/>
        </w:rPr>
        <w:t>g</w:t>
      </w:r>
      <w:r w:rsidRPr="007614EE">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E817C4">
        <w:rPr>
          <w:rFonts w:eastAsiaTheme="minorEastAsia"/>
        </w:rPr>
        <w:t xml:space="preserve"> is</w:t>
      </w:r>
      <w:r w:rsidRPr="007614EE">
        <w:rPr>
          <w:rFonts w:eastAsiaTheme="minorEastAsia"/>
        </w:rPr>
        <w:t xml:space="preserve"> the motor response</w:t>
      </w:r>
      <w:r w:rsidR="00EB5FB9" w:rsidRPr="007614EE">
        <w:rPr>
          <w:rFonts w:eastAsiaTheme="minorEastAsia"/>
        </w:rPr>
        <w:t>.</w:t>
      </w:r>
      <w:r w:rsidR="00580FFB">
        <w:rPr>
          <w:rFonts w:eastAsiaTheme="minorEastAsia"/>
        </w:rPr>
        <w:t xml:space="preserve"> </w:t>
      </w:r>
      <w:r w:rsidR="00E817C4">
        <w:rPr>
          <w:rFonts w:eastAsiaTheme="minorEastAsia"/>
        </w:rPr>
        <w:t xml:space="preserve">Motor responses are </w:t>
      </w:r>
      <w:r w:rsidR="00580FFB">
        <w:rPr>
          <w:rFonts w:eastAsiaTheme="minorEastAsia"/>
        </w:rPr>
        <w:t>likely to vary strongly between tasks</w:t>
      </w:r>
      <w:r w:rsidR="00F168DD">
        <w:rPr>
          <w:rFonts w:eastAsiaTheme="minorEastAsia"/>
        </w:rPr>
        <w:t xml:space="preserve">, </w:t>
      </w:r>
      <w:r w:rsidR="00580FFB">
        <w:rPr>
          <w:rFonts w:eastAsiaTheme="minorEastAsia"/>
        </w:rPr>
        <w:t>for which reason variability reported in the literature is of limited use.</w:t>
      </w:r>
      <w:r w:rsidR="00EB5FB9" w:rsidRPr="007614EE">
        <w:rPr>
          <w:rFonts w:eastAsiaTheme="minorEastAsia"/>
        </w:rPr>
        <w:t xml:space="preserve"> To estimate the error introduced by these further factors, we </w:t>
      </w:r>
      <w:r w:rsidR="00580FFB">
        <w:rPr>
          <w:rFonts w:eastAsiaTheme="minorEastAsia"/>
        </w:rPr>
        <w:t xml:space="preserve">thus </w:t>
      </w:r>
      <w:r w:rsidR="007614EE" w:rsidRPr="007614EE">
        <w:rPr>
          <w:rFonts w:eastAsiaTheme="minorEastAsia"/>
        </w:rPr>
        <w:t xml:space="preserve">take advantage of previous results indicating that the gravity model is not activated for upside-down motion </w:t>
      </w:r>
      <w:r w:rsidR="007614EE" w:rsidRPr="007614EE">
        <w:rPr>
          <w:rFonts w:eastAsiaTheme="minorEastAsia"/>
        </w:rPr>
        <w:fldChar w:fldCharType="begin" w:fldLock="1"/>
      </w:r>
      <w:r w:rsidR="0016268C">
        <w:rPr>
          <w:rFonts w:eastAsiaTheme="minorEastAsia"/>
        </w:rPr>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7614EE" w:rsidRPr="007614EE">
        <w:rPr>
          <w:rFonts w:eastAsiaTheme="minorEastAsia"/>
        </w:rPr>
        <w:fldChar w:fldCharType="separate"/>
      </w:r>
      <w:r w:rsidR="007614EE" w:rsidRPr="007614EE">
        <w:rPr>
          <w:rFonts w:eastAsiaTheme="minorEastAsia"/>
          <w:noProof/>
        </w:rPr>
        <w:t>(Indovina et al., 2005)</w:t>
      </w:r>
      <w:r w:rsidR="007614EE" w:rsidRPr="007614EE">
        <w:rPr>
          <w:rFonts w:eastAsiaTheme="minorEastAsia"/>
        </w:rPr>
        <w:fldChar w:fldCharType="end"/>
      </w:r>
      <w:r w:rsidR="00880A31">
        <w:rPr>
          <w:rFonts w:eastAsiaTheme="minorEastAsia"/>
        </w:rPr>
        <w:t>, a hypothesis which is also supported by our data.</w:t>
      </w:r>
    </w:p>
    <w:p w14:paraId="5EF0C83C" w14:textId="284C6A7F" w:rsidR="00314718" w:rsidRDefault="00580FFB" w:rsidP="00BE7928">
      <w:pPr>
        <w:spacing w:line="480" w:lineRule="auto"/>
        <w:jc w:val="both"/>
        <w:rPr>
          <w:rFonts w:eastAsiaTheme="minorEastAsia"/>
        </w:rPr>
      </w:pPr>
      <w:r>
        <w:rPr>
          <w:rFonts w:eastAsiaTheme="minorEastAsia"/>
        </w:rPr>
        <w:t xml:space="preserve">Under this assumption, we can use the responses for the inverted gravity condition to estimate the errors introduced </w:t>
      </w:r>
      <w:r w:rsidR="00314718">
        <w:rPr>
          <w:rFonts w:eastAsiaTheme="minorEastAsia"/>
        </w:rPr>
        <w:t>by motor variability</w:t>
      </w:r>
      <w:r>
        <w:rPr>
          <w:rFonts w:eastAsiaTheme="minorEastAsia"/>
        </w:rPr>
        <w:t>.</w:t>
      </w:r>
      <w:r w:rsidR="007614EE" w:rsidRPr="007614EE">
        <w:rPr>
          <w:rFonts w:eastAsiaTheme="minorEastAsia"/>
        </w:rPr>
        <w:t xml:space="preserve"> </w:t>
      </w:r>
      <w:r w:rsidR="00DC2DE7">
        <w:rPr>
          <w:rFonts w:eastAsiaTheme="minorEastAsia"/>
        </w:rPr>
        <w:t>An inactivation of the gravity prior</w:t>
      </w:r>
      <w:r w:rsidR="007614EE">
        <w:rPr>
          <w:rFonts w:eastAsiaTheme="minorEastAsia"/>
        </w:rPr>
        <w:t xml:space="preserve"> </w:t>
      </w:r>
      <w:r w:rsidR="00DC2DE7">
        <w:rPr>
          <w:rFonts w:eastAsiaTheme="minorEastAsia"/>
        </w:rPr>
        <w:t xml:space="preserve">would mean that </w:t>
      </w:r>
      <w:r w:rsidR="00DC2DE7" w:rsidRPr="00DC2DE7">
        <w:t>t</w:t>
      </w:r>
      <w:r w:rsidR="007614EE" w:rsidRPr="00DC2DE7">
        <w:t>he</w:t>
      </w:r>
      <w:r w:rsidR="007614EE">
        <w:rPr>
          <w:rFonts w:eastAsiaTheme="minorEastAsia"/>
        </w:rPr>
        <w:t xml:space="preserve"> gravity acting upon the object </w:t>
      </w:r>
      <w:r w:rsidR="00880A31">
        <w:rPr>
          <w:rFonts w:eastAsiaTheme="minorEastAsia"/>
        </w:rPr>
        <w:t>should be</w:t>
      </w:r>
      <w:r w:rsidR="00DC2DE7">
        <w:rPr>
          <w:rFonts w:eastAsiaTheme="minorEastAsia"/>
        </w:rPr>
        <w:t xml:space="preserve"> represented </w:t>
      </w:r>
      <w:r w:rsidR="007614EE">
        <w:rPr>
          <w:rFonts w:eastAsiaTheme="minorEastAsia"/>
        </w:rPr>
        <w:t xml:space="preserve">with </w:t>
      </w:r>
      <w:r w:rsidR="00880A31">
        <w:rPr>
          <w:rFonts w:eastAsiaTheme="minorEastAsia"/>
        </w:rPr>
        <w:t xml:space="preserve">the </w:t>
      </w:r>
      <w:r w:rsidR="0016268C">
        <w:rPr>
          <w:rFonts w:eastAsiaTheme="minorEastAsia"/>
        </w:rPr>
        <w:t>same</w:t>
      </w:r>
      <w:r w:rsidR="007614EE">
        <w:rPr>
          <w:rFonts w:eastAsiaTheme="minorEastAsia"/>
        </w:rPr>
        <w:t xml:space="preserve"> precision </w:t>
      </w:r>
      <w:r w:rsidR="003A000F">
        <w:rPr>
          <w:rFonts w:eastAsiaTheme="minorEastAsia"/>
        </w:rPr>
        <w:t>as</w:t>
      </w:r>
      <w:r w:rsidR="007614EE">
        <w:rPr>
          <w:rFonts w:eastAsiaTheme="minorEastAsia"/>
        </w:rPr>
        <w:t xml:space="preserve"> arbitrary </w:t>
      </w:r>
      <w:r w:rsidR="001906EB">
        <w:rPr>
          <w:rFonts w:eastAsiaTheme="minorEastAsia"/>
        </w:rPr>
        <w:t>gravities</w:t>
      </w:r>
      <w:r w:rsidR="007614EE">
        <w:rPr>
          <w:rFonts w:eastAsiaTheme="minorEastAsia"/>
        </w:rPr>
        <w:t>.</w:t>
      </w:r>
      <w:r w:rsidR="0029217A">
        <w:rPr>
          <w:rFonts w:eastAsiaTheme="minorEastAsia"/>
        </w:rPr>
        <w:t xml:space="preserve"> </w:t>
      </w:r>
      <w:r w:rsidR="0016268C">
        <w:rPr>
          <w:rFonts w:eastAsiaTheme="minorEastAsia"/>
        </w:rPr>
        <w:t>We previously found Weber fractions of between 13 % and beyond 30% for arbitrary gravit</w:t>
      </w:r>
      <w:r w:rsidR="00880A31">
        <w:rPr>
          <w:rFonts w:eastAsiaTheme="minorEastAsia"/>
        </w:rPr>
        <w:t>ies</w:t>
      </w:r>
      <w:r w:rsidR="00E642AA">
        <w:rPr>
          <w:rFonts w:eastAsiaTheme="minorEastAsia"/>
        </w:rPr>
        <w:t xml:space="preserve"> </w:t>
      </w:r>
      <w:r w:rsidR="00E642AA">
        <w:rPr>
          <w:rFonts w:eastAsiaTheme="minorEastAsia"/>
        </w:rPr>
        <w:fldChar w:fldCharType="begin" w:fldLock="1"/>
      </w:r>
      <w:r w:rsidR="001D4CE3">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Hagenfeld, &amp; López-Moliner, 2018)","manualFormatting":"(Jörges, Hagenfeld, &amp; López-Moliner, 2018)","plainTextFormattedCitation":"(Björn Jörges, Hagenfeld, &amp; López-Moliner, 2018)","previouslyFormattedCitation":"(Björn Jörges, Hagenfeld, &amp; López-Moliner, 2018)"},"properties":{"noteIndex":0},"schema":"https://github.com/citation-style-language/schema/raw/master/csl-citation.json"}</w:instrText>
      </w:r>
      <w:r w:rsidR="00E642AA">
        <w:rPr>
          <w:rFonts w:eastAsiaTheme="minorEastAsia"/>
        </w:rPr>
        <w:fldChar w:fldCharType="separate"/>
      </w:r>
      <w:r w:rsidR="004A436E" w:rsidRPr="004A436E">
        <w:rPr>
          <w:rFonts w:eastAsiaTheme="minorEastAsia"/>
          <w:noProof/>
        </w:rPr>
        <w:t>(Jörges, Hagenfeld, &amp; López-Moliner, 2018)</w:t>
      </w:r>
      <w:r w:rsidR="00E642AA">
        <w:rPr>
          <w:rFonts w:eastAsiaTheme="minorEastAsia"/>
        </w:rPr>
        <w:fldChar w:fldCharType="end"/>
      </w:r>
      <w:r w:rsidR="0016268C">
        <w:rPr>
          <w:rFonts w:eastAsiaTheme="minorEastAsia"/>
        </w:rPr>
        <w:t xml:space="preserve">, which is in line with those found for </w:t>
      </w:r>
      <w:r w:rsidR="00DC2DE7">
        <w:rPr>
          <w:rFonts w:eastAsiaTheme="minorEastAsia"/>
        </w:rPr>
        <w:t xml:space="preserve">linear </w:t>
      </w:r>
      <w:r w:rsidR="0016268C">
        <w:rPr>
          <w:rFonts w:eastAsiaTheme="minorEastAsia"/>
        </w:rPr>
        <w:t>accelerations</w:t>
      </w:r>
      <w:r w:rsidR="00E642AA">
        <w:rPr>
          <w:rFonts w:eastAsiaTheme="minorEastAsia"/>
        </w:rPr>
        <w:t xml:space="preserve"> </w:t>
      </w:r>
      <w:r w:rsidR="00E642AA">
        <w:rPr>
          <w:rFonts w:eastAsiaTheme="minorEastAsia"/>
        </w:rPr>
        <w:fldChar w:fldCharType="begin" w:fldLock="1"/>
      </w:r>
      <w:r w:rsidR="008A7B56">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acceleration","type":"article-journal","volume":"32"},"uris":["http://www.mendeley.com/documents/?uuid=87640a2d-be6b-495c-bff6-916e102dcbe8"]}],"mendeley":{"formattedCitation":"(Werkhoven, Snippe, &amp; Alexander, 1992)","plainTextFormattedCitation":"(Werkhoven, Snippe, &amp; Alexander, 1992)","previouslyFormattedCitation":"(Werkhoven, Snippe, &amp; Alexander, 1992)"},"properties":{"noteIndex":0},"schema":"https://github.com/citation-style-language/schema/raw/master/csl-citation.json"}</w:instrText>
      </w:r>
      <w:r w:rsidR="00E642AA">
        <w:rPr>
          <w:rFonts w:eastAsiaTheme="minorEastAsia"/>
        </w:rPr>
        <w:fldChar w:fldCharType="separate"/>
      </w:r>
      <w:r w:rsidR="00E642AA" w:rsidRPr="00E642AA">
        <w:rPr>
          <w:rFonts w:eastAsiaTheme="minorEastAsia"/>
          <w:noProof/>
        </w:rPr>
        <w:t>(Werkhoven, Snippe, &amp; Alexander, 1992)</w:t>
      </w:r>
      <w:r w:rsidR="00E642AA">
        <w:rPr>
          <w:rFonts w:eastAsiaTheme="minorEastAsia"/>
        </w:rPr>
        <w:fldChar w:fldCharType="end"/>
      </w:r>
      <w:r w:rsidR="0016268C">
        <w:rPr>
          <w:rFonts w:eastAsiaTheme="minorEastAsia"/>
        </w:rPr>
        <w:t>. We thus proceed with a value of 20 %</w:t>
      </w:r>
      <w:r w:rsidR="00DC2DE7">
        <w:rPr>
          <w:rFonts w:eastAsiaTheme="minorEastAsia"/>
        </w:rPr>
        <w:t>, which corresponds to a normalized standard deviation of 0.295</w:t>
      </w:r>
      <w:r w:rsidR="00880A31">
        <w:rPr>
          <w:rFonts w:eastAsiaTheme="minorEastAsia"/>
        </w:rPr>
        <w:t xml:space="preserve"> (see procedure above)</w:t>
      </w:r>
      <w:r w:rsidR="00DC2DE7">
        <w:rPr>
          <w:rFonts w:eastAsiaTheme="minorEastAsia"/>
        </w:rPr>
        <w:t>.</w:t>
      </w:r>
      <w:r w:rsidR="004851B6">
        <w:rPr>
          <w:rFonts w:eastAsiaTheme="minorEastAsia"/>
        </w:rPr>
        <w:t xml:space="preserve"> </w:t>
      </w:r>
    </w:p>
    <w:p w14:paraId="3987C14C" w14:textId="51D51A91" w:rsidR="00314718" w:rsidRDefault="00E817C4" w:rsidP="00BE7928">
      <w:pPr>
        <w:spacing w:line="480" w:lineRule="auto"/>
        <w:jc w:val="both"/>
        <w:rPr>
          <w:rFonts w:eastAsiaTheme="minorEastAsia"/>
        </w:rPr>
      </w:pPr>
      <w:r>
        <w:rPr>
          <w:rFonts w:eastAsiaTheme="minorEastAsia"/>
        </w:rPr>
        <w:lastRenderedPageBreak/>
        <w:t xml:space="preserve">There are further constraints: First, the motor variability should be lower than the overall variabilities observed for each condition (the minimum is just over 0.08 s for the short occlusion condition with 1.3g and an initial vertical velocity of 4.5 m/s). Second, the </w:t>
      </w:r>
      <w:r w:rsidR="0080133C">
        <w:rPr>
          <w:rFonts w:eastAsiaTheme="minorEastAsia"/>
        </w:rPr>
        <w:t>motor variability should be equal across conditions and be independent of gravity, initial velocity</w:t>
      </w:r>
      <w:r>
        <w:rPr>
          <w:rFonts w:eastAsiaTheme="minorEastAsia"/>
        </w:rPr>
        <w:t xml:space="preserve"> </w:t>
      </w:r>
      <w:r w:rsidR="0080133C">
        <w:rPr>
          <w:rFonts w:eastAsiaTheme="minorEastAsia"/>
        </w:rPr>
        <w:t>and Occlusion category</w:t>
      </w:r>
      <w:r w:rsidR="00A25CC3">
        <w:rPr>
          <w:rFonts w:eastAsiaTheme="minorEastAsia"/>
        </w:rPr>
        <w:t xml:space="preserve"> (see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F86A73" w:rsidRPr="00E72229">
        <w:t xml:space="preserve">Figure </w:t>
      </w:r>
      <w:r w:rsidR="00F86A73">
        <w:rPr>
          <w:noProof/>
        </w:rPr>
        <w:t>5</w:t>
      </w:r>
      <w:r w:rsidR="00A25CC3">
        <w:rPr>
          <w:rFonts w:eastAsiaTheme="minorEastAsia"/>
        </w:rPr>
        <w:fldChar w:fldCharType="end"/>
      </w:r>
      <w:r w:rsidR="00A25CC3">
        <w:rPr>
          <w:rFonts w:eastAsiaTheme="minorEastAsia"/>
        </w:rPr>
        <w:t>B)</w:t>
      </w:r>
      <w:r w:rsidR="0080133C">
        <w:rPr>
          <w:rFonts w:eastAsiaTheme="minorEastAsia"/>
        </w:rPr>
        <w:t xml:space="preserve">. </w:t>
      </w:r>
    </w:p>
    <w:p w14:paraId="7777A57C" w14:textId="3434296A" w:rsidR="00B94CFD" w:rsidRDefault="001906EB" w:rsidP="00BE7928">
      <w:pPr>
        <w:spacing w:line="480" w:lineRule="auto"/>
        <w:jc w:val="both"/>
        <w:rPr>
          <w:rFonts w:eastAsiaTheme="minorEastAsia"/>
        </w:rPr>
      </w:pPr>
      <w:r>
        <w:rPr>
          <w:rFonts w:eastAsiaTheme="minorEastAsia"/>
        </w:rPr>
        <w:t>We put these</w:t>
      </w:r>
      <w:r w:rsidR="00FA364D">
        <w:rPr>
          <w:rFonts w:eastAsiaTheme="minorEastAsia"/>
        </w:rPr>
        <w:t xml:space="preserve"> values for </w:t>
      </w:r>
      <w:r w:rsidR="00FA364D" w:rsidRPr="006D11B3">
        <w:rPr>
          <w:rFonts w:eastAsiaTheme="minorEastAsia"/>
          <w:b/>
          <w:bCs/>
        </w:rPr>
        <w:t>g</w:t>
      </w:r>
      <w:r w:rsidR="00FA364D">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FA364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FA364D">
        <w:rPr>
          <w:rFonts w:eastAsiaTheme="minorEastAsia"/>
        </w:rPr>
        <w:t xml:space="preserve"> </w:t>
      </w:r>
      <w:r>
        <w:rPr>
          <w:rFonts w:eastAsiaTheme="minorEastAsia"/>
        </w:rPr>
        <w:t xml:space="preserve">into Equation 4 </w:t>
      </w:r>
      <w:r w:rsidR="00FA364D">
        <w:rPr>
          <w:rFonts w:eastAsiaTheme="minorEastAsia"/>
        </w:rPr>
        <w:t>to</w:t>
      </w:r>
      <w:r w:rsidR="00B94CFD">
        <w:rPr>
          <w:rFonts w:eastAsiaTheme="minorEastAsia"/>
        </w:rPr>
        <w:t xml:space="preserve"> stimulate </w:t>
      </w:r>
      <w:r w:rsidR="00C6015C">
        <w:rPr>
          <w:rFonts w:eastAsiaTheme="minorEastAsia"/>
        </w:rPr>
        <w:t xml:space="preserve">the </w:t>
      </w:r>
      <w:r>
        <w:rPr>
          <w:rFonts w:eastAsiaTheme="minorEastAsia"/>
        </w:rPr>
        <w:t>temporal responses</w:t>
      </w:r>
      <w:r w:rsidR="00C6015C">
        <w:rPr>
          <w:rFonts w:eastAsiaTheme="minorEastAsia"/>
        </w:rPr>
        <w:t xml:space="preserve"> for each trial </w:t>
      </w:r>
      <w:r w:rsidR="00905A4B">
        <w:rPr>
          <w:rFonts w:eastAsiaTheme="minorEastAsia"/>
        </w:rPr>
        <w:t>1</w:t>
      </w:r>
      <w:r w:rsidR="00CE0600">
        <w:rPr>
          <w:rFonts w:eastAsiaTheme="minorEastAsia"/>
        </w:rPr>
        <w:t>000</w:t>
      </w:r>
      <w:r w:rsidR="00C6015C">
        <w:rPr>
          <w:rFonts w:eastAsiaTheme="minorEastAsia"/>
        </w:rPr>
        <w:t xml:space="preserve"> times</w:t>
      </w:r>
      <w:r w:rsidR="00EE79BD">
        <w:rPr>
          <w:rFonts w:eastAsiaTheme="minorEastAsia"/>
        </w:rPr>
        <w:t xml:space="preserve">. </w:t>
      </w:r>
      <w:r w:rsidR="00B804B7">
        <w:rPr>
          <w:rFonts w:eastAsiaTheme="minorEastAsia"/>
        </w:rPr>
        <w:t xml:space="preserve">We 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rrors (RMSE)</w:t>
      </w:r>
      <w:r w:rsidR="00B804B7">
        <w:rPr>
          <w:rFonts w:eastAsiaTheme="minorEastAsia"/>
        </w:rPr>
        <w:t xml:space="preserve"> between the standard deviations of the simulated timing error and the observed timing errors. After visualizing a relevant range of candidate values for the standard deviation of the remaining errors (see</w:t>
      </w:r>
      <w:r w:rsidR="003A56D0">
        <w:rPr>
          <w:rFonts w:eastAsiaTheme="minorEastAsia"/>
        </w:rPr>
        <w:t xml:space="preserve"> </w:t>
      </w:r>
      <w:r w:rsidR="003A56D0">
        <w:rPr>
          <w:rFonts w:eastAsiaTheme="minorEastAsia"/>
        </w:rPr>
        <w:fldChar w:fldCharType="begin"/>
      </w:r>
      <w:r w:rsidR="003A56D0">
        <w:rPr>
          <w:rFonts w:eastAsiaTheme="minorEastAsia"/>
        </w:rPr>
        <w:instrText xml:space="preserve"> REF _Ref28033242 \h </w:instrText>
      </w:r>
      <w:r w:rsidR="00BE7928">
        <w:rPr>
          <w:rFonts w:eastAsiaTheme="minorEastAsia"/>
        </w:rPr>
        <w:instrText xml:space="preserve"> \* MERGEFORMAT </w:instrText>
      </w:r>
      <w:r w:rsidR="003A56D0">
        <w:rPr>
          <w:rFonts w:eastAsiaTheme="minorEastAsia"/>
        </w:rPr>
      </w:r>
      <w:r w:rsidR="003A56D0">
        <w:rPr>
          <w:rFonts w:eastAsiaTheme="minorEastAsia"/>
        </w:rPr>
        <w:fldChar w:fldCharType="separate"/>
      </w:r>
      <w:r w:rsidR="00F86A73" w:rsidRPr="00456512">
        <w:t xml:space="preserve">Figure </w:t>
      </w:r>
      <w:r w:rsidR="00F86A73">
        <w:rPr>
          <w:noProof/>
        </w:rPr>
        <w:t>6</w:t>
      </w:r>
      <w:r w:rsidR="003A56D0">
        <w:rPr>
          <w:rFonts w:eastAsiaTheme="minorEastAsia"/>
        </w:rPr>
        <w:fldChar w:fldCharType="end"/>
      </w:r>
      <w:r w:rsidR="00B804B7">
        <w:rPr>
          <w:rFonts w:eastAsiaTheme="minorEastAsia"/>
        </w:rPr>
        <w:t xml:space="preserve">), we use </w:t>
      </w:r>
      <w:r w:rsidR="00EE79BD">
        <w:rPr>
          <w:rFonts w:eastAsiaTheme="minorEastAsia"/>
        </w:rPr>
        <w:t xml:space="preserve">the </w:t>
      </w:r>
      <w:proofErr w:type="spellStart"/>
      <w:r w:rsidR="00EE79BD">
        <w:rPr>
          <w:rFonts w:eastAsiaTheme="minorEastAsia"/>
        </w:rPr>
        <w:t>optim</w:t>
      </w:r>
      <w:proofErr w:type="spellEnd"/>
      <w:r w:rsidR="00EE79BD">
        <w:rPr>
          <w:rFonts w:eastAsiaTheme="minorEastAsia"/>
        </w:rPr>
        <w:t>() function implemented in R</w:t>
      </w:r>
      <w:r w:rsidR="00B804B7">
        <w:rPr>
          <w:rFonts w:eastAsiaTheme="minorEastAsia"/>
        </w:rPr>
        <w:t xml:space="preserve"> with a lower bound of 0.</w:t>
      </w:r>
      <w:r w:rsidR="00B025FE">
        <w:rPr>
          <w:rFonts w:eastAsiaTheme="minorEastAsia"/>
        </w:rPr>
        <w:t>0</w:t>
      </w:r>
      <w:r w:rsidR="00B804B7">
        <w:rPr>
          <w:rFonts w:eastAsiaTheme="minorEastAsia"/>
        </w:rPr>
        <w:t>1</w:t>
      </w:r>
      <w:r w:rsidR="00314718">
        <w:rPr>
          <w:rFonts w:eastAsiaTheme="minorEastAsia"/>
        </w:rPr>
        <w:t> s</w:t>
      </w:r>
      <w:r w:rsidR="00B804B7">
        <w:rPr>
          <w:rFonts w:eastAsiaTheme="minorEastAsia"/>
        </w:rPr>
        <w:t xml:space="preserve"> and an upper bound of 0.</w:t>
      </w:r>
      <w:r w:rsidR="00B025FE">
        <w:rPr>
          <w:rFonts w:eastAsiaTheme="minorEastAsia"/>
        </w:rPr>
        <w:t>0</w:t>
      </w:r>
      <w:r w:rsidR="00314718">
        <w:rPr>
          <w:rFonts w:eastAsiaTheme="minorEastAsia"/>
        </w:rPr>
        <w:t>6 s</w:t>
      </w:r>
      <w:r w:rsidR="00B804B7">
        <w:rPr>
          <w:rFonts w:eastAsiaTheme="minorEastAsia"/>
        </w:rPr>
        <w:t xml:space="preserve"> to find the best fit for the observed data.</w:t>
      </w:r>
      <w:r w:rsidR="00EE79BD">
        <w:rPr>
          <w:rFonts w:eastAsiaTheme="minorEastAsia"/>
        </w:rPr>
        <w:t xml:space="preserve"> </w:t>
      </w:r>
      <w:r w:rsidR="00B94CFD">
        <w:rPr>
          <w:rFonts w:eastAsiaTheme="minorEastAsia"/>
        </w:rPr>
        <w:t xml:space="preserve">We found the best fit for </w:t>
      </w:r>
      <w:r w:rsidR="004850CC">
        <w:rPr>
          <w:rFonts w:eastAsiaTheme="minorEastAsia"/>
        </w:rPr>
        <w:t xml:space="preserve">a </w:t>
      </w:r>
      <w:r w:rsidR="00C03A45">
        <w:rPr>
          <w:rFonts w:eastAsiaTheme="minorEastAsia"/>
        </w:rPr>
        <w:t>standard deviation of 0.03 s, with an RMSE of 0.015 s</w:t>
      </w:r>
      <w:r w:rsidR="004850CC">
        <w:rPr>
          <w:rFonts w:eastAsiaTheme="minorEastAsia"/>
        </w:rPr>
        <w:t>.</w:t>
      </w:r>
    </w:p>
    <w:p w14:paraId="51206F38" w14:textId="77777777" w:rsidR="005368D2" w:rsidRDefault="005368D2" w:rsidP="00BE7928">
      <w:pPr>
        <w:spacing w:line="480" w:lineRule="auto"/>
        <w:jc w:val="both"/>
        <w:rPr>
          <w:rFonts w:eastAsiaTheme="minorEastAsia"/>
        </w:rPr>
      </w:pPr>
    </w:p>
    <w:p w14:paraId="3986126C" w14:textId="27D3A2E9" w:rsidR="00FA364D" w:rsidRDefault="00FA364D" w:rsidP="00BE7928">
      <w:pPr>
        <w:pStyle w:val="Heading3"/>
        <w:spacing w:line="480" w:lineRule="auto"/>
      </w:pPr>
      <w:r w:rsidRPr="00FA364D">
        <w:t>The Standard Deviation of the Gravity Prior</w:t>
      </w:r>
    </w:p>
    <w:p w14:paraId="4568C0F2" w14:textId="6A82DD68" w:rsidR="00515BFC" w:rsidRDefault="00FA364D" w:rsidP="00BE7928">
      <w:pPr>
        <w:spacing w:line="480" w:lineRule="auto"/>
        <w:jc w:val="both"/>
        <w:rPr>
          <w:rFonts w:eastAsiaTheme="minorEastAsia"/>
        </w:rPr>
      </w:pPr>
      <w:r>
        <w:rPr>
          <w:rFonts w:eastAsiaTheme="minorEastAsia"/>
        </w:rPr>
        <w:t xml:space="preserve">We then proceed to apply these values to simulate </w:t>
      </w:r>
      <w:r w:rsidR="00DD1FC4">
        <w:rPr>
          <w:rFonts w:eastAsiaTheme="minorEastAsia"/>
        </w:rPr>
        <w:t xml:space="preserve">data sets </w:t>
      </w:r>
      <w:r>
        <w:rPr>
          <w:rFonts w:eastAsiaTheme="minorEastAsia"/>
        </w:rPr>
        <w:t>based on the above assumptions, get the standard deviations for the timing error and compare them to standard deviations of the observed timing errors</w:t>
      </w:r>
      <w:r w:rsidR="00FB13C4">
        <w:rPr>
          <w:rFonts w:eastAsiaTheme="minorEastAsia"/>
        </w:rPr>
        <w:t xml:space="preserve"> (Method 1)</w:t>
      </w:r>
      <w:r w:rsidR="00DD1FC4">
        <w:rPr>
          <w:rFonts w:eastAsiaTheme="minorEastAsia"/>
        </w:rPr>
        <w:t xml:space="preserve">. We restrict this </w:t>
      </w:r>
      <w:r w:rsidR="0065543C">
        <w:rPr>
          <w:rFonts w:eastAsiaTheme="minorEastAsia"/>
        </w:rPr>
        <w:t xml:space="preserve">comparison to the 0.7g/0.85g/1g/1.15/1.3g condition, as we expect the gravity model not to be activated for inverted gravitational motion. For a discussion of factors impacting the performance of the model for short occlusions, see </w:t>
      </w:r>
      <w:r w:rsidR="0065543C">
        <w:rPr>
          <w:rFonts w:eastAsiaTheme="minorEastAsia"/>
        </w:rPr>
        <w:fldChar w:fldCharType="begin" w:fldLock="1"/>
      </w:r>
      <w:r w:rsidR="00314718">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et al., 2018)","manualFormatting":"(Jörges et al., 2018)","plainTextFormattedCitation":"(Björn Jörges et al., 2018)","previouslyFormattedCitation":"(Björn Jörges et al., 2018)"},"properties":{"noteIndex":0},"schema":"https://github.com/citation-style-language/schema/raw/master/csl-citation.json"}</w:instrText>
      </w:r>
      <w:r w:rsidR="0065543C">
        <w:rPr>
          <w:rFonts w:eastAsiaTheme="minorEastAsia"/>
        </w:rPr>
        <w:fldChar w:fldCharType="separate"/>
      </w:r>
      <w:r w:rsidR="004A436E" w:rsidRPr="004A436E">
        <w:rPr>
          <w:rFonts w:eastAsiaTheme="minorEastAsia"/>
          <w:noProof/>
        </w:rPr>
        <w:t>(Jörges et al., 2018)</w:t>
      </w:r>
      <w:r w:rsidR="0065543C">
        <w:rPr>
          <w:rFonts w:eastAsiaTheme="minorEastAsia"/>
        </w:rPr>
        <w:fldChar w:fldCharType="end"/>
      </w:r>
      <w:r w:rsidR="0065543C">
        <w:rPr>
          <w:rFonts w:eastAsiaTheme="minorEastAsia"/>
        </w:rPr>
        <w:t xml:space="preserve">. We first simulate a range of sensible standard deviations (from </w:t>
      </w:r>
      <w:r w:rsidR="006B0775">
        <w:rPr>
          <w:rFonts w:eastAsiaTheme="minorEastAsia"/>
        </w:rPr>
        <w:t>0</w:t>
      </w:r>
      <w:r w:rsidR="003A000F">
        <w:rPr>
          <w:rFonts w:eastAsiaTheme="minorEastAsia"/>
        </w:rPr>
        <w:t> m/s²</w:t>
      </w:r>
      <w:r w:rsidR="0065543C">
        <w:rPr>
          <w:rFonts w:eastAsiaTheme="minorEastAsia"/>
        </w:rPr>
        <w:t xml:space="preserve">, corresponding to an </w:t>
      </w:r>
      <w:r w:rsidR="006B0775">
        <w:rPr>
          <w:rFonts w:eastAsiaTheme="minorEastAsia"/>
        </w:rPr>
        <w:t xml:space="preserve">impossibly </w:t>
      </w:r>
      <w:r w:rsidR="0065543C">
        <w:rPr>
          <w:rFonts w:eastAsiaTheme="minorEastAsia"/>
        </w:rPr>
        <w:t>precise representation, to 0.</w:t>
      </w:r>
      <w:r w:rsidR="001940CF">
        <w:rPr>
          <w:rFonts w:eastAsiaTheme="minorEastAsia"/>
        </w:rPr>
        <w:t>2</w:t>
      </w:r>
      <w:r w:rsidR="008679CF">
        <w:rPr>
          <w:rFonts w:eastAsiaTheme="minorEastAsia"/>
        </w:rPr>
        <w:t>8</w:t>
      </w:r>
      <w:r w:rsidR="003A000F">
        <w:rPr>
          <w:rFonts w:eastAsiaTheme="minorEastAsia"/>
        </w:rPr>
        <w:t> m/s²</w:t>
      </w:r>
      <w:r w:rsidR="0065543C">
        <w:rPr>
          <w:rFonts w:eastAsiaTheme="minorEastAsia"/>
        </w:rPr>
        <w:t xml:space="preserve">, corresponding to a </w:t>
      </w:r>
      <w:r w:rsidR="00B804B7">
        <w:rPr>
          <w:rFonts w:eastAsiaTheme="minorEastAsia"/>
        </w:rPr>
        <w:t xml:space="preserve">quite </w:t>
      </w:r>
      <w:r w:rsidR="006C6CE5">
        <w:rPr>
          <w:rFonts w:eastAsiaTheme="minorEastAsia"/>
        </w:rPr>
        <w:t xml:space="preserve">imprecise representation with </w:t>
      </w:r>
      <w:r w:rsidR="00B804B7">
        <w:rPr>
          <w:rFonts w:eastAsiaTheme="minorEastAsia"/>
        </w:rPr>
        <w:t xml:space="preserve">limited </w:t>
      </w:r>
      <w:r w:rsidR="006C6CE5">
        <w:rPr>
          <w:rFonts w:eastAsiaTheme="minorEastAsia"/>
        </w:rPr>
        <w:t>impact on the final percept</w:t>
      </w:r>
      <w:r w:rsidR="0065543C">
        <w:rPr>
          <w:rFonts w:eastAsiaTheme="minorEastAsia"/>
        </w:rPr>
        <w:t>, in steps of 0.0</w:t>
      </w:r>
      <w:r w:rsidR="00090B49">
        <w:rPr>
          <w:rFonts w:eastAsiaTheme="minorEastAsia"/>
        </w:rPr>
        <w:t>3</w:t>
      </w:r>
      <w:r w:rsidR="003A000F">
        <w:rPr>
          <w:rFonts w:eastAsiaTheme="minorEastAsia"/>
        </w:rPr>
        <w:t> m/s²</w:t>
      </w:r>
      <w:r w:rsidR="0065543C">
        <w:rPr>
          <w:rFonts w:eastAsiaTheme="minorEastAsia"/>
        </w:rPr>
        <w:t>) to determine the lower and upper bounds of the optimization interval</w:t>
      </w:r>
      <w:r w:rsidR="00B804B7">
        <w:rPr>
          <w:rFonts w:eastAsiaTheme="minorEastAsia"/>
        </w:rPr>
        <w:t xml:space="preserve"> (see</w:t>
      </w:r>
      <w:r w:rsidR="00970297">
        <w:rPr>
          <w:rFonts w:eastAsiaTheme="minorEastAsia"/>
        </w:rPr>
        <w:t xml:space="preserve"> </w:t>
      </w:r>
      <w:r w:rsidR="00970297">
        <w:rPr>
          <w:rFonts w:eastAsiaTheme="minorEastAsia"/>
        </w:rPr>
        <w:fldChar w:fldCharType="begin"/>
      </w:r>
      <w:r w:rsidR="00970297">
        <w:rPr>
          <w:rFonts w:eastAsiaTheme="minorEastAsia"/>
        </w:rPr>
        <w:instrText xml:space="preserve"> REF _Ref28033214 \h </w:instrText>
      </w:r>
      <w:r w:rsidR="00BE7928">
        <w:rPr>
          <w:rFonts w:eastAsiaTheme="minorEastAsia"/>
        </w:rPr>
        <w:instrText xml:space="preserve"> \* MERGEFORMAT </w:instrText>
      </w:r>
      <w:r w:rsidR="00970297">
        <w:rPr>
          <w:rFonts w:eastAsiaTheme="minorEastAsia"/>
        </w:rPr>
      </w:r>
      <w:r w:rsidR="00970297">
        <w:rPr>
          <w:rFonts w:eastAsiaTheme="minorEastAsia"/>
        </w:rPr>
        <w:fldChar w:fldCharType="separate"/>
      </w:r>
      <w:r w:rsidR="00F86A73" w:rsidRPr="00456512">
        <w:t xml:space="preserve">Figure </w:t>
      </w:r>
      <w:r w:rsidR="00F86A73">
        <w:rPr>
          <w:noProof/>
        </w:rPr>
        <w:t>7</w:t>
      </w:r>
      <w:r w:rsidR="00970297">
        <w:rPr>
          <w:rFonts w:eastAsiaTheme="minorEastAsia"/>
        </w:rPr>
        <w:fldChar w:fldCharType="end"/>
      </w:r>
      <w:r w:rsidR="00B804B7">
        <w:rPr>
          <w:rFonts w:eastAsiaTheme="minorEastAsia"/>
        </w:rPr>
        <w:t>)</w:t>
      </w:r>
      <w:r w:rsidR="00A25CC3">
        <w:rPr>
          <w:rFonts w:eastAsiaTheme="minorEastAsia"/>
        </w:rPr>
        <w:t xml:space="preserv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F86A73" w:rsidRPr="00E72229">
        <w:t xml:space="preserve">Figure </w:t>
      </w:r>
      <w:r w:rsidR="00F86A73">
        <w:rPr>
          <w:noProof/>
        </w:rPr>
        <w:t>5</w:t>
      </w:r>
      <w:r w:rsidR="00A25CC3">
        <w:rPr>
          <w:rFonts w:eastAsiaTheme="minorEastAsia"/>
        </w:rPr>
        <w:fldChar w:fldCharType="end"/>
      </w:r>
      <w:r w:rsidR="00A25CC3">
        <w:rPr>
          <w:rFonts w:eastAsiaTheme="minorEastAsia"/>
        </w:rPr>
        <w:t>D furthermore highlights how changes in the simulated variability of the represented gravity changes response variability.</w:t>
      </w:r>
    </w:p>
    <w:p w14:paraId="7D1D7ABD" w14:textId="656A848D" w:rsidR="00FA364D" w:rsidRDefault="0065543C" w:rsidP="00BE7928">
      <w:pPr>
        <w:spacing w:line="480" w:lineRule="auto"/>
        <w:jc w:val="both"/>
        <w:rPr>
          <w:rFonts w:eastAsiaTheme="minorEastAsia"/>
        </w:rPr>
      </w:pPr>
      <w:r>
        <w:rPr>
          <w:rFonts w:eastAsiaTheme="minorEastAsia"/>
        </w:rPr>
        <w:lastRenderedPageBreak/>
        <w:t xml:space="preserve">We find </w:t>
      </w:r>
      <w:r w:rsidR="006C6CE5">
        <w:rPr>
          <w:rFonts w:eastAsiaTheme="minorEastAsia"/>
        </w:rPr>
        <w:t xml:space="preserve">the errors </w:t>
      </w:r>
      <w:r>
        <w:rPr>
          <w:rFonts w:eastAsiaTheme="minorEastAsia"/>
        </w:rPr>
        <w:t>to be lowest around 0.</w:t>
      </w:r>
      <w:r w:rsidR="00490616">
        <w:rPr>
          <w:rFonts w:eastAsiaTheme="minorEastAsia"/>
        </w:rPr>
        <w:t>2</w:t>
      </w:r>
      <w:r w:rsidR="007E285D">
        <w:rPr>
          <w:rFonts w:eastAsiaTheme="minorEastAsia"/>
        </w:rPr>
        <w:t>1 m/s</w:t>
      </w:r>
      <w:proofErr w:type="gramStart"/>
      <w:r w:rsidR="007E285D">
        <w:rPr>
          <w:rFonts w:eastAsiaTheme="minorEastAsia"/>
        </w:rPr>
        <w:t>²</w:t>
      </w:r>
      <w:r>
        <w:rPr>
          <w:rFonts w:eastAsiaTheme="minorEastAsia"/>
        </w:rPr>
        <w:t>, and</w:t>
      </w:r>
      <w:proofErr w:type="gramEnd"/>
      <w:r>
        <w:rPr>
          <w:rFonts w:eastAsiaTheme="minorEastAsia"/>
        </w:rPr>
        <w:t xml:space="preserve"> choose thus 0.</w:t>
      </w:r>
      <w:r w:rsidR="005E359D">
        <w:rPr>
          <w:rFonts w:eastAsiaTheme="minorEastAsia"/>
        </w:rPr>
        <w:t>1</w:t>
      </w:r>
      <w:r w:rsidR="007E285D">
        <w:rPr>
          <w:rFonts w:eastAsiaTheme="minorEastAsia"/>
        </w:rPr>
        <w:t>6 m/s²</w:t>
      </w:r>
      <w:r>
        <w:rPr>
          <w:rFonts w:eastAsiaTheme="minorEastAsia"/>
        </w:rPr>
        <w:t xml:space="preserve"> as the lower bound and 0.</w:t>
      </w:r>
      <w:r w:rsidR="005E359D">
        <w:rPr>
          <w:rFonts w:eastAsiaTheme="minorEastAsia"/>
        </w:rPr>
        <w:t>2</w:t>
      </w:r>
      <w:r w:rsidR="00935799">
        <w:rPr>
          <w:rFonts w:eastAsiaTheme="minorEastAsia"/>
        </w:rPr>
        <w:t>6</w:t>
      </w:r>
      <w:r w:rsidR="007E285D">
        <w:rPr>
          <w:rFonts w:eastAsiaTheme="minorEastAsia"/>
        </w:rPr>
        <w:t> m/s</w:t>
      </w:r>
      <w:r w:rsidR="00935799">
        <w:rPr>
          <w:rFonts w:eastAsiaTheme="minorEastAsia"/>
        </w:rPr>
        <w:t>²</w:t>
      </w:r>
      <w:r>
        <w:rPr>
          <w:rFonts w:eastAsiaTheme="minorEastAsia"/>
        </w:rPr>
        <w:t xml:space="preserve"> as the upper bound. </w:t>
      </w:r>
      <w:r w:rsidR="00FA364D">
        <w:rPr>
          <w:rFonts w:eastAsiaTheme="minorEastAsia"/>
        </w:rPr>
        <w:t xml:space="preserve">We </w:t>
      </w:r>
      <w:r>
        <w:rPr>
          <w:rFonts w:eastAsiaTheme="minorEastAsia"/>
        </w:rPr>
        <w:t xml:space="preserve">then search for that standard deviation that minimizes the error between simulated and observed timing errors, </w:t>
      </w:r>
      <w:r w:rsidR="00A6648E">
        <w:rPr>
          <w:rFonts w:eastAsiaTheme="minorEastAsia"/>
        </w:rPr>
        <w:t xml:space="preserve">using the </w:t>
      </w:r>
      <w:proofErr w:type="spellStart"/>
      <w:r w:rsidR="00A6648E">
        <w:rPr>
          <w:rFonts w:eastAsiaTheme="minorEastAsia"/>
        </w:rPr>
        <w:t>optim</w:t>
      </w:r>
      <w:proofErr w:type="spellEnd"/>
      <w:r w:rsidR="00A6648E">
        <w:rPr>
          <w:rFonts w:eastAsiaTheme="minorEastAsia"/>
        </w:rPr>
        <w:t>() function implemented in R</w:t>
      </w:r>
      <w:r w:rsidR="00DD1FC4">
        <w:rPr>
          <w:rFonts w:eastAsiaTheme="minorEastAsia"/>
        </w:rPr>
        <w:t xml:space="preserve"> </w:t>
      </w:r>
      <w:r w:rsidR="00DD1FC4">
        <w:rPr>
          <w:rFonts w:eastAsiaTheme="minorEastAsia"/>
        </w:rPr>
        <w:fldChar w:fldCharType="begin" w:fldLock="1"/>
      </w:r>
      <w:r>
        <w:rPr>
          <w:rFonts w:eastAsiaTheme="minorEastAsia"/>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DD1FC4">
        <w:rPr>
          <w:rFonts w:eastAsiaTheme="minorEastAsia"/>
        </w:rPr>
        <w:fldChar w:fldCharType="separate"/>
      </w:r>
      <w:r w:rsidR="00DD1FC4" w:rsidRPr="00DD1FC4">
        <w:rPr>
          <w:rFonts w:eastAsiaTheme="minorEastAsia"/>
          <w:noProof/>
        </w:rPr>
        <w:t>(R Core Team, 2017)</w:t>
      </w:r>
      <w:r w:rsidR="00DD1FC4">
        <w:rPr>
          <w:rFonts w:eastAsiaTheme="minorEastAsia"/>
        </w:rPr>
        <w:fldChar w:fldCharType="end"/>
      </w:r>
      <w:r w:rsidR="00B94CFD">
        <w:rPr>
          <w:rFonts w:eastAsiaTheme="minorEastAsia"/>
        </w:rPr>
        <w:t>.</w:t>
      </w:r>
      <w:r w:rsidR="00DD1FC4">
        <w:rPr>
          <w:rFonts w:eastAsiaTheme="minorEastAsia"/>
        </w:rPr>
        <w:t xml:space="preserve"> For each iteration, we simulate </w:t>
      </w:r>
      <w:r w:rsidR="00905A4B">
        <w:rPr>
          <w:rFonts w:eastAsiaTheme="minorEastAsia"/>
        </w:rPr>
        <w:t>1</w:t>
      </w:r>
      <w:r w:rsidR="00CE0600">
        <w:rPr>
          <w:rFonts w:eastAsiaTheme="minorEastAsia"/>
        </w:rPr>
        <w:t>000</w:t>
      </w:r>
      <w:r w:rsidR="00DD1FC4">
        <w:rPr>
          <w:rFonts w:eastAsiaTheme="minorEastAsia"/>
        </w:rPr>
        <w:t xml:space="preserve"> data sets and </w:t>
      </w:r>
      <w:r w:rsidR="006C6CE5">
        <w:rPr>
          <w:rFonts w:eastAsiaTheme="minorEastAsia"/>
        </w:rPr>
        <w:t xml:space="preserve">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 (RMSE)</w:t>
      </w:r>
      <w:r w:rsidR="006C6CE5">
        <w:rPr>
          <w:rFonts w:eastAsiaTheme="minorEastAsia"/>
        </w:rPr>
        <w:t xml:space="preserve"> between </w:t>
      </w:r>
      <w:r w:rsidR="00314718">
        <w:rPr>
          <w:rFonts w:eastAsiaTheme="minorEastAsia"/>
        </w:rPr>
        <w:t xml:space="preserve">the standard deviations of </w:t>
      </w:r>
      <w:r w:rsidR="006C6CE5">
        <w:rPr>
          <w:rFonts w:eastAsiaTheme="minorEastAsia"/>
        </w:rPr>
        <w:t xml:space="preserve">simulated and observed timing errors across these </w:t>
      </w:r>
      <w:r w:rsidR="00905A4B">
        <w:rPr>
          <w:rFonts w:eastAsiaTheme="minorEastAsia"/>
        </w:rPr>
        <w:t>1</w:t>
      </w:r>
      <w:r w:rsidR="00CE0600">
        <w:rPr>
          <w:rFonts w:eastAsiaTheme="minorEastAsia"/>
        </w:rPr>
        <w:t>000</w:t>
      </w:r>
      <w:r w:rsidR="006C6CE5">
        <w:rPr>
          <w:rFonts w:eastAsiaTheme="minorEastAsia"/>
        </w:rPr>
        <w:t xml:space="preserve"> data sets. </w:t>
      </w:r>
      <w:r w:rsidR="00B94CFD">
        <w:rPr>
          <w:rFonts w:eastAsiaTheme="minorEastAsia"/>
        </w:rPr>
        <w:t>The R code we used for these simulat</w:t>
      </w:r>
      <w:r w:rsidR="00DD1FC4">
        <w:rPr>
          <w:rFonts w:eastAsiaTheme="minorEastAsia"/>
        </w:rPr>
        <w:t>ions</w:t>
      </w:r>
      <w:r w:rsidR="00B94CFD">
        <w:rPr>
          <w:rFonts w:eastAsiaTheme="minorEastAsia"/>
        </w:rPr>
        <w:t xml:space="preserve"> can be found on Git</w:t>
      </w:r>
      <w:r w:rsidR="001A57F8">
        <w:rPr>
          <w:rFonts w:eastAsiaTheme="minorEastAsia"/>
        </w:rPr>
        <w:t>H</w:t>
      </w:r>
      <w:r w:rsidR="00B94CFD">
        <w:rPr>
          <w:rFonts w:eastAsiaTheme="minorEastAsia"/>
        </w:rPr>
        <w:t>ub (</w:t>
      </w:r>
      <w:hyperlink r:id="rId10" w:history="1">
        <w:r w:rsidR="00DC3E91">
          <w:rPr>
            <w:rStyle w:val="Hyperlink"/>
          </w:rPr>
          <w:t>https://github.com/b-jorges/SD-of-Gravity-Prior</w:t>
        </w:r>
      </w:hyperlink>
      <w:r w:rsidR="00B94CFD">
        <w:rPr>
          <w:rFonts w:eastAsiaTheme="minorEastAsia"/>
        </w:rPr>
        <w:t>)</w:t>
      </w:r>
      <w:r w:rsidR="00DD1FC4">
        <w:rPr>
          <w:rFonts w:eastAsiaTheme="minorEastAsia"/>
        </w:rPr>
        <w:t>, including extensive annotations.</w:t>
      </w:r>
      <w:r w:rsidR="004850CC">
        <w:rPr>
          <w:rFonts w:eastAsiaTheme="minorEastAsia"/>
        </w:rPr>
        <w:t xml:space="preserve"> We found a normalized standard deviation of </w:t>
      </w:r>
      <w:r w:rsidR="00F3636D">
        <w:rPr>
          <w:rFonts w:eastAsiaTheme="minorEastAsia"/>
        </w:rPr>
        <w:t>0.21</w:t>
      </w:r>
      <w:r w:rsidR="00935799">
        <w:rPr>
          <w:rFonts w:eastAsiaTheme="minorEastAsia"/>
        </w:rPr>
        <w:t>7</w:t>
      </w:r>
      <w:r w:rsidR="00314718">
        <w:rPr>
          <w:rFonts w:eastAsiaTheme="minorEastAsia"/>
        </w:rPr>
        <w:t> m/s²</w:t>
      </w:r>
      <w:r w:rsidR="004850CC">
        <w:rPr>
          <w:rFonts w:eastAsiaTheme="minorEastAsia"/>
        </w:rPr>
        <w:t xml:space="preserve"> for the gravity prior, which corresponds to a standard deviation of about </w:t>
      </w:r>
      <w:r w:rsidR="00F3636D">
        <w:rPr>
          <w:rFonts w:eastAsiaTheme="minorEastAsia"/>
        </w:rPr>
        <w:t>2.</w:t>
      </w:r>
      <w:r w:rsidR="00935799">
        <w:rPr>
          <w:rFonts w:eastAsiaTheme="minorEastAsia"/>
        </w:rPr>
        <w:t>13</w:t>
      </w:r>
      <w:r w:rsidR="00355892">
        <w:rPr>
          <w:rFonts w:eastAsiaTheme="minorEastAsia"/>
        </w:rPr>
        <w:t> m/s²</w:t>
      </w:r>
      <w:r w:rsidR="004850CC">
        <w:rPr>
          <w:rFonts w:eastAsiaTheme="minorEastAsia"/>
        </w:rPr>
        <w:t xml:space="preserve"> for a mean of 9.81 m/s²</w:t>
      </w:r>
      <w:r w:rsidR="00345C78">
        <w:rPr>
          <w:rFonts w:eastAsiaTheme="minorEastAsia"/>
        </w:rPr>
        <w:t xml:space="preserve"> and a Weber fraction of 14.</w:t>
      </w:r>
      <w:r w:rsidR="00935799">
        <w:rPr>
          <w:rFonts w:eastAsiaTheme="minorEastAsia"/>
        </w:rPr>
        <w:t>6</w:t>
      </w:r>
      <w:r w:rsidR="00345C78">
        <w:rPr>
          <w:rFonts w:eastAsiaTheme="minorEastAsia"/>
        </w:rPr>
        <w:t> %</w:t>
      </w:r>
      <w:r w:rsidR="002502B8">
        <w:rPr>
          <w:rFonts w:eastAsiaTheme="minorEastAsia"/>
        </w:rPr>
        <w:t>.</w:t>
      </w:r>
      <w:r w:rsidR="00484F8A">
        <w:rPr>
          <w:rFonts w:eastAsiaTheme="minorEastAsia"/>
        </w:rPr>
        <w:t xml:space="preserve"> The</w:t>
      </w:r>
      <w:r w:rsidR="00935799">
        <w:rPr>
          <w:rFonts w:eastAsiaTheme="minorEastAsia"/>
        </w:rPr>
        <w:t xml:space="preserve"> RMSE is 0.008 s</w:t>
      </w:r>
      <w:r w:rsidR="00484F8A">
        <w:rPr>
          <w:rFonts w:eastAsiaTheme="minorEastAsia"/>
        </w:rPr>
        <w:t>.</w:t>
      </w:r>
      <w:r w:rsidR="00905A4B">
        <w:rPr>
          <w:rFonts w:eastAsiaTheme="minorEastAsia"/>
        </w:rPr>
        <w:t xml:space="preserve"> </w:t>
      </w:r>
      <w:r w:rsidR="00E521AE">
        <w:rPr>
          <w:rFonts w:eastAsiaTheme="minorEastAsia"/>
        </w:rPr>
        <w:t xml:space="preserve">In </w:t>
      </w:r>
      <w:r w:rsidR="00905A4B">
        <w:rPr>
          <w:rFonts w:eastAsiaTheme="minorEastAsia"/>
        </w:rPr>
        <w:fldChar w:fldCharType="begin"/>
      </w:r>
      <w:r w:rsidR="00905A4B">
        <w:rPr>
          <w:rFonts w:eastAsiaTheme="minorEastAsia"/>
        </w:rPr>
        <w:instrText xml:space="preserve"> REF _Ref30470787 \h </w:instrText>
      </w:r>
      <w:r w:rsidR="00BE7928">
        <w:rPr>
          <w:rFonts w:eastAsiaTheme="minorEastAsia"/>
        </w:rPr>
        <w:instrText xml:space="preserve"> \* MERGEFORMAT </w:instrText>
      </w:r>
      <w:r w:rsidR="00905A4B">
        <w:rPr>
          <w:rFonts w:eastAsiaTheme="minorEastAsia"/>
        </w:rPr>
      </w:r>
      <w:r w:rsidR="00905A4B">
        <w:rPr>
          <w:rFonts w:eastAsiaTheme="minorEastAsia"/>
        </w:rPr>
        <w:fldChar w:fldCharType="separate"/>
      </w:r>
      <w:r w:rsidR="00F86A73" w:rsidRPr="00905A4B">
        <w:t xml:space="preserve">Figure </w:t>
      </w:r>
      <w:r w:rsidR="00F86A73">
        <w:rPr>
          <w:noProof/>
        </w:rPr>
        <w:t>8</w:t>
      </w:r>
      <w:r w:rsidR="00905A4B">
        <w:rPr>
          <w:rFonts w:eastAsiaTheme="minorEastAsia"/>
        </w:rPr>
        <w:fldChar w:fldCharType="end"/>
      </w:r>
      <w:r w:rsidR="00E521AE">
        <w:rPr>
          <w:rFonts w:eastAsiaTheme="minorEastAsia"/>
        </w:rPr>
        <w:t>, we illustrate how the simulated standard deviations relate to the observed ones. The light red dots correspond to this method (“Simulated (Method1)”); as evident from the figure, the fits are better for the short occlusion condition, while the SDs are generally underestimated for the Long Occlusion condition.</w:t>
      </w:r>
    </w:p>
    <w:p w14:paraId="50572CDA" w14:textId="21D88458" w:rsidR="00C4017F" w:rsidRDefault="00905A4B" w:rsidP="00BE7928">
      <w:pPr>
        <w:spacing w:line="480" w:lineRule="auto"/>
        <w:jc w:val="both"/>
        <w:rPr>
          <w:rFonts w:eastAsiaTheme="minorEastAsia"/>
        </w:rPr>
      </w:pPr>
      <w:r>
        <w:rPr>
          <w:rFonts w:eastAsiaTheme="minorEastAsia"/>
        </w:rPr>
        <w:t>As there is some reason to believe that the gravity prior is not completely inactive in upwards motion</w:t>
      </w:r>
      <w:r w:rsidR="00935799">
        <w:rPr>
          <w:rFonts w:eastAsiaTheme="minorEastAsia"/>
        </w:rPr>
        <w:t>, which may bias to above method to overestimate the standard deviation of the gravity prior</w:t>
      </w:r>
      <w:r>
        <w:rPr>
          <w:rFonts w:eastAsiaTheme="minorEastAsia"/>
        </w:rPr>
        <w:t>, we furthermore conducted simulations where both the motor variability and the strong gravity prior are fitted to the data</w:t>
      </w:r>
      <w:r w:rsidR="00314718">
        <w:rPr>
          <w:rFonts w:eastAsiaTheme="minorEastAsia"/>
        </w:rPr>
        <w:t xml:space="preserve"> (Method 2)</w:t>
      </w:r>
      <w:r>
        <w:rPr>
          <w:rFonts w:eastAsiaTheme="minorEastAsia"/>
        </w:rPr>
        <w:t xml:space="preserve">. To this end, we use the optimize() function implemented in R which uses the </w:t>
      </w:r>
      <w:proofErr w:type="spellStart"/>
      <w:r>
        <w:rPr>
          <w:rFonts w:eastAsiaTheme="minorEastAsia"/>
        </w:rPr>
        <w:t>Nelder</w:t>
      </w:r>
      <w:proofErr w:type="spellEnd"/>
      <w:r>
        <w:rPr>
          <w:rFonts w:eastAsiaTheme="minorEastAsia"/>
        </w:rPr>
        <w:t xml:space="preserve"> and Mead method </w:t>
      </w:r>
      <w:r>
        <w:rPr>
          <w:rFonts w:eastAsiaTheme="minorEastAsia"/>
        </w:rPr>
        <w:fldChar w:fldCharType="begin" w:fldLock="1"/>
      </w:r>
      <w:r w:rsidR="004A436E">
        <w:rPr>
          <w:rFonts w:eastAsiaTheme="minorEastAsia"/>
        </w:rPr>
        <w:instrText>ADDIN CSL_CITATION {"citationItems":[{"id":"ITEM-1","itemData":{"DOI":"10.1093/comjnl/7.4.308","ISBN":"9781605580852","ISSN":"0010-4620","abstract":"A method is described for the minimization of a function of n variables, which depends on the comparison of function values at the (n + 1) vertices of a general simplex, followed by the replacement of the vertex with the highest value by another point. The simplex adapts itself to the local landscape, and contracts on to the final minimum. The method is shown to be effective and computationally compact. A procedure is given for the estimation of the Hessian matrix in the neighbourhood of the minimum, needed in statistical estimation problems.","author":[{"dropping-particle":"","family":"Nelder","given":"J. A.","non-dropping-particle":"","parse-names":false,"suffix":""},{"dropping-particle":"","family":"Mead","given":"R.","non-dropping-particle":"","parse-names":false,"suffix":""}],"container-title":"The Computer Journal","id":"ITEM-1","issue":"4","issued":{"date-parts":[["1965"]]},"page":"308-313","title":"A Simplex Method for Function Minimization","type":"article-journal","volume":"7"},"uris":["http://www.mendeley.com/documents/?uuid=9815d833-eeee-4945-a546-42a69dedee52"]}],"mendeley":{"formattedCitation":"(Nelder &amp; Mead, 1965)","plainTextFormattedCitation":"(Nelder &amp; Mead, 1965)","previouslyFormattedCitation":"(Nelder &amp; Mead, 1965)"},"properties":{"noteIndex":0},"schema":"https://github.com/citation-style-language/schema/raw/master/csl-citation.json"}</w:instrText>
      </w:r>
      <w:r>
        <w:rPr>
          <w:rFonts w:eastAsiaTheme="minorEastAsia"/>
        </w:rPr>
        <w:fldChar w:fldCharType="separate"/>
      </w:r>
      <w:r w:rsidRPr="00905A4B">
        <w:rPr>
          <w:rFonts w:eastAsiaTheme="minorEastAsia"/>
          <w:noProof/>
        </w:rPr>
        <w:t>(Nelder &amp; Mead, 1965)</w:t>
      </w:r>
      <w:r>
        <w:rPr>
          <w:rFonts w:eastAsiaTheme="minorEastAsia"/>
        </w:rPr>
        <w:fldChar w:fldCharType="end"/>
      </w:r>
      <w:r>
        <w:rPr>
          <w:rFonts w:eastAsiaTheme="minorEastAsia"/>
        </w:rPr>
        <w:t xml:space="preserve"> to determine those values </w:t>
      </w:r>
      <w:r w:rsidR="00935799">
        <w:rPr>
          <w:rFonts w:eastAsiaTheme="minorEastAsia"/>
        </w:rPr>
        <w:t xml:space="preserve">for the motor standard deviation and the standard deviation of the gravity prior </w:t>
      </w:r>
      <w:r>
        <w:rPr>
          <w:rFonts w:eastAsiaTheme="minorEastAsia"/>
        </w:rPr>
        <w:t xml:space="preserve">that yield the smallest errors between simulated and observed variability. </w:t>
      </w:r>
      <w:r w:rsidR="00842646">
        <w:rPr>
          <w:rFonts w:eastAsiaTheme="minorEastAsia"/>
        </w:rPr>
        <w:t xml:space="preserve">This is suitable, as variability in the gravity prior and motor variability affect the final variability differentially (see </w:t>
      </w:r>
      <w:r w:rsidR="00842646">
        <w:rPr>
          <w:rFonts w:eastAsiaTheme="minorEastAsia"/>
        </w:rPr>
        <w:fldChar w:fldCharType="begin"/>
      </w:r>
      <w:r w:rsidR="00842646">
        <w:rPr>
          <w:rFonts w:eastAsiaTheme="minorEastAsia"/>
        </w:rPr>
        <w:instrText xml:space="preserve"> REF _Ref28582960 \h </w:instrText>
      </w:r>
      <w:r w:rsidR="00BE7928">
        <w:rPr>
          <w:rFonts w:eastAsiaTheme="minorEastAsia"/>
        </w:rPr>
        <w:instrText xml:space="preserve"> \* MERGEFORMAT </w:instrText>
      </w:r>
      <w:r w:rsidR="00842646">
        <w:rPr>
          <w:rFonts w:eastAsiaTheme="minorEastAsia"/>
        </w:rPr>
      </w:r>
      <w:r w:rsidR="00842646">
        <w:rPr>
          <w:rFonts w:eastAsiaTheme="minorEastAsia"/>
        </w:rPr>
        <w:fldChar w:fldCharType="separate"/>
      </w:r>
      <w:r w:rsidR="00F86A73" w:rsidRPr="00E72229">
        <w:t xml:space="preserve">Figure </w:t>
      </w:r>
      <w:r w:rsidR="00F86A73">
        <w:rPr>
          <w:noProof/>
        </w:rPr>
        <w:t>5</w:t>
      </w:r>
      <w:r w:rsidR="00842646">
        <w:rPr>
          <w:rFonts w:eastAsiaTheme="minorEastAsia"/>
        </w:rPr>
        <w:fldChar w:fldCharType="end"/>
      </w:r>
      <w:r w:rsidR="00842646">
        <w:rPr>
          <w:rFonts w:eastAsiaTheme="minorEastAsia"/>
        </w:rPr>
        <w:t>)</w:t>
      </w:r>
      <w:r w:rsidR="00935799">
        <w:rPr>
          <w:rFonts w:eastAsiaTheme="minorEastAsia"/>
        </w:rPr>
        <w:t>: a higher motor variability leads to uniformly higher standard deviations for the observed error, while a higher gravity variability affects longer trajectories (Long Occlusion, higher initial vertical velocity and lower gravities) more strongly than shorter ones. Based on above results, we chose</w:t>
      </w:r>
      <w:r w:rsidR="007A343A">
        <w:rPr>
          <w:rFonts w:eastAsiaTheme="minorEastAsia"/>
        </w:rPr>
        <w:t xml:space="preserve"> 0.04 and 0.2 as starting parameters</w:t>
      </w:r>
      <w:r w:rsidR="00935799">
        <w:rPr>
          <w:rFonts w:eastAsiaTheme="minorEastAsia"/>
        </w:rPr>
        <w:t>, but did not limit the parameter space</w:t>
      </w:r>
      <w:r w:rsidR="007A343A">
        <w:rPr>
          <w:rFonts w:eastAsiaTheme="minorEastAsia"/>
        </w:rPr>
        <w:t>.</w:t>
      </w:r>
      <w:r w:rsidR="00842646">
        <w:rPr>
          <w:rFonts w:eastAsiaTheme="minorEastAsia"/>
        </w:rPr>
        <w:t xml:space="preserve"> This method allots variability in slightly different proportions: the standard deviation for the motor error is </w:t>
      </w:r>
      <w:r w:rsidR="00842646">
        <w:rPr>
          <w:rFonts w:eastAsiaTheme="minorEastAsia"/>
        </w:rPr>
        <w:lastRenderedPageBreak/>
        <w:t>0.0</w:t>
      </w:r>
      <w:r w:rsidR="00C03A45">
        <w:rPr>
          <w:rFonts w:eastAsiaTheme="minorEastAsia"/>
        </w:rPr>
        <w:t>5 </w:t>
      </w:r>
      <w:r w:rsidR="00842646">
        <w:rPr>
          <w:rFonts w:eastAsiaTheme="minorEastAsia"/>
        </w:rPr>
        <w:t>s and the standardized standard deviation of the gravity prior is 0.1</w:t>
      </w:r>
      <w:r w:rsidR="00C03A45">
        <w:rPr>
          <w:rFonts w:eastAsiaTheme="minorEastAsia"/>
        </w:rPr>
        <w:t>82</w:t>
      </w:r>
      <w:r w:rsidR="00842646">
        <w:rPr>
          <w:rFonts w:eastAsiaTheme="minorEastAsia"/>
        </w:rPr>
        <w:t xml:space="preserve"> m/s² (which corresponds to a non-standardized </w:t>
      </w:r>
      <w:r w:rsidR="00345C78">
        <w:rPr>
          <w:rFonts w:eastAsiaTheme="minorEastAsia"/>
        </w:rPr>
        <w:t>standard deviation of 1.</w:t>
      </w:r>
      <w:r w:rsidR="00C03A45">
        <w:rPr>
          <w:rFonts w:eastAsiaTheme="minorEastAsia"/>
        </w:rPr>
        <w:t>78</w:t>
      </w:r>
      <w:r w:rsidR="007A343A">
        <w:rPr>
          <w:rFonts w:eastAsiaTheme="minorEastAsia"/>
        </w:rPr>
        <w:t> m/s²</w:t>
      </w:r>
      <w:r w:rsidR="00345C78">
        <w:rPr>
          <w:rFonts w:eastAsiaTheme="minorEastAsia"/>
        </w:rPr>
        <w:t xml:space="preserve"> and a Weber fraction of 1</w:t>
      </w:r>
      <w:r w:rsidR="00C03A45">
        <w:rPr>
          <w:rFonts w:eastAsiaTheme="minorEastAsia"/>
        </w:rPr>
        <w:t>2</w:t>
      </w:r>
      <w:r w:rsidR="00345C78">
        <w:rPr>
          <w:rFonts w:eastAsiaTheme="minorEastAsia"/>
        </w:rPr>
        <w:t>.</w:t>
      </w:r>
      <w:r w:rsidR="00C03A45">
        <w:rPr>
          <w:rFonts w:eastAsiaTheme="minorEastAsia"/>
        </w:rPr>
        <w:t>2 </w:t>
      </w:r>
      <w:r w:rsidR="00345C78">
        <w:rPr>
          <w:rFonts w:eastAsiaTheme="minorEastAsia"/>
        </w:rPr>
        <w:t>%)</w:t>
      </w:r>
      <w:r w:rsidR="00842646">
        <w:rPr>
          <w:rFonts w:eastAsiaTheme="minorEastAsia"/>
        </w:rPr>
        <w:t xml:space="preserve">, with </w:t>
      </w:r>
      <w:r w:rsidR="00C03A45">
        <w:rPr>
          <w:rFonts w:eastAsiaTheme="minorEastAsia"/>
        </w:rPr>
        <w:t>an RMSE of 0.005 s</w:t>
      </w:r>
      <w:r w:rsidR="00842646">
        <w:rPr>
          <w:rFonts w:eastAsiaTheme="minorEastAsia"/>
        </w:rPr>
        <w:t>.</w:t>
      </w:r>
      <w:r w:rsidR="00B40ECA">
        <w:rPr>
          <w:rFonts w:eastAsiaTheme="minorEastAsia"/>
        </w:rPr>
        <w:t xml:space="preserve"> This is considerably lower than the </w:t>
      </w:r>
      <w:r w:rsidR="00C03A45">
        <w:rPr>
          <w:rFonts w:eastAsiaTheme="minorEastAsia"/>
        </w:rPr>
        <w:t>RMSE of 0.008 s</w:t>
      </w:r>
      <w:r w:rsidR="00B40ECA">
        <w:rPr>
          <w:rFonts w:eastAsiaTheme="minorEastAsia"/>
        </w:rPr>
        <w:t xml:space="preserve"> found with the </w:t>
      </w:r>
      <w:r w:rsidR="00301367">
        <w:rPr>
          <w:rFonts w:eastAsiaTheme="minorEastAsia"/>
        </w:rPr>
        <w:t>Method 1</w:t>
      </w:r>
      <w:r w:rsidR="00B40ECA">
        <w:rPr>
          <w:rFonts w:eastAsiaTheme="minorEastAsia"/>
        </w:rPr>
        <w:t>.</w:t>
      </w:r>
      <w:r w:rsidR="00E521AE">
        <w:rPr>
          <w:rFonts w:eastAsiaTheme="minorEastAsia"/>
        </w:rPr>
        <w:t xml:space="preserve"> However, it is worth noting that fitting both parameters to the data makes this method</w:t>
      </w:r>
      <w:r w:rsidR="00314718">
        <w:rPr>
          <w:rFonts w:eastAsiaTheme="minorEastAsia"/>
        </w:rPr>
        <w:t xml:space="preserve"> </w:t>
      </w:r>
      <w:r w:rsidR="00E521AE">
        <w:rPr>
          <w:rFonts w:eastAsiaTheme="minorEastAsia"/>
        </w:rPr>
        <w:t xml:space="preserve">more susceptible to overfitting. The simulated standard deviations for these conditions are depicted in solid red in the </w:t>
      </w:r>
      <w:r w:rsidR="00E521AE" w:rsidRPr="00E521AE">
        <w:rPr>
          <w:rFonts w:eastAsiaTheme="minorEastAsia"/>
        </w:rPr>
        <w:t>Figure 8</w:t>
      </w:r>
      <w:r w:rsidR="00E521AE">
        <w:rPr>
          <w:rFonts w:eastAsiaTheme="minorEastAsia"/>
        </w:rPr>
        <w:t xml:space="preserve"> (“Simulated (Method 2)”):</w:t>
      </w:r>
      <w:r w:rsidR="00753203">
        <w:rPr>
          <w:rFonts w:eastAsiaTheme="minorEastAsia"/>
        </w:rPr>
        <w:t xml:space="preserve"> The fits are much better for the long occlusions, at the cost of a slight overestimation of the variability for the short occlusions.</w:t>
      </w:r>
    </w:p>
    <w:p w14:paraId="05219796" w14:textId="77777777" w:rsidR="00842646" w:rsidRDefault="00842646" w:rsidP="00BE7928">
      <w:pPr>
        <w:spacing w:line="480" w:lineRule="auto"/>
        <w:jc w:val="both"/>
        <w:rPr>
          <w:rFonts w:eastAsiaTheme="minorEastAsia"/>
        </w:rPr>
      </w:pPr>
    </w:p>
    <w:p w14:paraId="742C6723" w14:textId="28180493" w:rsidR="00604840" w:rsidRPr="00D42F15" w:rsidRDefault="004850CC" w:rsidP="00BE7928">
      <w:pPr>
        <w:pStyle w:val="Heading2"/>
        <w:spacing w:line="480" w:lineRule="auto"/>
        <w:rPr>
          <w:lang w:val="en-US"/>
        </w:rPr>
      </w:pPr>
      <w:r w:rsidRPr="004850CC">
        <w:rPr>
          <w:lang w:val="en-US"/>
        </w:rPr>
        <w:t>Discussion</w:t>
      </w:r>
    </w:p>
    <w:p w14:paraId="336F2279" w14:textId="63A85470" w:rsidR="00D42F15" w:rsidRDefault="00DF08F8" w:rsidP="00BE7928">
      <w:pPr>
        <w:spacing w:line="480" w:lineRule="auto"/>
        <w:jc w:val="both"/>
        <w:rPr>
          <w:rFonts w:eastAsiaTheme="minorEastAsia"/>
        </w:rPr>
      </w:pPr>
      <w:r>
        <w:rPr>
          <w:rFonts w:eastAsiaTheme="minorEastAsia"/>
        </w:rPr>
        <w:t xml:space="preserve">Humans assume </w:t>
      </w:r>
      <w:r w:rsidR="006F7F5C" w:rsidRPr="00D22200">
        <w:rPr>
          <w:rFonts w:eastAsiaTheme="minorEastAsia"/>
        </w:rPr>
        <w:t>in many tasks and circumstances that objects in their environment are affected by earth gravity</w:t>
      </w:r>
      <w:r>
        <w:rPr>
          <w:rFonts w:eastAsiaTheme="minorEastAsia"/>
        </w:rPr>
        <w:t>.</w:t>
      </w:r>
      <w:r w:rsidR="006F7F5C" w:rsidRPr="00D22200">
        <w:rPr>
          <w:rFonts w:eastAsiaTheme="minorEastAsia"/>
        </w:rPr>
        <w:t xml:space="preserve"> </w:t>
      </w:r>
      <w:r>
        <w:rPr>
          <w:rFonts w:eastAsiaTheme="minorEastAsia"/>
        </w:rPr>
        <w:t xml:space="preserve">It </w:t>
      </w:r>
      <w:r w:rsidR="006F7F5C" w:rsidRPr="00D22200">
        <w:rPr>
          <w:rFonts w:eastAsiaTheme="minorEastAsia"/>
        </w:rPr>
        <w:t xml:space="preserve">has </w:t>
      </w:r>
      <w:r>
        <w:rPr>
          <w:rFonts w:eastAsiaTheme="minorEastAsia"/>
        </w:rPr>
        <w:t xml:space="preserve">thus </w:t>
      </w:r>
      <w:r w:rsidR="006F7F5C" w:rsidRPr="00D22200">
        <w:rPr>
          <w:rFonts w:eastAsiaTheme="minorEastAsia"/>
        </w:rPr>
        <w:t xml:space="preserve">been suggested that we maintain a representation of this value, which we then recruit to predict the behavior of objects in our environment. We recently interpreted this representation as a Strong Prior in a Bayesian framework </w:t>
      </w:r>
      <w:r w:rsidR="006F7F5C" w:rsidRPr="00D22200">
        <w:rPr>
          <w:rFonts w:eastAsiaTheme="minorEastAsia"/>
        </w:rPr>
        <w:fldChar w:fldCharType="begin" w:fldLock="1"/>
      </w:r>
      <w:r w:rsidR="001D4CE3">
        <w:rPr>
          <w:rFonts w:eastAsiaTheme="minorEastAsia"/>
        </w:rPr>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rsidR="006F7F5C" w:rsidRPr="00D22200">
        <w:rPr>
          <w:rFonts w:eastAsiaTheme="minorEastAsia"/>
        </w:rPr>
        <w:fldChar w:fldCharType="separate"/>
      </w:r>
      <w:r w:rsidR="004A436E" w:rsidRPr="004A436E">
        <w:rPr>
          <w:rFonts w:eastAsiaTheme="minorEastAsia"/>
          <w:noProof/>
        </w:rPr>
        <w:t>(Jörges &amp; López-Moliner, 2017)</w:t>
      </w:r>
      <w:r w:rsidR="006F7F5C" w:rsidRPr="00D22200">
        <w:rPr>
          <w:rFonts w:eastAsiaTheme="minorEastAsia"/>
        </w:rPr>
        <w:fldChar w:fldCharType="end"/>
      </w:r>
      <w:r w:rsidR="006F7F5C" w:rsidRPr="00D22200">
        <w:rPr>
          <w:rFonts w:eastAsiaTheme="minorEastAsia"/>
        </w:rPr>
        <w:t xml:space="preserve">. A “Strong Prior” is a prior with a reliability so high that it overrules any sensory input represented in the likelihood. Based on data from timing task </w:t>
      </w:r>
      <w:r w:rsidR="006F7F5C" w:rsidRPr="00D22200">
        <w:rPr>
          <w:rFonts w:eastAsiaTheme="minorEastAsia"/>
        </w:rPr>
        <w:fldChar w:fldCharType="begin" w:fldLock="1"/>
      </w:r>
      <w:r w:rsidR="00F3068C">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2019)","manualFormatting":"(previously reported in Jörges &amp; López-Moliner, 2019)","plainTextFormattedCitation":"(Björn Jörges &amp; López-Moliner, 2019)","previouslyFormattedCitation":"(Björn Jörges &amp; López-Moliner, 2019)"},"properties":{"noteIndex":0},"schema":"https://github.com/citation-style-language/schema/raw/master/csl-citation.json"}</w:instrText>
      </w:r>
      <w:r w:rsidR="006F7F5C" w:rsidRPr="00D22200">
        <w:rPr>
          <w:rFonts w:eastAsiaTheme="minorEastAsia"/>
        </w:rPr>
        <w:fldChar w:fldCharType="separate"/>
      </w:r>
      <w:r w:rsidR="006F7F5C" w:rsidRPr="00D22200">
        <w:rPr>
          <w:rFonts w:eastAsiaTheme="minorEastAsia"/>
          <w:noProof/>
        </w:rPr>
        <w:t>(previously reported in Jörges &amp; López-Moliner, 2019)</w:t>
      </w:r>
      <w:r w:rsidR="006F7F5C" w:rsidRPr="00D22200">
        <w:rPr>
          <w:rFonts w:eastAsiaTheme="minorEastAsia"/>
        </w:rPr>
        <w:fldChar w:fldCharType="end"/>
      </w:r>
      <w:r w:rsidR="006F7F5C" w:rsidRPr="00D22200">
        <w:rPr>
          <w:rFonts w:eastAsiaTheme="minorEastAsia"/>
        </w:rPr>
        <w:t xml:space="preserve">, we make an attempt at determining the standard deviation of a hypothetical Strong Earth Gravity Prior. Our general approach is to account for other </w:t>
      </w:r>
      <w:r w:rsidR="00D22200" w:rsidRPr="00D22200">
        <w:rPr>
          <w:rFonts w:eastAsiaTheme="minorEastAsia"/>
        </w:rPr>
        <w:t xml:space="preserve">sources of </w:t>
      </w:r>
      <w:proofErr w:type="spellStart"/>
      <w:r w:rsidR="00D22200" w:rsidRPr="00D22200">
        <w:rPr>
          <w:rFonts w:eastAsiaTheme="minorEastAsia"/>
        </w:rPr>
        <w:t>perceptuo</w:t>
      </w:r>
      <w:proofErr w:type="spellEnd"/>
      <w:r w:rsidR="00D22200" w:rsidRPr="00D22200">
        <w:rPr>
          <w:rFonts w:eastAsiaTheme="minorEastAsia"/>
        </w:rPr>
        <w:t xml:space="preserve">-motor variability in the task based on thresholds reported in the </w:t>
      </w:r>
      <w:proofErr w:type="gramStart"/>
      <w:r w:rsidR="00D22200" w:rsidRPr="00D22200">
        <w:rPr>
          <w:rFonts w:eastAsiaTheme="minorEastAsia"/>
        </w:rPr>
        <w:t>literature, and</w:t>
      </w:r>
      <w:proofErr w:type="gramEnd"/>
      <w:r w:rsidR="00D22200" w:rsidRPr="00D22200">
        <w:rPr>
          <w:rFonts w:eastAsiaTheme="minorEastAsia"/>
        </w:rPr>
        <w:t xml:space="preserve"> attributing the remaining variability to the Gravity Prior.</w:t>
      </w:r>
      <w:r w:rsidR="00D22200">
        <w:rPr>
          <w:rFonts w:eastAsiaTheme="minorEastAsia"/>
        </w:rPr>
        <w:t xml:space="preserve"> Based on this approach, we find a standard deviation of </w:t>
      </w:r>
      <w:r w:rsidR="00285275">
        <w:rPr>
          <w:rFonts w:eastAsiaTheme="minorEastAsia"/>
        </w:rPr>
        <w:t>2.13</w:t>
      </w:r>
      <w:r w:rsidR="00F3636D">
        <w:rPr>
          <w:rFonts w:eastAsiaTheme="minorEastAsia"/>
        </w:rPr>
        <w:t> m</w:t>
      </w:r>
      <w:r w:rsidR="00D22200">
        <w:rPr>
          <w:rFonts w:eastAsiaTheme="minorEastAsia"/>
        </w:rPr>
        <w:t>/s²</w:t>
      </w:r>
      <w:r w:rsidR="00285275">
        <w:rPr>
          <w:rFonts w:eastAsiaTheme="minorEastAsia"/>
        </w:rPr>
        <w:t xml:space="preserve"> (Method 1) or 1.78 m/s² (Method 2)</w:t>
      </w:r>
      <w:r w:rsidR="00D22200">
        <w:rPr>
          <w:rFonts w:eastAsiaTheme="minorEastAsia"/>
        </w:rPr>
        <w:t>, for a prior with a mean of 9.81 m/s²</w:t>
      </w:r>
      <w:r w:rsidR="00562DCA">
        <w:rPr>
          <w:rFonts w:eastAsiaTheme="minorEastAsia"/>
        </w:rPr>
        <w:t xml:space="preserve">, which corresponds </w:t>
      </w:r>
      <w:r w:rsidR="0087590D">
        <w:rPr>
          <w:rFonts w:eastAsiaTheme="minorEastAsia"/>
        </w:rPr>
        <w:t xml:space="preserve">– mathematically – </w:t>
      </w:r>
      <w:r w:rsidR="00562DCA">
        <w:rPr>
          <w:rFonts w:eastAsiaTheme="minorEastAsia"/>
        </w:rPr>
        <w:t xml:space="preserve">to a Weber fraction of </w:t>
      </w:r>
      <w:r w:rsidR="00285275">
        <w:rPr>
          <w:rFonts w:eastAsiaTheme="minorEastAsia"/>
        </w:rPr>
        <w:t>14.6</w:t>
      </w:r>
      <w:r w:rsidR="00562DCA">
        <w:rPr>
          <w:rFonts w:eastAsiaTheme="minorEastAsia"/>
        </w:rPr>
        <w:t> %</w:t>
      </w:r>
      <w:r w:rsidR="00285275">
        <w:rPr>
          <w:rFonts w:eastAsiaTheme="minorEastAsia"/>
        </w:rPr>
        <w:t xml:space="preserve"> or 12.2 %, respectively</w:t>
      </w:r>
      <w:r w:rsidR="00562DCA">
        <w:rPr>
          <w:rFonts w:eastAsiaTheme="minorEastAsia"/>
        </w:rPr>
        <w:t xml:space="preserve">. This is considerably lower than Weber fractions generally observed for acceleration discrimination, </w:t>
      </w:r>
      <w:r w:rsidR="00285275">
        <w:rPr>
          <w:rFonts w:eastAsiaTheme="minorEastAsia"/>
        </w:rPr>
        <w:t xml:space="preserve">but above </w:t>
      </w:r>
      <w:r w:rsidR="00562DCA">
        <w:rPr>
          <w:rFonts w:eastAsiaTheme="minorEastAsia"/>
        </w:rPr>
        <w:t xml:space="preserve">Weber fractions for </w:t>
      </w:r>
      <w:r w:rsidR="0087590D">
        <w:rPr>
          <w:rFonts w:eastAsiaTheme="minorEastAsia"/>
        </w:rPr>
        <w:t xml:space="preserve">the </w:t>
      </w:r>
      <w:r w:rsidR="00562DCA">
        <w:rPr>
          <w:rFonts w:eastAsiaTheme="minorEastAsia"/>
        </w:rPr>
        <w:t>discrimination</w:t>
      </w:r>
      <w:r w:rsidR="0087590D">
        <w:rPr>
          <w:rFonts w:eastAsiaTheme="minorEastAsia"/>
        </w:rPr>
        <w:t xml:space="preserve"> of constant speeds</w:t>
      </w:r>
      <w:r w:rsidR="002502B8">
        <w:rPr>
          <w:rFonts w:eastAsiaTheme="minorEastAsia"/>
        </w:rPr>
        <w:t xml:space="preserve"> </w:t>
      </w:r>
      <w:r w:rsidR="002502B8">
        <w:rPr>
          <w:rFonts w:eastAsiaTheme="minorEastAsia"/>
        </w:rPr>
        <w:fldChar w:fldCharType="begin" w:fldLock="1"/>
      </w:r>
      <w:r w:rsidR="004A436E">
        <w:rPr>
          <w:rFonts w:eastAsiaTheme="minorEastAsia"/>
        </w:rPr>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2502B8">
        <w:rPr>
          <w:rFonts w:eastAsiaTheme="minorEastAsia"/>
        </w:rPr>
        <w:fldChar w:fldCharType="separate"/>
      </w:r>
      <w:r w:rsidR="002502B8" w:rsidRPr="002502B8">
        <w:rPr>
          <w:rFonts w:eastAsiaTheme="minorEastAsia"/>
          <w:noProof/>
        </w:rPr>
        <w:t>(McKee, 1981)</w:t>
      </w:r>
      <w:r w:rsidR="002502B8">
        <w:rPr>
          <w:rFonts w:eastAsiaTheme="minorEastAsia"/>
        </w:rPr>
        <w:fldChar w:fldCharType="end"/>
      </w:r>
      <w:r w:rsidR="00562DCA">
        <w:rPr>
          <w:rFonts w:eastAsiaTheme="minorEastAsia"/>
        </w:rPr>
        <w:t>.</w:t>
      </w:r>
    </w:p>
    <w:p w14:paraId="4938728C" w14:textId="47C9A5DF" w:rsidR="00562DCA" w:rsidRDefault="00562DCA" w:rsidP="00BE7928">
      <w:pPr>
        <w:spacing w:line="480" w:lineRule="auto"/>
        <w:jc w:val="both"/>
        <w:rPr>
          <w:rFonts w:eastAsiaTheme="minorEastAsia"/>
        </w:rPr>
      </w:pPr>
      <w:r>
        <w:rPr>
          <w:rFonts w:eastAsiaTheme="minorEastAsia"/>
        </w:rPr>
        <w:lastRenderedPageBreak/>
        <w:t xml:space="preserve">Interestingly, when we </w:t>
      </w:r>
      <w:r w:rsidR="0087590D">
        <w:rPr>
          <w:rFonts w:eastAsiaTheme="minorEastAsia"/>
        </w:rPr>
        <w:t xml:space="preserve">simulated </w:t>
      </w:r>
      <w:r>
        <w:rPr>
          <w:rFonts w:eastAsiaTheme="minorEastAsia"/>
        </w:rPr>
        <w:t>the timing errors with a fixed value of 9.81 m/s² (</w:t>
      </w:r>
      <w:proofErr w:type="spellStart"/>
      <w:r>
        <w:rPr>
          <w:rFonts w:eastAsiaTheme="minorEastAsia"/>
        </w:rPr>
        <w:t>i</w:t>
      </w:r>
      <w:proofErr w:type="spellEnd"/>
      <w:r>
        <w:rPr>
          <w:rFonts w:eastAsiaTheme="minorEastAsia"/>
        </w:rPr>
        <w:t xml:space="preserve">. e. </w:t>
      </w:r>
      <w:r w:rsidR="00F6145E">
        <w:rPr>
          <w:rFonts w:eastAsiaTheme="minorEastAsia"/>
        </w:rPr>
        <w:t xml:space="preserve">in a non-Bayesian framework where the value of earth gravity is not represented as a distribution, but </w:t>
      </w:r>
      <w:r w:rsidR="0087590D">
        <w:rPr>
          <w:rFonts w:eastAsiaTheme="minorEastAsia"/>
        </w:rPr>
        <w:t xml:space="preserve">rather </w:t>
      </w:r>
      <w:r w:rsidR="00F6145E">
        <w:rPr>
          <w:rFonts w:eastAsiaTheme="minorEastAsia"/>
        </w:rPr>
        <w:t>a value set at 1g;</w:t>
      </w:r>
      <w:r w:rsidR="0087590D">
        <w:rPr>
          <w:rFonts w:eastAsiaTheme="minorEastAsia"/>
        </w:rPr>
        <w:t xml:space="preserve"> see </w:t>
      </w:r>
      <w:r w:rsidR="00F6145E">
        <w:rPr>
          <w:rFonts w:eastAsiaTheme="minorEastAsia"/>
        </w:rPr>
        <w:fldChar w:fldCharType="begin" w:fldLock="1"/>
      </w:r>
      <w:r w:rsidR="00F3068C">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 and also above)","plainTextFormattedCitation":"(Björn Jörges &amp; López-Moliner, 2019)","previouslyFormattedCitation":"(Björn Jörges &amp; López-Moliner, 2019)"},"properties":{"noteIndex":0},"schema":"https://github.com/citation-style-language/schema/raw/master/csl-citation.json"}</w:instrText>
      </w:r>
      <w:r w:rsidR="00F6145E">
        <w:rPr>
          <w:rFonts w:eastAsiaTheme="minorEastAsia"/>
        </w:rPr>
        <w:fldChar w:fldCharType="separate"/>
      </w:r>
      <w:r w:rsidR="00F6145E" w:rsidRPr="00F6145E">
        <w:rPr>
          <w:rFonts w:eastAsiaTheme="minorEastAsia"/>
          <w:noProof/>
        </w:rPr>
        <w:t>Jörges &amp; López-Moliner, 2019</w:t>
      </w:r>
      <w:r w:rsidR="0087590D">
        <w:rPr>
          <w:rFonts w:eastAsiaTheme="minorEastAsia"/>
          <w:noProof/>
        </w:rPr>
        <w:t xml:space="preserve"> and also above</w:t>
      </w:r>
      <w:r w:rsidR="00F6145E" w:rsidRPr="00F6145E">
        <w:rPr>
          <w:rFonts w:eastAsiaTheme="minorEastAsia"/>
          <w:noProof/>
        </w:rPr>
        <w:t>)</w:t>
      </w:r>
      <w:r w:rsidR="00F6145E">
        <w:rPr>
          <w:rFonts w:eastAsiaTheme="minorEastAsia"/>
        </w:rPr>
        <w:fldChar w:fldCharType="end"/>
      </w:r>
      <w:r w:rsidR="00F6145E">
        <w:rPr>
          <w:rFonts w:eastAsiaTheme="minorEastAsia"/>
        </w:rPr>
        <w:t>,</w:t>
      </w:r>
      <w:r>
        <w:rPr>
          <w:rFonts w:eastAsiaTheme="minorEastAsia"/>
        </w:rPr>
        <w:t xml:space="preserve"> we found that our results fit the </w:t>
      </w:r>
      <w:r w:rsidR="00F6145E">
        <w:rPr>
          <w:rFonts w:eastAsiaTheme="minorEastAsia"/>
        </w:rPr>
        <w:t xml:space="preserve">observed timing error quite nicely for each gravity value. That is, the observed gravity (corresponding to the Likelihood) had no discernable influence on the final percept (Posterior). </w:t>
      </w:r>
      <w:r w:rsidR="00E82D8F">
        <w:rPr>
          <w:rFonts w:eastAsiaTheme="minorEastAsia"/>
        </w:rPr>
        <w:t>However, i</w:t>
      </w:r>
      <w:r w:rsidR="00F6145E">
        <w:rPr>
          <w:rFonts w:eastAsiaTheme="minorEastAsia"/>
        </w:rPr>
        <w:t>n a Bayesian framework, this is only possibl</w:t>
      </w:r>
      <w:r w:rsidR="002502B8">
        <w:rPr>
          <w:rFonts w:eastAsiaTheme="minorEastAsia"/>
        </w:rPr>
        <w:t>e</w:t>
      </w:r>
      <w:r w:rsidR="00F6145E">
        <w:rPr>
          <w:rFonts w:eastAsiaTheme="minorEastAsia"/>
        </w:rPr>
        <w:t xml:space="preserve"> if the Likelihood is extremely shallow and the Prior is extremely precise.</w:t>
      </w:r>
      <w:r w:rsidR="00E82D8F">
        <w:rPr>
          <w:rFonts w:eastAsiaTheme="minorEastAsia"/>
        </w:rPr>
        <w:t xml:space="preserve"> A Weber fraction of about 30 % for the likelihood (which we assume for </w:t>
      </w:r>
      <w:r w:rsidR="004840BE">
        <w:rPr>
          <w:rFonts w:eastAsiaTheme="minorEastAsia"/>
        </w:rPr>
        <w:t>acceleration discrimination)</w:t>
      </w:r>
      <w:r w:rsidR="00E82D8F">
        <w:rPr>
          <w:rFonts w:eastAsiaTheme="minorEastAsia"/>
        </w:rPr>
        <w:t>, and a Weber fraction of</w:t>
      </w:r>
      <w:r w:rsidR="002502B8">
        <w:rPr>
          <w:rFonts w:eastAsiaTheme="minorEastAsia"/>
        </w:rPr>
        <w:t xml:space="preserve"> </w:t>
      </w:r>
      <w:r w:rsidR="00285275">
        <w:rPr>
          <w:rFonts w:eastAsiaTheme="minorEastAsia"/>
        </w:rPr>
        <w:t>14.6 </w:t>
      </w:r>
      <w:r w:rsidR="00E82D8F">
        <w:rPr>
          <w:rFonts w:eastAsiaTheme="minorEastAsia"/>
        </w:rPr>
        <w:t>%</w:t>
      </w:r>
      <w:r w:rsidR="00285275">
        <w:rPr>
          <w:rFonts w:eastAsiaTheme="minorEastAsia"/>
        </w:rPr>
        <w:t xml:space="preserve"> or 12.2 %.</w:t>
      </w:r>
      <w:r w:rsidR="00E82D8F">
        <w:rPr>
          <w:rFonts w:eastAsiaTheme="minorEastAsia"/>
        </w:rPr>
        <w:t xml:space="preserve"> for the prior </w:t>
      </w:r>
      <w:r w:rsidR="004840BE">
        <w:rPr>
          <w:rFonts w:eastAsiaTheme="minorEastAsia"/>
        </w:rPr>
        <w:t xml:space="preserve">(as modelled) </w:t>
      </w:r>
      <w:r w:rsidR="00E82D8F">
        <w:rPr>
          <w:rFonts w:eastAsiaTheme="minorEastAsia"/>
        </w:rPr>
        <w:t>would not result in discarding the likelihood</w:t>
      </w:r>
      <w:r w:rsidR="004054A3">
        <w:rPr>
          <w:rFonts w:eastAsiaTheme="minorEastAsia"/>
        </w:rPr>
        <w:t xml:space="preserve"> </w:t>
      </w:r>
      <w:r w:rsidR="0087590D">
        <w:rPr>
          <w:rFonts w:eastAsiaTheme="minorEastAsia"/>
        </w:rPr>
        <w:t xml:space="preserve">completely </w:t>
      </w:r>
      <w:r w:rsidR="004054A3">
        <w:rPr>
          <w:rFonts w:eastAsiaTheme="minorEastAsia"/>
        </w:rPr>
        <w:t>(see also Figure 1</w:t>
      </w:r>
      <w:r w:rsidR="0087590D">
        <w:rPr>
          <w:rFonts w:eastAsiaTheme="minorEastAsia"/>
        </w:rPr>
        <w:t>; even for a strong prior and a rather shallow likelihood, the likelihood attracts the posterior to some extent</w:t>
      </w:r>
      <w:r w:rsidR="004054A3">
        <w:rPr>
          <w:rFonts w:eastAsiaTheme="minorEastAsia"/>
        </w:rPr>
        <w:t>)</w:t>
      </w:r>
      <w:r w:rsidR="00E82D8F">
        <w:rPr>
          <w:rFonts w:eastAsiaTheme="minorEastAsia"/>
        </w:rPr>
        <w:t xml:space="preserve">. Our results thus </w:t>
      </w:r>
      <w:r w:rsidR="004840BE">
        <w:rPr>
          <w:rFonts w:eastAsiaTheme="minorEastAsia"/>
        </w:rPr>
        <w:t>reveal</w:t>
      </w:r>
      <w:r w:rsidR="00E82D8F">
        <w:rPr>
          <w:rFonts w:eastAsiaTheme="minorEastAsia"/>
        </w:rPr>
        <w:t xml:space="preserve"> </w:t>
      </w:r>
      <w:r w:rsidR="004840BE">
        <w:rPr>
          <w:rFonts w:eastAsiaTheme="minorEastAsia"/>
        </w:rPr>
        <w:t>a mismatch between the mean</w:t>
      </w:r>
      <w:r w:rsidR="002502B8">
        <w:rPr>
          <w:rFonts w:eastAsiaTheme="minorEastAsia"/>
        </w:rPr>
        <w:t>s observed in our experiment</w:t>
      </w:r>
      <w:r w:rsidR="004840BE">
        <w:rPr>
          <w:rFonts w:eastAsiaTheme="minorEastAsia"/>
        </w:rPr>
        <w:t>, the modelled standard deviation</w:t>
      </w:r>
      <w:r w:rsidR="002502B8">
        <w:rPr>
          <w:rFonts w:eastAsiaTheme="minorEastAsia"/>
        </w:rPr>
        <w:t xml:space="preserve"> </w:t>
      </w:r>
      <w:r w:rsidR="004840BE">
        <w:rPr>
          <w:rFonts w:eastAsiaTheme="minorEastAsia"/>
        </w:rPr>
        <w:t>and a Bayesian explanation.</w:t>
      </w:r>
    </w:p>
    <w:p w14:paraId="762D8149" w14:textId="041C2699" w:rsidR="004840BE" w:rsidRDefault="004840BE" w:rsidP="00BE7928">
      <w:pPr>
        <w:spacing w:line="480" w:lineRule="auto"/>
        <w:jc w:val="both"/>
        <w:rPr>
          <w:rFonts w:eastAsiaTheme="minorEastAsia"/>
        </w:rPr>
      </w:pPr>
      <w:r>
        <w:rPr>
          <w:rFonts w:eastAsiaTheme="minorEastAsia"/>
        </w:rPr>
        <w:t xml:space="preserve">We see two possible ways to explain this mismatch. Firstly, our observed standard deviation for the gravity prior could be an upper bound. Our method relies on identifying all sources of variability and allotting variability in the response accordingly. Since we did not measure our participants’ Weber fractions for velocity and distance discriminations individually, but rather used averages </w:t>
      </w:r>
      <w:r w:rsidR="007434FD">
        <w:rPr>
          <w:rFonts w:eastAsiaTheme="minorEastAsia"/>
        </w:rPr>
        <w:t xml:space="preserve">reported </w:t>
      </w:r>
      <w:r>
        <w:rPr>
          <w:rFonts w:eastAsiaTheme="minorEastAsia"/>
        </w:rPr>
        <w:t xml:space="preserve">in the literature for somewhat different tasks, </w:t>
      </w:r>
      <w:r w:rsidR="007434FD">
        <w:rPr>
          <w:rFonts w:eastAsiaTheme="minorEastAsia"/>
        </w:rPr>
        <w:t xml:space="preserve">this may have distorted how much variability </w:t>
      </w:r>
      <w:r w:rsidR="0087590D">
        <w:rPr>
          <w:rFonts w:eastAsiaTheme="minorEastAsia"/>
        </w:rPr>
        <w:t xml:space="preserve">perceived </w:t>
      </w:r>
      <w:r w:rsidR="007434FD">
        <w:rPr>
          <w:rFonts w:eastAsiaTheme="minorEastAsia"/>
        </w:rPr>
        <w:t xml:space="preserve">distances and velocity at disappearance introduced in the response. Furthermore, when estimating the variability introduced in the motor response, we part from the premise that the internal model of gravity is not activated at all for -1g motion. However, we observe a bias to respond too late </w:t>
      </w:r>
      <w:r w:rsidR="00DA76F4">
        <w:rPr>
          <w:rFonts w:eastAsiaTheme="minorEastAsia"/>
        </w:rPr>
        <w:t>in this condition</w:t>
      </w:r>
      <w:r w:rsidR="007434FD">
        <w:rPr>
          <w:rFonts w:eastAsiaTheme="minorEastAsia"/>
        </w:rPr>
        <w:t>, suggesting that humans expect objects to accelerate less when moving upwards.</w:t>
      </w:r>
      <w:r w:rsidR="00DA76F4">
        <w:rPr>
          <w:rFonts w:eastAsiaTheme="minorEastAsia"/>
        </w:rPr>
        <w:t xml:space="preserve"> This could be taken as evidence that the internal model of gravity is still activated to some extent. In this case, we would need to </w:t>
      </w:r>
      <w:r w:rsidR="002502B8">
        <w:rPr>
          <w:rFonts w:eastAsiaTheme="minorEastAsia"/>
        </w:rPr>
        <w:t xml:space="preserve">allot more variability to the </w:t>
      </w:r>
      <w:r w:rsidR="00DA76F4">
        <w:rPr>
          <w:rFonts w:eastAsiaTheme="minorEastAsia"/>
        </w:rPr>
        <w:t>motor error</w:t>
      </w:r>
      <w:r w:rsidR="002502B8">
        <w:rPr>
          <w:rFonts w:eastAsiaTheme="minorEastAsia"/>
        </w:rPr>
        <w:t xml:space="preserve">, </w:t>
      </w:r>
      <w:r w:rsidR="00DA76F4">
        <w:rPr>
          <w:rFonts w:eastAsiaTheme="minorEastAsia"/>
        </w:rPr>
        <w:t>which in turn would lead to a lower standard deviation for the gravity prior.</w:t>
      </w:r>
      <w:r w:rsidR="007434FD">
        <w:rPr>
          <w:rFonts w:eastAsiaTheme="minorEastAsia"/>
        </w:rPr>
        <w:t xml:space="preserve"> </w:t>
      </w:r>
      <w:r w:rsidR="00DA76F4">
        <w:rPr>
          <w:rFonts w:eastAsiaTheme="minorEastAsia"/>
        </w:rPr>
        <w:t>However,</w:t>
      </w:r>
      <w:r w:rsidR="007434FD">
        <w:rPr>
          <w:rFonts w:eastAsiaTheme="minorEastAsia"/>
        </w:rPr>
        <w:t xml:space="preserve"> th</w:t>
      </w:r>
      <w:r w:rsidR="00DA76F4">
        <w:rPr>
          <w:rFonts w:eastAsiaTheme="minorEastAsia"/>
        </w:rPr>
        <w:t xml:space="preserve">is pattern in our data </w:t>
      </w:r>
      <w:r w:rsidR="007434FD">
        <w:rPr>
          <w:rFonts w:eastAsiaTheme="minorEastAsia"/>
        </w:rPr>
        <w:t xml:space="preserve">is </w:t>
      </w:r>
      <w:r w:rsidR="00DA76F4">
        <w:rPr>
          <w:rFonts w:eastAsiaTheme="minorEastAsia"/>
        </w:rPr>
        <w:t xml:space="preserve">also </w:t>
      </w:r>
      <w:r w:rsidR="007434FD">
        <w:rPr>
          <w:rFonts w:eastAsiaTheme="minorEastAsia"/>
        </w:rPr>
        <w:t xml:space="preserve">consistent with humans taking arbitrary accelerations into account insufficiently in </w:t>
      </w:r>
      <w:proofErr w:type="spellStart"/>
      <w:r w:rsidR="007434FD">
        <w:rPr>
          <w:rFonts w:eastAsiaTheme="minorEastAsia"/>
        </w:rPr>
        <w:t>perceptuo</w:t>
      </w:r>
      <w:proofErr w:type="spellEnd"/>
      <w:r w:rsidR="007434FD">
        <w:rPr>
          <w:rFonts w:eastAsiaTheme="minorEastAsia"/>
        </w:rPr>
        <w:t xml:space="preserve">-motor tasks, which has been </w:t>
      </w:r>
      <w:r w:rsidR="00DA76F4">
        <w:rPr>
          <w:rFonts w:eastAsiaTheme="minorEastAsia"/>
        </w:rPr>
        <w:t>reported repeatedly</w:t>
      </w:r>
      <w:r w:rsidR="002502B8">
        <w:rPr>
          <w:rFonts w:eastAsiaTheme="minorEastAsia"/>
        </w:rPr>
        <w:t xml:space="preserve"> for tasks where the gravity </w:t>
      </w:r>
      <w:r w:rsidR="002502B8">
        <w:rPr>
          <w:rFonts w:eastAsiaTheme="minorEastAsia"/>
        </w:rPr>
        <w:lastRenderedPageBreak/>
        <w:t>prior is highly unlikely to be recruited</w:t>
      </w:r>
      <w:r w:rsidR="00DA76F4">
        <w:rPr>
          <w:rFonts w:eastAsiaTheme="minorEastAsia"/>
        </w:rPr>
        <w:t xml:space="preserve"> </w:t>
      </w:r>
      <w:r w:rsidR="00DA76F4">
        <w:rPr>
          <w:rFonts w:eastAsiaTheme="minorEastAsia"/>
        </w:rPr>
        <w:fldChar w:fldCharType="begin" w:fldLock="1"/>
      </w:r>
      <w:r w:rsidR="00C660CF">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acceleration","type":"article-journal","volume":"32"},"uris":["http://www.mendeley.com/documents/?uuid=87640a2d-be6b-495c-bff6-916e102dcbe8"]},{"id":"ITEM-2","itemData":{"DOI":"10.1371/journal.pone.0063382","ISSN":"19326203","PMID":"23696822","abstract":"Here we examined ocular pursuit and spatial estimation in a linear prediction motion task that emphasized extrapolation of occluded accelerative object motion. Results from the ocular response up to occlusion showed that there was evidence in the eye position, velocity and acceleration data that participants were attempting to pursue the moving object in accord with the veridical motion properties. They then attempted to maintain ocular pursuit of the randomly-ordered accelerative object motion during occlusion but this was not ideal, and resulted in undershoot of eye position and velocity at the moment of object reappearance. In spatial estimation there was a general bias, with participants less likely to report object reappearance being behind than ahead of the expected position. In addition, participants' spatial estimation did not take into account the effects of object acceleration. Logistic regression indicated that spatial estimation was best predicted for the majority of participants by the difference between actual object reappearance position and an extrapolation based on pre-occlusion velocity. In combination, and in light of previous work, we interpret these findings as showing that eye movements are scaled in accord with the effects of object acceleration but do not directly specify information for accurate spatial estimation in prediction motion.","author":[{"dropping-particle":"","family":"Bennett","given":"Simon J.","non-dropping-particle":"","parse-names":false,"suffix":""},{"dropping-particle":"","family":"Benguigui","given":"Nicolas","non-dropping-particle":"","parse-names":false,"suffix":""}],"container-title":"PLoS ONE","id":"ITEM-2","issue":"5","issued":{"date-parts":[["2013"]]},"title":"Is Acceleration Used for Ocular Pursuit and Spatial Estimation during Prediction Motion?","type":"article-journal","volume":"8"},"uris":["http://www.mendeley.com/documents/?uuid=27e09650-8d38-4fc6-8a30-98d8e320d9f0"]},{"id":"ITEM-3","itemData":{"DOI":"10.1037/0096-1523.29.6.1083","ISBN":"0096-1523 (Print)","ISSN":"0096-1523","PMID":"14640832","abstract":"The goal of this study was to test whether 1st-order information, which does not account for acceleration, is used (a) to estimate the time to contact (TTC) of an accelerated stimulus after the occlusion of a final part of its trajectory and (b) to indirectly intercept an accelerated stimulus with a thrown projectile. Both tasks require the production of an action on the basis of predictive information acquired before the arrival of the stimulus at the target and allow the experimenter to make quantitative predictions about the participants' use (or nonuse) of 1st-order information. The results show that participants do not use information about acceleration and that they commit errors that rely quantitatively on 1st-order information even when acceleration is psychophysically detectable. In the indirect interceptive task, action is planned about 200 ms before the initiation of the movement, at which time the 1st-order TTC attains a critical value.","author":[{"dropping-particle":"","family":"Benguigui","given":"Nicolas","non-dropping-particle":"","parse-names":false,"suffix":""},{"dropping-particle":"","family":"Ripoll","given":"Hubert","non-dropping-particle":"","parse-names":false,"suffix":""},{"dropping-particle":"","family":"Broderick","given":"Michael P","non-dropping-particle":"","parse-names":false,"suffix":""}],"container-title":"Journal of experimental psychology. Human perception and performance","id":"ITEM-3","issue":"6","issued":{"date-parts":[["2003"]]},"page":"1083-1101","title":"Time-to-contact estimation of accelerated stimuli is based on first-order information.","type":"article-journal","volume":"29"},"uris":["http://www.mendeley.com/documents/?uuid=175d47a6-fe88-44d7-84ec-c3673668811f"]},{"id":"ITEM-4","itemData":{"DOI":"10.1177/2041669515624317","ISSN":"20416695","author":[{"dropping-particle":"","family":"Brenner","given":"Eli","non-dropping-particle":"","parse-names":false,"suffix":""},{"dropping-particle":"","family":"Rodriguez","given":"Inés Abalo","non-dropping-particle":"","parse-names":false,"suffix":""},{"dropping-particle":"","family":"Muñoz","given":"Victor Estal","non-dropping-particle":"","parse-names":false,"suffix":""},{"dropping-particle":"","family":"Schootemeijer","given":"Sabine","non-dropping-particle":"","parse-names":false,"suffix":""},{"dropping-particle":"","f</w:instrText>
      </w:r>
      <w:r w:rsidR="00C660CF" w:rsidRPr="006D354B">
        <w:rPr>
          <w:rFonts w:eastAsiaTheme="minorEastAsia"/>
          <w:lang w:val="de-DE"/>
        </w:rPr>
        <w:instrText>amily":"Mahieu","given":"Yannick","non-dropping-particle":"","parse-names":false,"suffix":""},{"dropping-particle":"","family":"Veerkamp","given":"Kirsten","non-dropping-particle":"","parse-names":false,"suffix":""},{"dropping-particle":"","family":"Zandbergen","given":"Marit","non-dropping-particle":"","parse-names":false,"suffix":""},{"dropping-particle":"","family":"Zee","given":"Tim","non-dropping-particle":"Van der","parse-names":false,"suffix":""},{"dropping-particle":"","family":"Smeets","given":"Jeroen B J","non-dropping-particle":"","parse-names":false,"suffix":""}],"container-title":"i-Perception","id":"ITEM-4","issue":"1","issued":{"date-parts":[["2016"]]},"page":"1-13","title":"How can people be so good at intercepting accelerating objects if they are so poor at visually judging acceleration?","type":"article-journal","volume":"7"},"uris":["http://www.mendeley.com/documents/?uuid=25e49c87-af92-4f30-9f23-c024567401d7"]}],"mendeley":{"formattedCitation":"(Benguigui, Ripoll, &amp; Broderick, 2003; Bennett &amp; Benguigui, 2013; Brenner et al., 2016; Werkhoven et al., 1992)","plainTextFormattedCitation":"(Benguigui, Ripoll, &amp; Broderick, 2003; Bennett &amp; Benguigui, 2013; Brenner et al., 2016; Werkhoven et al., 1992)","previouslyFormattedCitation":"(Benguigui, Ripoll, &amp; Broderick, 2003; Bennett &amp; Benguigui, 2013; Brenner et al., 2016; Werkhoven et al., 1992)"},"properties":{"noteIndex":0},"schema":"https://github.com/citation-style-language/schema/raw/master/csl-citation.json"}</w:instrText>
      </w:r>
      <w:r w:rsidR="00DA76F4">
        <w:rPr>
          <w:rFonts w:eastAsiaTheme="minorEastAsia"/>
        </w:rPr>
        <w:fldChar w:fldCharType="separate"/>
      </w:r>
      <w:r w:rsidR="00DA76F4" w:rsidRPr="00121569">
        <w:rPr>
          <w:rFonts w:eastAsiaTheme="minorEastAsia"/>
          <w:noProof/>
          <w:lang w:val="de-DE"/>
        </w:rPr>
        <w:t>(Benguigui, Ripoll, &amp; Broderick, 2003; Bennett &amp; Benguigui, 2013; Brenner et al., 2016; Werkhoven et al., 1992)</w:t>
      </w:r>
      <w:r w:rsidR="00DA76F4">
        <w:rPr>
          <w:rFonts w:eastAsiaTheme="minorEastAsia"/>
        </w:rPr>
        <w:fldChar w:fldCharType="end"/>
      </w:r>
      <w:r w:rsidR="00DA76F4" w:rsidRPr="00121569">
        <w:rPr>
          <w:rFonts w:eastAsiaTheme="minorEastAsia"/>
          <w:lang w:val="de-DE"/>
        </w:rPr>
        <w:t xml:space="preserve">. </w:t>
      </w:r>
      <w:r w:rsidR="0087590D">
        <w:rPr>
          <w:rFonts w:eastAsiaTheme="minorEastAsia"/>
        </w:rPr>
        <w:t>T</w:t>
      </w:r>
      <w:r w:rsidR="00334100">
        <w:rPr>
          <w:rFonts w:eastAsiaTheme="minorEastAsia"/>
        </w:rPr>
        <w:t>he value</w:t>
      </w:r>
      <w:r w:rsidR="00285275">
        <w:rPr>
          <w:rFonts w:eastAsiaTheme="minorEastAsia"/>
        </w:rPr>
        <w:t>s</w:t>
      </w:r>
      <w:r w:rsidR="00334100">
        <w:rPr>
          <w:rFonts w:eastAsiaTheme="minorEastAsia"/>
        </w:rPr>
        <w:t xml:space="preserve"> of</w:t>
      </w:r>
      <w:r w:rsidR="00285275">
        <w:rPr>
          <w:rFonts w:eastAsiaTheme="minorEastAsia"/>
        </w:rPr>
        <w:t xml:space="preserve"> 14.6 % or 12.2 %</w:t>
      </w:r>
      <w:r w:rsidR="00334100">
        <w:rPr>
          <w:rFonts w:eastAsiaTheme="minorEastAsia"/>
        </w:rPr>
        <w:t xml:space="preserve"> </w:t>
      </w:r>
      <w:r w:rsidR="00385931">
        <w:rPr>
          <w:rFonts w:eastAsiaTheme="minorEastAsia"/>
        </w:rPr>
        <w:t xml:space="preserve">obtained </w:t>
      </w:r>
      <w:r w:rsidR="00334100">
        <w:rPr>
          <w:rFonts w:eastAsiaTheme="minorEastAsia"/>
        </w:rPr>
        <w:t xml:space="preserve">above may </w:t>
      </w:r>
      <w:r w:rsidR="0087590D">
        <w:rPr>
          <w:rFonts w:eastAsiaTheme="minorEastAsia"/>
        </w:rPr>
        <w:t xml:space="preserve">thus </w:t>
      </w:r>
      <w:r w:rsidR="00334100">
        <w:rPr>
          <w:rFonts w:eastAsiaTheme="minorEastAsia"/>
        </w:rPr>
        <w:t>be an upper bound for the standard deviation of the Earth Gravity Prior</w:t>
      </w:r>
      <w:r w:rsidR="00385931">
        <w:rPr>
          <w:rFonts w:eastAsiaTheme="minorEastAsia"/>
        </w:rPr>
        <w:t xml:space="preserve">. </w:t>
      </w:r>
    </w:p>
    <w:p w14:paraId="4C2E0E0F" w14:textId="6295AB90" w:rsidR="00AD59E9" w:rsidRDefault="00334100" w:rsidP="00BE7928">
      <w:pPr>
        <w:spacing w:line="480" w:lineRule="auto"/>
        <w:jc w:val="both"/>
        <w:rPr>
          <w:rFonts w:eastAsiaTheme="minorEastAsia"/>
        </w:rPr>
      </w:pPr>
      <w:r>
        <w:rPr>
          <w:rFonts w:eastAsiaTheme="minorEastAsia"/>
        </w:rPr>
        <w:t xml:space="preserve">A second possibility is that prior knowledge and online perceptual input are combined in a non-Bayesian fashion (and we should thus avoid the terminology “Prior”, “Likelihood” and “Posterior”), where the mean of the final percept is set </w:t>
      </w:r>
      <w:r w:rsidR="00880A31">
        <w:rPr>
          <w:rFonts w:eastAsiaTheme="minorEastAsia"/>
        </w:rPr>
        <w:t>according to an acceleration of</w:t>
      </w:r>
      <w:r>
        <w:rPr>
          <w:rFonts w:eastAsiaTheme="minorEastAsia"/>
        </w:rPr>
        <w:t xml:space="preserve"> 9.81 m/s², while </w:t>
      </w:r>
      <w:r w:rsidR="00AD59E9">
        <w:rPr>
          <w:rFonts w:eastAsiaTheme="minorEastAsia"/>
        </w:rPr>
        <w:t xml:space="preserve">its standard deviation is determined </w:t>
      </w:r>
      <w:r w:rsidR="00880A31">
        <w:rPr>
          <w:rFonts w:eastAsiaTheme="minorEastAsia"/>
        </w:rPr>
        <w:t xml:space="preserve">by a (not necessarily Bayesian) combination of </w:t>
      </w:r>
      <w:r w:rsidR="00AD59E9">
        <w:rPr>
          <w:rFonts w:eastAsiaTheme="minorEastAsia"/>
        </w:rPr>
        <w:t>prior knowledge and online sensory information.</w:t>
      </w:r>
    </w:p>
    <w:p w14:paraId="4BD10416" w14:textId="77777777" w:rsidR="00FB336F" w:rsidRDefault="00FB336F" w:rsidP="00BE7928">
      <w:pPr>
        <w:spacing w:line="480" w:lineRule="auto"/>
      </w:pPr>
    </w:p>
    <w:p w14:paraId="5540C0A4" w14:textId="515659E8" w:rsidR="004850CC" w:rsidRPr="004850CC" w:rsidRDefault="004850CC" w:rsidP="00BE7928">
      <w:pPr>
        <w:pStyle w:val="Heading2"/>
        <w:spacing w:line="480" w:lineRule="auto"/>
        <w:rPr>
          <w:lang w:val="en-US"/>
        </w:rPr>
      </w:pPr>
      <w:r w:rsidRPr="004850CC">
        <w:rPr>
          <w:lang w:val="en-US"/>
        </w:rPr>
        <w:t>Conclusion</w:t>
      </w:r>
    </w:p>
    <w:p w14:paraId="78C3E78A" w14:textId="40131654" w:rsidR="004850CC" w:rsidRDefault="00997DC0" w:rsidP="00BE7928">
      <w:pPr>
        <w:spacing w:line="480" w:lineRule="auto"/>
        <w:jc w:val="both"/>
      </w:pPr>
      <w:r>
        <w:rPr>
          <w:rFonts w:eastAsiaTheme="minorEastAsia"/>
        </w:rPr>
        <w:t xml:space="preserve">In this paper, we build upon a simple model for coincidence timing of gravitational motion brought forward in </w:t>
      </w:r>
      <w:r>
        <w:rPr>
          <w:rFonts w:eastAsiaTheme="minorEastAsia"/>
        </w:rPr>
        <w:fldChar w:fldCharType="begin" w:fldLock="1"/>
      </w:r>
      <w:r w:rsidR="00F3068C">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Pr>
          <w:rFonts w:eastAsiaTheme="minorEastAsia"/>
        </w:rPr>
        <w:fldChar w:fldCharType="separate"/>
      </w:r>
      <w:r w:rsidR="004A436E" w:rsidRPr="004A436E">
        <w:rPr>
          <w:rFonts w:eastAsiaTheme="minorEastAsia"/>
          <w:noProof/>
        </w:rPr>
        <w:t>(Jörges &amp; López-Moliner, 2019)</w:t>
      </w:r>
      <w:r>
        <w:rPr>
          <w:rFonts w:eastAsiaTheme="minorEastAsia"/>
        </w:rPr>
        <w:fldChar w:fldCharType="end"/>
      </w:r>
      <w:r>
        <w:rPr>
          <w:rFonts w:eastAsiaTheme="minorEastAsia"/>
        </w:rPr>
        <w:t>. By accounting for the Aubert-</w:t>
      </w:r>
      <w:proofErr w:type="spellStart"/>
      <w:r>
        <w:rPr>
          <w:rFonts w:eastAsiaTheme="minorEastAsia"/>
        </w:rPr>
        <w:t>Fleischl</w:t>
      </w:r>
      <w:proofErr w:type="spellEnd"/>
      <w:r>
        <w:rPr>
          <w:rFonts w:eastAsiaTheme="minorEastAsia"/>
        </w:rPr>
        <w:t xml:space="preserve"> phenomenon, we extend the domain of our model to also include shorter extrapolation intervals. Furthermore</w:t>
      </w:r>
      <w:r w:rsidR="00EC3AAF" w:rsidRPr="00955A21">
        <w:rPr>
          <w:rFonts w:eastAsiaTheme="minorEastAsia"/>
        </w:rPr>
        <w:t xml:space="preserve">, we propose a procedure to </w:t>
      </w:r>
      <w:r>
        <w:rPr>
          <w:rFonts w:eastAsiaTheme="minorEastAsia"/>
        </w:rPr>
        <w:t xml:space="preserve">determine </w:t>
      </w:r>
      <w:r w:rsidR="00EC3AAF" w:rsidRPr="00955A21">
        <w:rPr>
          <w:rFonts w:eastAsiaTheme="minorEastAsia"/>
        </w:rPr>
        <w:t xml:space="preserve">the standard deviation of a potential gravity </w:t>
      </w:r>
      <w:proofErr w:type="gramStart"/>
      <w:r w:rsidR="00EC3AAF" w:rsidRPr="00955A21">
        <w:rPr>
          <w:rFonts w:eastAsiaTheme="minorEastAsia"/>
        </w:rPr>
        <w:t>prior, and</w:t>
      </w:r>
      <w:proofErr w:type="gramEnd"/>
      <w:r w:rsidR="00EC3AAF" w:rsidRPr="00955A21">
        <w:rPr>
          <w:rFonts w:eastAsiaTheme="minorEastAsia"/>
        </w:rPr>
        <w:t xml:space="preserve"> apply it to pre-existing data from a timing task. </w:t>
      </w:r>
      <w:r w:rsidR="00285275">
        <w:rPr>
          <w:rFonts w:eastAsiaTheme="minorEastAsia"/>
        </w:rPr>
        <w:t>S</w:t>
      </w:r>
      <w:r w:rsidR="00EC3AAF" w:rsidRPr="00955A21">
        <w:rPr>
          <w:rFonts w:eastAsiaTheme="minorEastAsia"/>
        </w:rPr>
        <w:t>tandard deviation</w:t>
      </w:r>
      <w:r w:rsidR="00285275">
        <w:rPr>
          <w:rFonts w:eastAsiaTheme="minorEastAsia"/>
        </w:rPr>
        <w:t>s</w:t>
      </w:r>
      <w:r w:rsidR="00EC3AAF" w:rsidRPr="00955A21">
        <w:rPr>
          <w:rFonts w:eastAsiaTheme="minorEastAsia"/>
        </w:rPr>
        <w:t xml:space="preserve"> of </w:t>
      </w:r>
      <w:r w:rsidR="00285275">
        <w:rPr>
          <w:rFonts w:eastAsiaTheme="minorEastAsia"/>
        </w:rPr>
        <w:t>2.13</w:t>
      </w:r>
      <w:r w:rsidR="00EC3AAF" w:rsidRPr="00955A21">
        <w:rPr>
          <w:rFonts w:eastAsiaTheme="minorEastAsia"/>
        </w:rPr>
        <w:t> m/s²</w:t>
      </w:r>
      <w:r w:rsidR="00285275">
        <w:rPr>
          <w:rFonts w:eastAsiaTheme="minorEastAsia"/>
        </w:rPr>
        <w:t xml:space="preserve"> or 1.78 m/s² (depending on the method)</w:t>
      </w:r>
      <w:r w:rsidR="00EC3AAF" w:rsidRPr="00955A21">
        <w:rPr>
          <w:rFonts w:eastAsiaTheme="minorEastAsia"/>
        </w:rPr>
        <w:t xml:space="preserve"> explain</w:t>
      </w:r>
      <w:r w:rsidR="00285275">
        <w:rPr>
          <w:rFonts w:eastAsiaTheme="minorEastAsia"/>
        </w:rPr>
        <w:t>s</w:t>
      </w:r>
      <w:r w:rsidR="00EC3AAF" w:rsidRPr="00955A21">
        <w:rPr>
          <w:rFonts w:eastAsiaTheme="minorEastAsia"/>
        </w:rPr>
        <w:t xml:space="preserve"> </w:t>
      </w:r>
      <w:r w:rsidR="00385931">
        <w:rPr>
          <w:rFonts w:eastAsiaTheme="minorEastAsia"/>
        </w:rPr>
        <w:t>the behavior observed in our task best</w:t>
      </w:r>
      <w:r w:rsidR="00EC3AAF" w:rsidRPr="00955A21">
        <w:rPr>
          <w:rFonts w:eastAsiaTheme="minorEastAsia"/>
        </w:rPr>
        <w:t>. However, considering the literature we would expect an even lower standard deviation, as a Prior with a mean of 9.81 m/s² and standard deviation</w:t>
      </w:r>
      <w:r w:rsidR="00285275">
        <w:rPr>
          <w:rFonts w:eastAsiaTheme="minorEastAsia"/>
        </w:rPr>
        <w:t>s</w:t>
      </w:r>
      <w:r w:rsidR="00EC3AAF" w:rsidRPr="00955A21">
        <w:rPr>
          <w:rFonts w:eastAsiaTheme="minorEastAsia"/>
        </w:rPr>
        <w:t xml:space="preserve"> of </w:t>
      </w:r>
      <w:r w:rsidR="00285275" w:rsidRPr="00285275">
        <w:rPr>
          <w:rFonts w:eastAsiaTheme="minorEastAsia"/>
        </w:rPr>
        <w:t>2.13 m/s²</w:t>
      </w:r>
      <w:r w:rsidR="00285275">
        <w:rPr>
          <w:rFonts w:eastAsiaTheme="minorEastAsia"/>
        </w:rPr>
        <w:t xml:space="preserve"> or </w:t>
      </w:r>
      <w:r w:rsidR="00285275" w:rsidRPr="00285275">
        <w:rPr>
          <w:rFonts w:eastAsiaTheme="minorEastAsia"/>
        </w:rPr>
        <w:t>1.78 m/s²</w:t>
      </w:r>
      <w:r w:rsidR="00EC3AAF" w:rsidRPr="00955A21">
        <w:rPr>
          <w:rFonts w:eastAsiaTheme="minorEastAsia"/>
        </w:rPr>
        <w:t xml:space="preserve"> </w:t>
      </w:r>
      <w:r w:rsidR="00285275">
        <w:rPr>
          <w:rFonts w:eastAsiaTheme="minorEastAsia"/>
        </w:rPr>
        <w:t xml:space="preserve">should </w:t>
      </w:r>
      <w:r w:rsidR="00EC3AAF" w:rsidRPr="00955A21">
        <w:rPr>
          <w:rFonts w:eastAsiaTheme="minorEastAsia"/>
        </w:rPr>
        <w:t>not attract the Posterior as strongly as has been commonly observed. We thus believe that we are not able to fully disentangle different sources of noise in our data; the value we find for the standard deviation of</w:t>
      </w:r>
      <w:r w:rsidR="00EC3AAF">
        <w:t xml:space="preserve"> the earth gravity prior is thus more likely an upper bound, and </w:t>
      </w:r>
      <w:r>
        <w:t xml:space="preserve">follow-up </w:t>
      </w:r>
      <w:r w:rsidR="00EC3AAF">
        <w:t xml:space="preserve">experiments </w:t>
      </w:r>
      <w:r>
        <w:t xml:space="preserve">may </w:t>
      </w:r>
      <w:r w:rsidR="00EC3AAF">
        <w:t>find lower value</w:t>
      </w:r>
      <w:r>
        <w:t>s</w:t>
      </w:r>
      <w:r w:rsidR="00EC3AAF">
        <w:t>.</w:t>
      </w:r>
    </w:p>
    <w:p w14:paraId="6E019C04" w14:textId="08D94C54" w:rsidR="00E32BF5" w:rsidRDefault="00E32BF5" w:rsidP="00BE7928">
      <w:pPr>
        <w:spacing w:line="480" w:lineRule="auto"/>
      </w:pPr>
    </w:p>
    <w:p w14:paraId="181F8BCB" w14:textId="77777777" w:rsidR="00A26BE5" w:rsidRPr="00911E7B" w:rsidRDefault="00A26BE5" w:rsidP="00BE7928">
      <w:pPr>
        <w:pStyle w:val="Heading2"/>
        <w:spacing w:line="480" w:lineRule="auto"/>
        <w:rPr>
          <w:lang w:val="en-US"/>
        </w:rPr>
      </w:pPr>
      <w:r w:rsidRPr="00911E7B">
        <w:rPr>
          <w:lang w:val="en-US"/>
        </w:rPr>
        <w:lastRenderedPageBreak/>
        <w:t>Author Contributions and Notes</w:t>
      </w:r>
    </w:p>
    <w:p w14:paraId="0D42A378" w14:textId="44B29E2A" w:rsidR="00A26BE5" w:rsidRPr="00A26BE5" w:rsidRDefault="00A26BE5" w:rsidP="00BE7928">
      <w:pPr>
        <w:spacing w:line="480" w:lineRule="auto"/>
        <w:jc w:val="both"/>
        <w:rPr>
          <w:rFonts w:eastAsiaTheme="minorEastAsia"/>
        </w:rPr>
      </w:pPr>
      <w:r w:rsidRPr="00A26BE5">
        <w:rPr>
          <w:rFonts w:eastAsiaTheme="minorEastAsia"/>
        </w:rPr>
        <w:t xml:space="preserve">BJ </w:t>
      </w:r>
      <w:r>
        <w:rPr>
          <w:rFonts w:eastAsiaTheme="minorEastAsia"/>
        </w:rPr>
        <w:t xml:space="preserve">conducted the simulations </w:t>
      </w:r>
      <w:r w:rsidRPr="00A26BE5">
        <w:rPr>
          <w:rFonts w:eastAsiaTheme="minorEastAsia"/>
        </w:rPr>
        <w:t xml:space="preserve">and wrote the paper. BJ and JLM </w:t>
      </w:r>
      <w:r>
        <w:rPr>
          <w:rFonts w:eastAsiaTheme="minorEastAsia"/>
        </w:rPr>
        <w:t>established the research question in a joint effort</w:t>
      </w:r>
      <w:r w:rsidRPr="00A26BE5">
        <w:rPr>
          <w:rFonts w:eastAsiaTheme="minorEastAsia"/>
        </w:rPr>
        <w:t>.</w:t>
      </w:r>
      <w:r>
        <w:rPr>
          <w:rFonts w:eastAsiaTheme="minorEastAsia"/>
        </w:rPr>
        <w:t xml:space="preserve"> </w:t>
      </w:r>
      <w:r w:rsidRPr="00A26BE5">
        <w:rPr>
          <w:rFonts w:eastAsiaTheme="minorEastAsia"/>
        </w:rPr>
        <w:t>JLM provided advice</w:t>
      </w:r>
      <w:r>
        <w:rPr>
          <w:rFonts w:eastAsiaTheme="minorEastAsia"/>
        </w:rPr>
        <w:t xml:space="preserve"> at every step of the project</w:t>
      </w:r>
      <w:r w:rsidRPr="00A26BE5">
        <w:rPr>
          <w:rFonts w:eastAsiaTheme="minorEastAsia"/>
        </w:rPr>
        <w:t>.</w:t>
      </w:r>
    </w:p>
    <w:p w14:paraId="5085F953" w14:textId="7208A1A5" w:rsidR="00A26BE5" w:rsidRDefault="00A26BE5" w:rsidP="00BE7928">
      <w:pPr>
        <w:spacing w:line="480" w:lineRule="auto"/>
        <w:jc w:val="both"/>
        <w:rPr>
          <w:rFonts w:eastAsiaTheme="minorEastAsia"/>
        </w:rPr>
      </w:pPr>
      <w:r w:rsidRPr="00A26BE5">
        <w:rPr>
          <w:rFonts w:eastAsiaTheme="minorEastAsia"/>
        </w:rPr>
        <w:t>The authors declare no conflict of interest.</w:t>
      </w:r>
    </w:p>
    <w:p w14:paraId="502E18CC" w14:textId="77777777" w:rsidR="00A26BE5" w:rsidRPr="00A26BE5" w:rsidRDefault="00A26BE5" w:rsidP="00BE7928">
      <w:pPr>
        <w:spacing w:line="480" w:lineRule="auto"/>
        <w:jc w:val="both"/>
        <w:rPr>
          <w:rFonts w:eastAsiaTheme="minorEastAsia"/>
        </w:rPr>
      </w:pPr>
    </w:p>
    <w:p w14:paraId="3EBAD0F9" w14:textId="77777777" w:rsidR="00A26BE5" w:rsidRPr="00911E7B" w:rsidRDefault="00A26BE5" w:rsidP="00BE7928">
      <w:pPr>
        <w:pStyle w:val="Heading2"/>
        <w:spacing w:line="480" w:lineRule="auto"/>
        <w:rPr>
          <w:lang w:val="en-US"/>
        </w:rPr>
      </w:pPr>
      <w:r w:rsidRPr="00911E7B">
        <w:rPr>
          <w:lang w:val="en-US"/>
        </w:rPr>
        <w:t>Acknowledgments</w:t>
      </w:r>
    </w:p>
    <w:p w14:paraId="60D85CCE" w14:textId="326FD816" w:rsidR="00A26BE5" w:rsidRDefault="00A26BE5" w:rsidP="00BE7928">
      <w:pPr>
        <w:spacing w:line="480" w:lineRule="auto"/>
        <w:jc w:val="both"/>
        <w:rPr>
          <w:rFonts w:eastAsiaTheme="minorEastAsia"/>
        </w:rPr>
      </w:pPr>
      <w:r w:rsidRPr="00A26BE5">
        <w:rPr>
          <w:rFonts w:eastAsiaTheme="minorEastAsia"/>
        </w:rPr>
        <w:t xml:space="preserve">Funding was provided by the Catalan government (2017SGR-48) and the project ref. PSI2017-83493-R from AEI/Feder, UE. The first author (BJ) was supported by </w:t>
      </w:r>
      <w:r>
        <w:rPr>
          <w:rFonts w:eastAsiaTheme="minorEastAsia"/>
        </w:rPr>
        <w:t>the Canadian Space Agency (CSA).</w:t>
      </w:r>
    </w:p>
    <w:p w14:paraId="07C1A1BB" w14:textId="77777777" w:rsidR="00A26BE5" w:rsidRPr="00A26BE5" w:rsidRDefault="00A26BE5" w:rsidP="00BE7928">
      <w:pPr>
        <w:spacing w:line="480" w:lineRule="auto"/>
        <w:jc w:val="both"/>
        <w:rPr>
          <w:rFonts w:eastAsiaTheme="minorEastAsia"/>
        </w:rPr>
      </w:pPr>
    </w:p>
    <w:p w14:paraId="4FC3F797" w14:textId="11B5B44B" w:rsidR="00E32BF5" w:rsidRPr="00911E7B" w:rsidRDefault="0036389C" w:rsidP="00BE7928">
      <w:pPr>
        <w:pStyle w:val="Heading2"/>
        <w:spacing w:line="480" w:lineRule="auto"/>
      </w:pPr>
      <w:r w:rsidRPr="00911E7B">
        <w:t>References</w:t>
      </w:r>
    </w:p>
    <w:p w14:paraId="2B14EBB2" w14:textId="60EEF4C2" w:rsidR="00F3068C" w:rsidRPr="006F51F1" w:rsidRDefault="001D4CE3" w:rsidP="00F3068C">
      <w:pPr>
        <w:widowControl w:val="0"/>
        <w:autoSpaceDE w:val="0"/>
        <w:autoSpaceDN w:val="0"/>
        <w:adjustRightInd w:val="0"/>
        <w:spacing w:line="480" w:lineRule="auto"/>
        <w:ind w:left="480" w:hanging="480"/>
        <w:rPr>
          <w:rFonts w:ascii="Calibri" w:hAnsi="Calibri" w:cs="Calibri"/>
          <w:noProof/>
          <w:szCs w:val="24"/>
          <w:lang w:val="de-DE"/>
        </w:rPr>
      </w:pPr>
      <w:r>
        <w:rPr>
          <w:lang w:val="es-ES"/>
        </w:rPr>
        <w:fldChar w:fldCharType="begin" w:fldLock="1"/>
      </w:r>
      <w:r w:rsidRPr="00BE7928">
        <w:rPr>
          <w:lang w:val="de-DE"/>
        </w:rPr>
        <w:instrText xml:space="preserve">ADDIN Mendeley Bibliography CSL_BIBLIOGRAPHY </w:instrText>
      </w:r>
      <w:r>
        <w:rPr>
          <w:lang w:val="es-ES"/>
        </w:rPr>
        <w:fldChar w:fldCharType="separate"/>
      </w:r>
      <w:r w:rsidR="00F3068C" w:rsidRPr="006F51F1">
        <w:rPr>
          <w:rFonts w:ascii="Calibri" w:hAnsi="Calibri" w:cs="Calibri"/>
          <w:noProof/>
          <w:szCs w:val="24"/>
          <w:lang w:val="de-DE"/>
        </w:rPr>
        <w:t xml:space="preserve">Aubert, H. (1887). Die Bewegungsempfindung. </w:t>
      </w:r>
      <w:r w:rsidR="00F3068C" w:rsidRPr="006F51F1">
        <w:rPr>
          <w:rFonts w:ascii="Calibri" w:hAnsi="Calibri" w:cs="Calibri"/>
          <w:i/>
          <w:iCs/>
          <w:noProof/>
          <w:szCs w:val="24"/>
          <w:lang w:val="de-DE"/>
        </w:rPr>
        <w:t>Pflüger, Archiv Für Die Gesammte Physiologie Des Menschen Und Der Thiere</w:t>
      </w:r>
      <w:r w:rsidR="00F3068C" w:rsidRPr="006F51F1">
        <w:rPr>
          <w:rFonts w:ascii="Calibri" w:hAnsi="Calibri" w:cs="Calibri"/>
          <w:noProof/>
          <w:szCs w:val="24"/>
          <w:lang w:val="de-DE"/>
        </w:rPr>
        <w:t xml:space="preserve">, </w:t>
      </w:r>
      <w:r w:rsidR="00F3068C" w:rsidRPr="006F51F1">
        <w:rPr>
          <w:rFonts w:ascii="Calibri" w:hAnsi="Calibri" w:cs="Calibri"/>
          <w:i/>
          <w:iCs/>
          <w:noProof/>
          <w:szCs w:val="24"/>
          <w:lang w:val="de-DE"/>
        </w:rPr>
        <w:t>40</w:t>
      </w:r>
      <w:r w:rsidR="00F3068C" w:rsidRPr="006F51F1">
        <w:rPr>
          <w:rFonts w:ascii="Calibri" w:hAnsi="Calibri" w:cs="Calibri"/>
          <w:noProof/>
          <w:szCs w:val="24"/>
          <w:lang w:val="de-DE"/>
        </w:rPr>
        <w:t>(1), 459–480. https://doi.org/10.1007/BF01612710</w:t>
      </w:r>
    </w:p>
    <w:p w14:paraId="5CA2E580"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6F51F1">
        <w:rPr>
          <w:rFonts w:ascii="Calibri" w:hAnsi="Calibri" w:cs="Calibri"/>
          <w:noProof/>
          <w:szCs w:val="24"/>
          <w:lang w:val="de-DE"/>
        </w:rPr>
        <w:t xml:space="preserve">Baurès, R., Benguigui, N., Amorim, M. A., &amp; Siegler, I. A. (2007). </w:t>
      </w:r>
      <w:r w:rsidRPr="00F3068C">
        <w:rPr>
          <w:rFonts w:ascii="Calibri" w:hAnsi="Calibri" w:cs="Calibri"/>
          <w:noProof/>
          <w:szCs w:val="24"/>
        </w:rPr>
        <w:t xml:space="preserve">Intercepting free falling objects: Better use Occam’s razor than internalize Newton’s law. </w:t>
      </w:r>
      <w:r w:rsidRPr="00F3068C">
        <w:rPr>
          <w:rFonts w:ascii="Calibri" w:hAnsi="Calibri" w:cs="Calibri"/>
          <w:i/>
          <w:iCs/>
          <w:noProof/>
          <w:szCs w:val="24"/>
        </w:rPr>
        <w:t>Vision Research</w:t>
      </w:r>
      <w:r w:rsidRPr="00F3068C">
        <w:rPr>
          <w:rFonts w:ascii="Calibri" w:hAnsi="Calibri" w:cs="Calibri"/>
          <w:noProof/>
          <w:szCs w:val="24"/>
        </w:rPr>
        <w:t xml:space="preserve">, </w:t>
      </w:r>
      <w:r w:rsidRPr="00F3068C">
        <w:rPr>
          <w:rFonts w:ascii="Calibri" w:hAnsi="Calibri" w:cs="Calibri"/>
          <w:i/>
          <w:iCs/>
          <w:noProof/>
          <w:szCs w:val="24"/>
        </w:rPr>
        <w:t>47</w:t>
      </w:r>
      <w:r w:rsidRPr="00F3068C">
        <w:rPr>
          <w:rFonts w:ascii="Calibri" w:hAnsi="Calibri" w:cs="Calibri"/>
          <w:noProof/>
          <w:szCs w:val="24"/>
        </w:rPr>
        <w:t>, 2982–2991. https://doi.org/10.1016/j.visres.2007.07.024</w:t>
      </w:r>
    </w:p>
    <w:p w14:paraId="704B5788"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Benguigui, N., Ripoll, H., &amp; Broderick, M. P. (2003). Time-to-contact estimation of accelerated stimuli is based on first-order information. </w:t>
      </w:r>
      <w:r w:rsidRPr="00F3068C">
        <w:rPr>
          <w:rFonts w:ascii="Calibri" w:hAnsi="Calibri" w:cs="Calibri"/>
          <w:i/>
          <w:iCs/>
          <w:noProof/>
          <w:szCs w:val="24"/>
        </w:rPr>
        <w:t>Journal of Experimental Psychology. Human Perception and Performance</w:t>
      </w:r>
      <w:r w:rsidRPr="00F3068C">
        <w:rPr>
          <w:rFonts w:ascii="Calibri" w:hAnsi="Calibri" w:cs="Calibri"/>
          <w:noProof/>
          <w:szCs w:val="24"/>
        </w:rPr>
        <w:t xml:space="preserve">, </w:t>
      </w:r>
      <w:r w:rsidRPr="00F3068C">
        <w:rPr>
          <w:rFonts w:ascii="Calibri" w:hAnsi="Calibri" w:cs="Calibri"/>
          <w:i/>
          <w:iCs/>
          <w:noProof/>
          <w:szCs w:val="24"/>
        </w:rPr>
        <w:t>29</w:t>
      </w:r>
      <w:r w:rsidRPr="00F3068C">
        <w:rPr>
          <w:rFonts w:ascii="Calibri" w:hAnsi="Calibri" w:cs="Calibri"/>
          <w:noProof/>
          <w:szCs w:val="24"/>
        </w:rPr>
        <w:t>(6), 1083–1101. https://doi.org/10.1037/0096-1523.29.6.1083</w:t>
      </w:r>
    </w:p>
    <w:p w14:paraId="1569FC29" w14:textId="77777777" w:rsidR="00F3068C" w:rsidRPr="006F51F1" w:rsidRDefault="00F3068C" w:rsidP="00F3068C">
      <w:pPr>
        <w:widowControl w:val="0"/>
        <w:autoSpaceDE w:val="0"/>
        <w:autoSpaceDN w:val="0"/>
        <w:adjustRightInd w:val="0"/>
        <w:spacing w:line="480" w:lineRule="auto"/>
        <w:ind w:left="480" w:hanging="480"/>
        <w:rPr>
          <w:rFonts w:ascii="Calibri" w:hAnsi="Calibri" w:cs="Calibri"/>
          <w:noProof/>
          <w:szCs w:val="24"/>
          <w:lang w:val="es-ES"/>
        </w:rPr>
      </w:pPr>
      <w:r w:rsidRPr="006F51F1">
        <w:rPr>
          <w:rFonts w:ascii="Calibri" w:hAnsi="Calibri" w:cs="Calibri"/>
          <w:noProof/>
          <w:szCs w:val="24"/>
          <w:lang w:val="de-DE"/>
        </w:rPr>
        <w:t xml:space="preserve">Bennett, S. J., &amp; Benguigui, N. (2013). </w:t>
      </w:r>
      <w:r w:rsidRPr="00F3068C">
        <w:rPr>
          <w:rFonts w:ascii="Calibri" w:hAnsi="Calibri" w:cs="Calibri"/>
          <w:noProof/>
          <w:szCs w:val="24"/>
        </w:rPr>
        <w:t xml:space="preserve">Is Acceleration Used for Ocular Pursuit and Spatial Estimation during Prediction Motion? </w:t>
      </w:r>
      <w:r w:rsidRPr="006F51F1">
        <w:rPr>
          <w:rFonts w:ascii="Calibri" w:hAnsi="Calibri" w:cs="Calibri"/>
          <w:i/>
          <w:iCs/>
          <w:noProof/>
          <w:szCs w:val="24"/>
          <w:lang w:val="es-ES"/>
        </w:rPr>
        <w:t>PLoS ONE</w:t>
      </w:r>
      <w:r w:rsidRPr="006F51F1">
        <w:rPr>
          <w:rFonts w:ascii="Calibri" w:hAnsi="Calibri" w:cs="Calibri"/>
          <w:noProof/>
          <w:szCs w:val="24"/>
          <w:lang w:val="es-ES"/>
        </w:rPr>
        <w:t xml:space="preserve">, </w:t>
      </w:r>
      <w:r w:rsidRPr="006F51F1">
        <w:rPr>
          <w:rFonts w:ascii="Calibri" w:hAnsi="Calibri" w:cs="Calibri"/>
          <w:i/>
          <w:iCs/>
          <w:noProof/>
          <w:szCs w:val="24"/>
          <w:lang w:val="es-ES"/>
        </w:rPr>
        <w:t>8</w:t>
      </w:r>
      <w:r w:rsidRPr="006F51F1">
        <w:rPr>
          <w:rFonts w:ascii="Calibri" w:hAnsi="Calibri" w:cs="Calibri"/>
          <w:noProof/>
          <w:szCs w:val="24"/>
          <w:lang w:val="es-ES"/>
        </w:rPr>
        <w:t>(5). https://doi.org/10.1371/journal.pone.0063382</w:t>
      </w:r>
    </w:p>
    <w:p w14:paraId="1DFB7F32"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6F51F1">
        <w:rPr>
          <w:rFonts w:ascii="Calibri" w:hAnsi="Calibri" w:cs="Calibri"/>
          <w:noProof/>
          <w:szCs w:val="24"/>
          <w:lang w:val="es-ES"/>
        </w:rPr>
        <w:t xml:space="preserve">Brenner, E., Rodriguez, I. A., Muñoz, V. E., Schootemeijer, S., Mahieu, Y., Veerkamp, K., … </w:t>
      </w:r>
      <w:r w:rsidRPr="00F3068C">
        <w:rPr>
          <w:rFonts w:ascii="Calibri" w:hAnsi="Calibri" w:cs="Calibri"/>
          <w:noProof/>
          <w:szCs w:val="24"/>
        </w:rPr>
        <w:t xml:space="preserve">Smeets, J. B. J. </w:t>
      </w:r>
      <w:r w:rsidRPr="00F3068C">
        <w:rPr>
          <w:rFonts w:ascii="Calibri" w:hAnsi="Calibri" w:cs="Calibri"/>
          <w:noProof/>
          <w:szCs w:val="24"/>
        </w:rPr>
        <w:lastRenderedPageBreak/>
        <w:t xml:space="preserve">(2016). How can people be so good at intercepting accelerating objects if they are so poor at visually judging acceleration? </w:t>
      </w:r>
      <w:r w:rsidRPr="00F3068C">
        <w:rPr>
          <w:rFonts w:ascii="Calibri" w:hAnsi="Calibri" w:cs="Calibri"/>
          <w:i/>
          <w:iCs/>
          <w:noProof/>
          <w:szCs w:val="24"/>
        </w:rPr>
        <w:t>I-Perception</w:t>
      </w:r>
      <w:r w:rsidRPr="00F3068C">
        <w:rPr>
          <w:rFonts w:ascii="Calibri" w:hAnsi="Calibri" w:cs="Calibri"/>
          <w:noProof/>
          <w:szCs w:val="24"/>
        </w:rPr>
        <w:t xml:space="preserve">, </w:t>
      </w:r>
      <w:r w:rsidRPr="00F3068C">
        <w:rPr>
          <w:rFonts w:ascii="Calibri" w:hAnsi="Calibri" w:cs="Calibri"/>
          <w:i/>
          <w:iCs/>
          <w:noProof/>
          <w:szCs w:val="24"/>
        </w:rPr>
        <w:t>7</w:t>
      </w:r>
      <w:r w:rsidRPr="00F3068C">
        <w:rPr>
          <w:rFonts w:ascii="Calibri" w:hAnsi="Calibri" w:cs="Calibri"/>
          <w:noProof/>
          <w:szCs w:val="24"/>
        </w:rPr>
        <w:t>(1), 1–13. https://doi.org/10.1177/2041669515624317</w:t>
      </w:r>
    </w:p>
    <w:p w14:paraId="544B73E2" w14:textId="77777777" w:rsidR="00F3068C" w:rsidRPr="006F51F1" w:rsidRDefault="00F3068C" w:rsidP="00F3068C">
      <w:pPr>
        <w:widowControl w:val="0"/>
        <w:autoSpaceDE w:val="0"/>
        <w:autoSpaceDN w:val="0"/>
        <w:adjustRightInd w:val="0"/>
        <w:spacing w:line="480" w:lineRule="auto"/>
        <w:ind w:left="480" w:hanging="480"/>
        <w:rPr>
          <w:rFonts w:ascii="Calibri" w:hAnsi="Calibri" w:cs="Calibri"/>
          <w:noProof/>
          <w:szCs w:val="24"/>
          <w:lang w:val="es-ES"/>
        </w:rPr>
      </w:pPr>
      <w:r w:rsidRPr="00F3068C">
        <w:rPr>
          <w:rFonts w:ascii="Calibri" w:hAnsi="Calibri" w:cs="Calibri"/>
          <w:noProof/>
          <w:szCs w:val="24"/>
        </w:rPr>
        <w:t xml:space="preserve">Bürkner, P. C. (2018). Advanced Bayesian multilevel modeling with the R package brms. </w:t>
      </w:r>
      <w:r w:rsidRPr="006F51F1">
        <w:rPr>
          <w:rFonts w:ascii="Calibri" w:hAnsi="Calibri" w:cs="Calibri"/>
          <w:i/>
          <w:iCs/>
          <w:noProof/>
          <w:szCs w:val="24"/>
          <w:lang w:val="es-ES"/>
        </w:rPr>
        <w:t>R Journal</w:t>
      </w:r>
      <w:r w:rsidRPr="006F51F1">
        <w:rPr>
          <w:rFonts w:ascii="Calibri" w:hAnsi="Calibri" w:cs="Calibri"/>
          <w:noProof/>
          <w:szCs w:val="24"/>
          <w:lang w:val="es-ES"/>
        </w:rPr>
        <w:t xml:space="preserve">, </w:t>
      </w:r>
      <w:r w:rsidRPr="006F51F1">
        <w:rPr>
          <w:rFonts w:ascii="Calibri" w:hAnsi="Calibri" w:cs="Calibri"/>
          <w:i/>
          <w:iCs/>
          <w:noProof/>
          <w:szCs w:val="24"/>
          <w:lang w:val="es-ES"/>
        </w:rPr>
        <w:t>10</w:t>
      </w:r>
      <w:r w:rsidRPr="006F51F1">
        <w:rPr>
          <w:rFonts w:ascii="Calibri" w:hAnsi="Calibri" w:cs="Calibri"/>
          <w:noProof/>
          <w:szCs w:val="24"/>
          <w:lang w:val="es-ES"/>
        </w:rPr>
        <w:t>(1), 395–411. https://doi.org/10.32614/rj-2018-017</w:t>
      </w:r>
    </w:p>
    <w:p w14:paraId="6DA99352"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6F51F1">
        <w:rPr>
          <w:rFonts w:ascii="Calibri" w:hAnsi="Calibri" w:cs="Calibri"/>
          <w:noProof/>
          <w:szCs w:val="24"/>
          <w:lang w:val="es-ES"/>
        </w:rPr>
        <w:t xml:space="preserve">Ceccarelli, F., La Scaleia, B., Russo, M., Cesqui, B., Gravano, S., Mezzetti, M., … </w:t>
      </w:r>
      <w:r w:rsidRPr="00F3068C">
        <w:rPr>
          <w:rFonts w:ascii="Calibri" w:hAnsi="Calibri" w:cs="Calibri"/>
          <w:noProof/>
          <w:szCs w:val="24"/>
        </w:rPr>
        <w:t xml:space="preserve">Zago, M. (2018). Rolling motion along an incline: Visual sensitivity to the relation between acceleration and slope. </w:t>
      </w:r>
      <w:r w:rsidRPr="00F3068C">
        <w:rPr>
          <w:rFonts w:ascii="Calibri" w:hAnsi="Calibri" w:cs="Calibri"/>
          <w:i/>
          <w:iCs/>
          <w:noProof/>
          <w:szCs w:val="24"/>
        </w:rPr>
        <w:t>Frontiers in Neuroscience</w:t>
      </w:r>
      <w:r w:rsidRPr="00F3068C">
        <w:rPr>
          <w:rFonts w:ascii="Calibri" w:hAnsi="Calibri" w:cs="Calibri"/>
          <w:noProof/>
          <w:szCs w:val="24"/>
        </w:rPr>
        <w:t xml:space="preserve">, </w:t>
      </w:r>
      <w:r w:rsidRPr="00F3068C">
        <w:rPr>
          <w:rFonts w:ascii="Calibri" w:hAnsi="Calibri" w:cs="Calibri"/>
          <w:i/>
          <w:iCs/>
          <w:noProof/>
          <w:szCs w:val="24"/>
        </w:rPr>
        <w:t>12</w:t>
      </w:r>
      <w:r w:rsidRPr="00F3068C">
        <w:rPr>
          <w:rFonts w:ascii="Calibri" w:hAnsi="Calibri" w:cs="Calibri"/>
          <w:noProof/>
          <w:szCs w:val="24"/>
        </w:rPr>
        <w:t>(JUN), 1–22. https://doi.org/10.3389/fnins.2018.00406</w:t>
      </w:r>
    </w:p>
    <w:p w14:paraId="1D85920C" w14:textId="77777777" w:rsidR="00F3068C" w:rsidRPr="006F51F1" w:rsidRDefault="00F3068C" w:rsidP="00F3068C">
      <w:pPr>
        <w:widowControl w:val="0"/>
        <w:autoSpaceDE w:val="0"/>
        <w:autoSpaceDN w:val="0"/>
        <w:adjustRightInd w:val="0"/>
        <w:spacing w:line="480" w:lineRule="auto"/>
        <w:ind w:left="480" w:hanging="480"/>
        <w:rPr>
          <w:rFonts w:ascii="Calibri" w:hAnsi="Calibri" w:cs="Calibri"/>
          <w:noProof/>
          <w:szCs w:val="24"/>
          <w:lang w:val="de-DE"/>
        </w:rPr>
      </w:pPr>
      <w:r w:rsidRPr="00F3068C">
        <w:rPr>
          <w:rFonts w:ascii="Calibri" w:hAnsi="Calibri" w:cs="Calibri"/>
          <w:noProof/>
          <w:szCs w:val="24"/>
        </w:rPr>
        <w:t xml:space="preserve">de Graaf, B., Wertheim, A. H., &amp; Bles, W. (1991). The Aubert-Fleischl paradox does appear in visually induced self-motion. </w:t>
      </w:r>
      <w:r w:rsidRPr="006F51F1">
        <w:rPr>
          <w:rFonts w:ascii="Calibri" w:hAnsi="Calibri" w:cs="Calibri"/>
          <w:i/>
          <w:iCs/>
          <w:noProof/>
          <w:szCs w:val="24"/>
          <w:lang w:val="de-DE"/>
        </w:rPr>
        <w:t>Vision Research</w:t>
      </w:r>
      <w:r w:rsidRPr="006F51F1">
        <w:rPr>
          <w:rFonts w:ascii="Calibri" w:hAnsi="Calibri" w:cs="Calibri"/>
          <w:noProof/>
          <w:szCs w:val="24"/>
          <w:lang w:val="de-DE"/>
        </w:rPr>
        <w:t xml:space="preserve">, </w:t>
      </w:r>
      <w:r w:rsidRPr="006F51F1">
        <w:rPr>
          <w:rFonts w:ascii="Calibri" w:hAnsi="Calibri" w:cs="Calibri"/>
          <w:i/>
          <w:iCs/>
          <w:noProof/>
          <w:szCs w:val="24"/>
          <w:lang w:val="de-DE"/>
        </w:rPr>
        <w:t>31</w:t>
      </w:r>
      <w:r w:rsidRPr="006F51F1">
        <w:rPr>
          <w:rFonts w:ascii="Calibri" w:hAnsi="Calibri" w:cs="Calibri"/>
          <w:noProof/>
          <w:szCs w:val="24"/>
          <w:lang w:val="de-DE"/>
        </w:rPr>
        <w:t>(5), 845–849. https://doi.org/10.1016/0042-6989(91)90151-T</w:t>
      </w:r>
    </w:p>
    <w:p w14:paraId="2840A782" w14:textId="77777777" w:rsidR="00F3068C" w:rsidRPr="006F51F1" w:rsidRDefault="00F3068C" w:rsidP="00F3068C">
      <w:pPr>
        <w:widowControl w:val="0"/>
        <w:autoSpaceDE w:val="0"/>
        <w:autoSpaceDN w:val="0"/>
        <w:adjustRightInd w:val="0"/>
        <w:spacing w:line="480" w:lineRule="auto"/>
        <w:ind w:left="480" w:hanging="480"/>
        <w:rPr>
          <w:rFonts w:ascii="Calibri" w:hAnsi="Calibri" w:cs="Calibri"/>
          <w:noProof/>
          <w:szCs w:val="24"/>
          <w:lang w:val="de-DE"/>
        </w:rPr>
      </w:pPr>
      <w:r w:rsidRPr="006F51F1">
        <w:rPr>
          <w:rFonts w:ascii="Calibri" w:hAnsi="Calibri" w:cs="Calibri"/>
          <w:noProof/>
          <w:szCs w:val="24"/>
          <w:lang w:val="de-DE"/>
        </w:rPr>
        <w:t xml:space="preserve">Dichgans, J., Wist, E., Diener, H. C., &amp; Brandt, T. (1975). </w:t>
      </w:r>
      <w:r w:rsidRPr="00F3068C">
        <w:rPr>
          <w:rFonts w:ascii="Calibri" w:hAnsi="Calibri" w:cs="Calibri"/>
          <w:noProof/>
          <w:szCs w:val="24"/>
        </w:rPr>
        <w:t xml:space="preserve">The Aubert-Fleischl phenomenon: A temporal frequency effect on perceived velocity in afferent motion perception. </w:t>
      </w:r>
      <w:r w:rsidRPr="006F51F1">
        <w:rPr>
          <w:rFonts w:ascii="Calibri" w:hAnsi="Calibri" w:cs="Calibri"/>
          <w:i/>
          <w:iCs/>
          <w:noProof/>
          <w:szCs w:val="24"/>
          <w:lang w:val="de-DE"/>
        </w:rPr>
        <w:t>Experimental Brain Research</w:t>
      </w:r>
      <w:r w:rsidRPr="006F51F1">
        <w:rPr>
          <w:rFonts w:ascii="Calibri" w:hAnsi="Calibri" w:cs="Calibri"/>
          <w:noProof/>
          <w:szCs w:val="24"/>
          <w:lang w:val="de-DE"/>
        </w:rPr>
        <w:t xml:space="preserve">, </w:t>
      </w:r>
      <w:r w:rsidRPr="006F51F1">
        <w:rPr>
          <w:rFonts w:ascii="Calibri" w:hAnsi="Calibri" w:cs="Calibri"/>
          <w:i/>
          <w:iCs/>
          <w:noProof/>
          <w:szCs w:val="24"/>
          <w:lang w:val="de-DE"/>
        </w:rPr>
        <w:t>23</w:t>
      </w:r>
      <w:r w:rsidRPr="006F51F1">
        <w:rPr>
          <w:rFonts w:ascii="Calibri" w:hAnsi="Calibri" w:cs="Calibri"/>
          <w:noProof/>
          <w:szCs w:val="24"/>
          <w:lang w:val="de-DE"/>
        </w:rPr>
        <w:t>(5), 529–533. https://doi.org/10.1007/BF00234920</w:t>
      </w:r>
    </w:p>
    <w:p w14:paraId="5366F533" w14:textId="77777777" w:rsidR="00F3068C" w:rsidRPr="006F51F1" w:rsidRDefault="00F3068C" w:rsidP="00F3068C">
      <w:pPr>
        <w:widowControl w:val="0"/>
        <w:autoSpaceDE w:val="0"/>
        <w:autoSpaceDN w:val="0"/>
        <w:adjustRightInd w:val="0"/>
        <w:spacing w:line="480" w:lineRule="auto"/>
        <w:ind w:left="480" w:hanging="480"/>
        <w:rPr>
          <w:rFonts w:ascii="Calibri" w:hAnsi="Calibri" w:cs="Calibri"/>
          <w:noProof/>
          <w:szCs w:val="24"/>
          <w:lang w:val="de-DE"/>
        </w:rPr>
      </w:pPr>
      <w:r w:rsidRPr="006F51F1">
        <w:rPr>
          <w:rFonts w:ascii="Calibri" w:hAnsi="Calibri" w:cs="Calibri"/>
          <w:noProof/>
          <w:szCs w:val="24"/>
          <w:lang w:val="de-DE"/>
        </w:rPr>
        <w:t xml:space="preserve">Fleischl, V. (1882). Physiologisch-optische Notizen. </w:t>
      </w:r>
      <w:r w:rsidRPr="006F51F1">
        <w:rPr>
          <w:rFonts w:ascii="Calibri" w:hAnsi="Calibri" w:cs="Calibri"/>
          <w:i/>
          <w:iCs/>
          <w:noProof/>
          <w:szCs w:val="24"/>
          <w:lang w:val="de-DE"/>
        </w:rPr>
        <w:t>Sitzungsberichte Der Akademie Der Wissenschaften Wien</w:t>
      </w:r>
      <w:r w:rsidRPr="006F51F1">
        <w:rPr>
          <w:rFonts w:ascii="Calibri" w:hAnsi="Calibri" w:cs="Calibri"/>
          <w:noProof/>
          <w:szCs w:val="24"/>
          <w:lang w:val="de-DE"/>
        </w:rPr>
        <w:t>, (3), 7–25.</w:t>
      </w:r>
    </w:p>
    <w:p w14:paraId="2FD9909A"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6F51F1">
        <w:rPr>
          <w:rFonts w:ascii="Calibri" w:hAnsi="Calibri" w:cs="Calibri"/>
          <w:noProof/>
          <w:szCs w:val="24"/>
          <w:lang w:val="es-ES"/>
        </w:rPr>
        <w:t xml:space="preserve">Indovina, I., Maffei, V., Bosco, G., Zago, M., Macaluso, E., &amp; Lacquaniti, F. (2005). </w:t>
      </w:r>
      <w:r w:rsidRPr="00F3068C">
        <w:rPr>
          <w:rFonts w:ascii="Calibri" w:hAnsi="Calibri" w:cs="Calibri"/>
          <w:noProof/>
          <w:szCs w:val="24"/>
        </w:rPr>
        <w:t xml:space="preserve">Representation of visual gravitational motion in the human vestibular cortex. </w:t>
      </w:r>
      <w:r w:rsidRPr="00F3068C">
        <w:rPr>
          <w:rFonts w:ascii="Calibri" w:hAnsi="Calibri" w:cs="Calibri"/>
          <w:i/>
          <w:iCs/>
          <w:noProof/>
          <w:szCs w:val="24"/>
        </w:rPr>
        <w:t>Science (New York, N.Y.)</w:t>
      </w:r>
      <w:r w:rsidRPr="00F3068C">
        <w:rPr>
          <w:rFonts w:ascii="Calibri" w:hAnsi="Calibri" w:cs="Calibri"/>
          <w:noProof/>
          <w:szCs w:val="24"/>
        </w:rPr>
        <w:t xml:space="preserve">, </w:t>
      </w:r>
      <w:r w:rsidRPr="00F3068C">
        <w:rPr>
          <w:rFonts w:ascii="Calibri" w:hAnsi="Calibri" w:cs="Calibri"/>
          <w:i/>
          <w:iCs/>
          <w:noProof/>
          <w:szCs w:val="24"/>
        </w:rPr>
        <w:t>308</w:t>
      </w:r>
      <w:r w:rsidRPr="00F3068C">
        <w:rPr>
          <w:rFonts w:ascii="Calibri" w:hAnsi="Calibri" w:cs="Calibri"/>
          <w:noProof/>
          <w:szCs w:val="24"/>
        </w:rPr>
        <w:t>(April), 416–419. https://doi.org/10.1126/science.1107961</w:t>
      </w:r>
    </w:p>
    <w:p w14:paraId="488D2D13"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Jörges, B., &amp; López-Moliner, J. (2019). Earth-Gravity Congruent Motion Facilitates Ocular Control for Pursuit of Parabolic Trajectories. </w:t>
      </w:r>
      <w:r w:rsidRPr="00F3068C">
        <w:rPr>
          <w:rFonts w:ascii="Calibri" w:hAnsi="Calibri" w:cs="Calibri"/>
          <w:i/>
          <w:iCs/>
          <w:noProof/>
          <w:szCs w:val="24"/>
        </w:rPr>
        <w:t>Scientific Reports</w:t>
      </w:r>
      <w:r w:rsidRPr="00F3068C">
        <w:rPr>
          <w:rFonts w:ascii="Calibri" w:hAnsi="Calibri" w:cs="Calibri"/>
          <w:noProof/>
          <w:szCs w:val="24"/>
        </w:rPr>
        <w:t xml:space="preserve">, </w:t>
      </w:r>
      <w:r w:rsidRPr="00F3068C">
        <w:rPr>
          <w:rFonts w:ascii="Calibri" w:hAnsi="Calibri" w:cs="Calibri"/>
          <w:i/>
          <w:iCs/>
          <w:noProof/>
          <w:szCs w:val="24"/>
        </w:rPr>
        <w:t>9</w:t>
      </w:r>
      <w:r w:rsidRPr="00F3068C">
        <w:rPr>
          <w:rFonts w:ascii="Calibri" w:hAnsi="Calibri" w:cs="Calibri"/>
          <w:noProof/>
          <w:szCs w:val="24"/>
        </w:rPr>
        <w:t>(1). https://doi.org/10.1038/s41598-019-50512-6</w:t>
      </w:r>
    </w:p>
    <w:p w14:paraId="6B071687"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Jörges, Björn, Hagenfeld, L., &amp; López-Moliner, J. (2018). The use of visual cues in gravity judgements on </w:t>
      </w:r>
      <w:r w:rsidRPr="00F3068C">
        <w:rPr>
          <w:rFonts w:ascii="Calibri" w:hAnsi="Calibri" w:cs="Calibri"/>
          <w:noProof/>
          <w:szCs w:val="24"/>
        </w:rPr>
        <w:lastRenderedPageBreak/>
        <w:t xml:space="preserve">parabolic motion. </w:t>
      </w:r>
      <w:r w:rsidRPr="00F3068C">
        <w:rPr>
          <w:rFonts w:ascii="Calibri" w:hAnsi="Calibri" w:cs="Calibri"/>
          <w:i/>
          <w:iCs/>
          <w:noProof/>
          <w:szCs w:val="24"/>
        </w:rPr>
        <w:t>Vision Research</w:t>
      </w:r>
      <w:r w:rsidRPr="00F3068C">
        <w:rPr>
          <w:rFonts w:ascii="Calibri" w:hAnsi="Calibri" w:cs="Calibri"/>
          <w:noProof/>
          <w:szCs w:val="24"/>
        </w:rPr>
        <w:t xml:space="preserve">, </w:t>
      </w:r>
      <w:r w:rsidRPr="00F3068C">
        <w:rPr>
          <w:rFonts w:ascii="Calibri" w:hAnsi="Calibri" w:cs="Calibri"/>
          <w:i/>
          <w:iCs/>
          <w:noProof/>
          <w:szCs w:val="24"/>
        </w:rPr>
        <w:t>149</w:t>
      </w:r>
      <w:r w:rsidRPr="00F3068C">
        <w:rPr>
          <w:rFonts w:ascii="Calibri" w:hAnsi="Calibri" w:cs="Calibri"/>
          <w:noProof/>
          <w:szCs w:val="24"/>
        </w:rPr>
        <w:t>, 47–58. https://doi.org/10.1016/J.VISRES.2018.06.002</w:t>
      </w:r>
    </w:p>
    <w:p w14:paraId="09F83713"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Jörges, Björn, &amp; López-Moliner, J. (2017). Gravity as a Strong Prior: Implications for Perception and Action. </w:t>
      </w:r>
      <w:r w:rsidRPr="00F3068C">
        <w:rPr>
          <w:rFonts w:ascii="Calibri" w:hAnsi="Calibri" w:cs="Calibri"/>
          <w:i/>
          <w:iCs/>
          <w:noProof/>
          <w:szCs w:val="24"/>
        </w:rPr>
        <w:t>Frontiers in Human Neuroscience</w:t>
      </w:r>
      <w:r w:rsidRPr="00F3068C">
        <w:rPr>
          <w:rFonts w:ascii="Calibri" w:hAnsi="Calibri" w:cs="Calibri"/>
          <w:noProof/>
          <w:szCs w:val="24"/>
        </w:rPr>
        <w:t xml:space="preserve">, </w:t>
      </w:r>
      <w:r w:rsidRPr="00F3068C">
        <w:rPr>
          <w:rFonts w:ascii="Calibri" w:hAnsi="Calibri" w:cs="Calibri"/>
          <w:i/>
          <w:iCs/>
          <w:noProof/>
          <w:szCs w:val="24"/>
        </w:rPr>
        <w:t>11</w:t>
      </w:r>
      <w:r w:rsidRPr="00F3068C">
        <w:rPr>
          <w:rFonts w:ascii="Calibri" w:hAnsi="Calibri" w:cs="Calibri"/>
          <w:noProof/>
          <w:szCs w:val="24"/>
        </w:rPr>
        <w:t>(203). https://doi.org/10.3389/fnhum.2017.00203</w:t>
      </w:r>
    </w:p>
    <w:p w14:paraId="12659B76"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Jörges, Björn, &amp; López-Moliner, J. (2019). Earth-Gravity Congruent Motion Facilitates Ocular Control for Pursuit of Parabolic Trajectories. </w:t>
      </w:r>
      <w:r w:rsidRPr="00F3068C">
        <w:rPr>
          <w:rFonts w:ascii="Calibri" w:hAnsi="Calibri" w:cs="Calibri"/>
          <w:i/>
          <w:iCs/>
          <w:noProof/>
          <w:szCs w:val="24"/>
        </w:rPr>
        <w:t>Scientific Reports</w:t>
      </w:r>
      <w:r w:rsidRPr="00F3068C">
        <w:rPr>
          <w:rFonts w:ascii="Calibri" w:hAnsi="Calibri" w:cs="Calibri"/>
          <w:noProof/>
          <w:szCs w:val="24"/>
        </w:rPr>
        <w:t xml:space="preserve">, </w:t>
      </w:r>
      <w:r w:rsidRPr="00F3068C">
        <w:rPr>
          <w:rFonts w:ascii="Calibri" w:hAnsi="Calibri" w:cs="Calibri"/>
          <w:i/>
          <w:iCs/>
          <w:noProof/>
          <w:szCs w:val="24"/>
        </w:rPr>
        <w:t>9</w:t>
      </w:r>
      <w:r w:rsidRPr="00F3068C">
        <w:rPr>
          <w:rFonts w:ascii="Calibri" w:hAnsi="Calibri" w:cs="Calibri"/>
          <w:noProof/>
          <w:szCs w:val="24"/>
        </w:rPr>
        <w:t>(1), 1–13. https://doi.org/10.1038/s41598-019-50512-6</w:t>
      </w:r>
    </w:p>
    <w:p w14:paraId="5F09C340"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Kaiser, M. K. (1990). Angular velocity discrimination. </w:t>
      </w:r>
      <w:r w:rsidRPr="00F3068C">
        <w:rPr>
          <w:rFonts w:ascii="Calibri" w:hAnsi="Calibri" w:cs="Calibri"/>
          <w:i/>
          <w:iCs/>
          <w:noProof/>
          <w:szCs w:val="24"/>
        </w:rPr>
        <w:t>Perception &amp; Psychophysics</w:t>
      </w:r>
      <w:r w:rsidRPr="00F3068C">
        <w:rPr>
          <w:rFonts w:ascii="Calibri" w:hAnsi="Calibri" w:cs="Calibri"/>
          <w:noProof/>
          <w:szCs w:val="24"/>
        </w:rPr>
        <w:t xml:space="preserve">, </w:t>
      </w:r>
      <w:r w:rsidRPr="00F3068C">
        <w:rPr>
          <w:rFonts w:ascii="Calibri" w:hAnsi="Calibri" w:cs="Calibri"/>
          <w:i/>
          <w:iCs/>
          <w:noProof/>
          <w:szCs w:val="24"/>
        </w:rPr>
        <w:t>47</w:t>
      </w:r>
      <w:r w:rsidRPr="00F3068C">
        <w:rPr>
          <w:rFonts w:ascii="Calibri" w:hAnsi="Calibri" w:cs="Calibri"/>
          <w:noProof/>
          <w:szCs w:val="24"/>
        </w:rPr>
        <w:t>(2), 149–156. https://doi.org/10.3758/BF03205979</w:t>
      </w:r>
    </w:p>
    <w:p w14:paraId="14944FBC"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La Scaleia, B., Zago, M., Moscatelli, A., Lacquaniti, F., &amp; Viviani, P. (2014). Implied dynamics biases the visual perception of velocity. </w:t>
      </w:r>
      <w:r w:rsidRPr="00F3068C">
        <w:rPr>
          <w:rFonts w:ascii="Calibri" w:hAnsi="Calibri" w:cs="Calibri"/>
          <w:i/>
          <w:iCs/>
          <w:noProof/>
          <w:szCs w:val="24"/>
        </w:rPr>
        <w:t>PLoS ONE</w:t>
      </w:r>
      <w:r w:rsidRPr="00F3068C">
        <w:rPr>
          <w:rFonts w:ascii="Calibri" w:hAnsi="Calibri" w:cs="Calibri"/>
          <w:noProof/>
          <w:szCs w:val="24"/>
        </w:rPr>
        <w:t xml:space="preserve">, </w:t>
      </w:r>
      <w:r w:rsidRPr="00F3068C">
        <w:rPr>
          <w:rFonts w:ascii="Calibri" w:hAnsi="Calibri" w:cs="Calibri"/>
          <w:i/>
          <w:iCs/>
          <w:noProof/>
          <w:szCs w:val="24"/>
        </w:rPr>
        <w:t>9</w:t>
      </w:r>
      <w:r w:rsidRPr="00F3068C">
        <w:rPr>
          <w:rFonts w:ascii="Calibri" w:hAnsi="Calibri" w:cs="Calibri"/>
          <w:noProof/>
          <w:szCs w:val="24"/>
        </w:rPr>
        <w:t>(3). https://doi.org/10.1371/journal.pone.0093020</w:t>
      </w:r>
    </w:p>
    <w:p w14:paraId="18C39ED7"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Lacquaniti, F., Bosco, G., Indovina, I., La Scaleia, B., Maffei, V., Moscatelli, A., &amp; Zago, M. (2013). Visual gravitational motion and the vestibular system in humans. </w:t>
      </w:r>
      <w:r w:rsidRPr="00F3068C">
        <w:rPr>
          <w:rFonts w:ascii="Calibri" w:hAnsi="Calibri" w:cs="Calibri"/>
          <w:i/>
          <w:iCs/>
          <w:noProof/>
          <w:szCs w:val="24"/>
        </w:rPr>
        <w:t>Frontiers in Integrative Neuroscience</w:t>
      </w:r>
      <w:r w:rsidRPr="00F3068C">
        <w:rPr>
          <w:rFonts w:ascii="Calibri" w:hAnsi="Calibri" w:cs="Calibri"/>
          <w:noProof/>
          <w:szCs w:val="24"/>
        </w:rPr>
        <w:t xml:space="preserve">, </w:t>
      </w:r>
      <w:r w:rsidRPr="00F3068C">
        <w:rPr>
          <w:rFonts w:ascii="Calibri" w:hAnsi="Calibri" w:cs="Calibri"/>
          <w:i/>
          <w:iCs/>
          <w:noProof/>
          <w:szCs w:val="24"/>
        </w:rPr>
        <w:t>7</w:t>
      </w:r>
      <w:r w:rsidRPr="00F3068C">
        <w:rPr>
          <w:rFonts w:ascii="Calibri" w:hAnsi="Calibri" w:cs="Calibri"/>
          <w:noProof/>
          <w:szCs w:val="24"/>
        </w:rPr>
        <w:t>(December), 101. https://doi.org/10.3389/fnint.2013.00101</w:t>
      </w:r>
    </w:p>
    <w:p w14:paraId="23B152C8"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Maffei, V., Indovina, I., Macaluso, E., Ivanenko, Y. P., Orban, G. A., &amp; Lacquaniti, F. (2015). Visual gravity cues in the interpretation of biological movements: Neural correlates in humans. </w:t>
      </w:r>
      <w:r w:rsidRPr="00F3068C">
        <w:rPr>
          <w:rFonts w:ascii="Calibri" w:hAnsi="Calibri" w:cs="Calibri"/>
          <w:i/>
          <w:iCs/>
          <w:noProof/>
          <w:szCs w:val="24"/>
        </w:rPr>
        <w:t>NeuroImage</w:t>
      </w:r>
      <w:r w:rsidRPr="00F3068C">
        <w:rPr>
          <w:rFonts w:ascii="Calibri" w:hAnsi="Calibri" w:cs="Calibri"/>
          <w:noProof/>
          <w:szCs w:val="24"/>
        </w:rPr>
        <w:t xml:space="preserve">, </w:t>
      </w:r>
      <w:r w:rsidRPr="00F3068C">
        <w:rPr>
          <w:rFonts w:ascii="Calibri" w:hAnsi="Calibri" w:cs="Calibri"/>
          <w:i/>
          <w:iCs/>
          <w:noProof/>
          <w:szCs w:val="24"/>
        </w:rPr>
        <w:t>104</w:t>
      </w:r>
      <w:r w:rsidRPr="00F3068C">
        <w:rPr>
          <w:rFonts w:ascii="Calibri" w:hAnsi="Calibri" w:cs="Calibri"/>
          <w:noProof/>
          <w:szCs w:val="24"/>
        </w:rPr>
        <w:t>(October 2014), 221–230. https://doi.org/10.1016/j.neuroimage.2014.10.006</w:t>
      </w:r>
    </w:p>
    <w:p w14:paraId="64C190BB"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McIntyre, J., Zago, M., &amp; Berthoz, A. (2001). Does the Brain Model Newton’s Laws. </w:t>
      </w:r>
      <w:r w:rsidRPr="00F3068C">
        <w:rPr>
          <w:rFonts w:ascii="Calibri" w:hAnsi="Calibri" w:cs="Calibri"/>
          <w:i/>
          <w:iCs/>
          <w:noProof/>
          <w:szCs w:val="24"/>
        </w:rPr>
        <w:t>Nature Neuroscience</w:t>
      </w:r>
      <w:r w:rsidRPr="00F3068C">
        <w:rPr>
          <w:rFonts w:ascii="Calibri" w:hAnsi="Calibri" w:cs="Calibri"/>
          <w:noProof/>
          <w:szCs w:val="24"/>
        </w:rPr>
        <w:t xml:space="preserve">, </w:t>
      </w:r>
      <w:r w:rsidRPr="00F3068C">
        <w:rPr>
          <w:rFonts w:ascii="Calibri" w:hAnsi="Calibri" w:cs="Calibri"/>
          <w:i/>
          <w:iCs/>
          <w:noProof/>
          <w:szCs w:val="24"/>
        </w:rPr>
        <w:t>12</w:t>
      </w:r>
      <w:r w:rsidRPr="00F3068C">
        <w:rPr>
          <w:rFonts w:ascii="Calibri" w:hAnsi="Calibri" w:cs="Calibri"/>
          <w:noProof/>
          <w:szCs w:val="24"/>
        </w:rPr>
        <w:t>(17), 109–110. https://doi.org/10.1097/00001756-200112040-00004</w:t>
      </w:r>
    </w:p>
    <w:p w14:paraId="70DA3A1C"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McKee, S. P. (1981). A local mechanism for differential velocity detection. </w:t>
      </w:r>
      <w:r w:rsidRPr="00F3068C">
        <w:rPr>
          <w:rFonts w:ascii="Calibri" w:hAnsi="Calibri" w:cs="Calibri"/>
          <w:i/>
          <w:iCs/>
          <w:noProof/>
          <w:szCs w:val="24"/>
        </w:rPr>
        <w:t>Vision Research</w:t>
      </w:r>
      <w:r w:rsidRPr="00F3068C">
        <w:rPr>
          <w:rFonts w:ascii="Calibri" w:hAnsi="Calibri" w:cs="Calibri"/>
          <w:noProof/>
          <w:szCs w:val="24"/>
        </w:rPr>
        <w:t xml:space="preserve">, </w:t>
      </w:r>
      <w:r w:rsidRPr="00F3068C">
        <w:rPr>
          <w:rFonts w:ascii="Calibri" w:hAnsi="Calibri" w:cs="Calibri"/>
          <w:i/>
          <w:iCs/>
          <w:noProof/>
          <w:szCs w:val="24"/>
        </w:rPr>
        <w:t>21</w:t>
      </w:r>
      <w:r w:rsidRPr="00F3068C">
        <w:rPr>
          <w:rFonts w:ascii="Calibri" w:hAnsi="Calibri" w:cs="Calibri"/>
          <w:noProof/>
          <w:szCs w:val="24"/>
        </w:rPr>
        <w:t>(4), 491–500. https://doi.org/10.1016/0042-6989(81)90095-X</w:t>
      </w:r>
    </w:p>
    <w:p w14:paraId="7EF43EC0"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Mijatovic, A., La Scaleia, B., Mercuri, N., Lacquaniti, F., &amp; Zago, M. (2014). Familiar trajectories facilitate </w:t>
      </w:r>
      <w:r w:rsidRPr="00F3068C">
        <w:rPr>
          <w:rFonts w:ascii="Calibri" w:hAnsi="Calibri" w:cs="Calibri"/>
          <w:noProof/>
          <w:szCs w:val="24"/>
        </w:rPr>
        <w:lastRenderedPageBreak/>
        <w:t xml:space="preserve">the interpretation of physical forces when intercepting a moving target. </w:t>
      </w:r>
      <w:r w:rsidRPr="00F3068C">
        <w:rPr>
          <w:rFonts w:ascii="Calibri" w:hAnsi="Calibri" w:cs="Calibri"/>
          <w:i/>
          <w:iCs/>
          <w:noProof/>
          <w:szCs w:val="24"/>
        </w:rPr>
        <w:t>Experimental Brain Research</w:t>
      </w:r>
      <w:r w:rsidRPr="00F3068C">
        <w:rPr>
          <w:rFonts w:ascii="Calibri" w:hAnsi="Calibri" w:cs="Calibri"/>
          <w:noProof/>
          <w:szCs w:val="24"/>
        </w:rPr>
        <w:t xml:space="preserve">, </w:t>
      </w:r>
      <w:r w:rsidRPr="00F3068C">
        <w:rPr>
          <w:rFonts w:ascii="Calibri" w:hAnsi="Calibri" w:cs="Calibri"/>
          <w:i/>
          <w:iCs/>
          <w:noProof/>
          <w:szCs w:val="24"/>
        </w:rPr>
        <w:t>232</w:t>
      </w:r>
      <w:r w:rsidRPr="00F3068C">
        <w:rPr>
          <w:rFonts w:ascii="Calibri" w:hAnsi="Calibri" w:cs="Calibri"/>
          <w:noProof/>
          <w:szCs w:val="24"/>
        </w:rPr>
        <w:t>(12), 3803–3811. https://doi.org/10.1007/s00221-014-4050-6</w:t>
      </w:r>
    </w:p>
    <w:p w14:paraId="7B18523E"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Monache, S. D., Lacquaniti, F., &amp; Bosco, G. (2019). Ocular tracking of occluded ballistic trajectories: Effects of visual context and of target law of motion. </w:t>
      </w:r>
      <w:r w:rsidRPr="00F3068C">
        <w:rPr>
          <w:rFonts w:ascii="Calibri" w:hAnsi="Calibri" w:cs="Calibri"/>
          <w:i/>
          <w:iCs/>
          <w:noProof/>
          <w:szCs w:val="24"/>
        </w:rPr>
        <w:t>Journal of Vision</w:t>
      </w:r>
      <w:r w:rsidRPr="00F3068C">
        <w:rPr>
          <w:rFonts w:ascii="Calibri" w:hAnsi="Calibri" w:cs="Calibri"/>
          <w:noProof/>
          <w:szCs w:val="24"/>
        </w:rPr>
        <w:t xml:space="preserve">, </w:t>
      </w:r>
      <w:r w:rsidRPr="00F3068C">
        <w:rPr>
          <w:rFonts w:ascii="Calibri" w:hAnsi="Calibri" w:cs="Calibri"/>
          <w:i/>
          <w:iCs/>
          <w:noProof/>
          <w:szCs w:val="24"/>
        </w:rPr>
        <w:t>19</w:t>
      </w:r>
      <w:r w:rsidRPr="00F3068C">
        <w:rPr>
          <w:rFonts w:ascii="Calibri" w:hAnsi="Calibri" w:cs="Calibri"/>
          <w:noProof/>
          <w:szCs w:val="24"/>
        </w:rPr>
        <w:t>(4), 1–21. https://doi.org/10.1167/19.4.13</w:t>
      </w:r>
    </w:p>
    <w:p w14:paraId="6F181685"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Moscatelli, A., &amp; Lacquaniti, F. (2011). The weight of time: Gravitational force enhances discrimination of visual motion duration. </w:t>
      </w:r>
      <w:r w:rsidRPr="00F3068C">
        <w:rPr>
          <w:rFonts w:ascii="Calibri" w:hAnsi="Calibri" w:cs="Calibri"/>
          <w:i/>
          <w:iCs/>
          <w:noProof/>
          <w:szCs w:val="24"/>
        </w:rPr>
        <w:t>Journal of Vision</w:t>
      </w:r>
      <w:r w:rsidRPr="00F3068C">
        <w:rPr>
          <w:rFonts w:ascii="Calibri" w:hAnsi="Calibri" w:cs="Calibri"/>
          <w:noProof/>
          <w:szCs w:val="24"/>
        </w:rPr>
        <w:t xml:space="preserve">, </w:t>
      </w:r>
      <w:r w:rsidRPr="00F3068C">
        <w:rPr>
          <w:rFonts w:ascii="Calibri" w:hAnsi="Calibri" w:cs="Calibri"/>
          <w:i/>
          <w:iCs/>
          <w:noProof/>
          <w:szCs w:val="24"/>
        </w:rPr>
        <w:t>11</w:t>
      </w:r>
      <w:r w:rsidRPr="00F3068C">
        <w:rPr>
          <w:rFonts w:ascii="Calibri" w:hAnsi="Calibri" w:cs="Calibri"/>
          <w:noProof/>
          <w:szCs w:val="24"/>
        </w:rPr>
        <w:t>(4), 1–17. https://doi.org/10.1167/11.4.1</w:t>
      </w:r>
    </w:p>
    <w:p w14:paraId="0A24F238"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Nelder, J. A., &amp; Mead, R. (1965). A Simplex Method for Function Minimization. </w:t>
      </w:r>
      <w:r w:rsidRPr="00F3068C">
        <w:rPr>
          <w:rFonts w:ascii="Calibri" w:hAnsi="Calibri" w:cs="Calibri"/>
          <w:i/>
          <w:iCs/>
          <w:noProof/>
          <w:szCs w:val="24"/>
        </w:rPr>
        <w:t>The Computer Journal</w:t>
      </w:r>
      <w:r w:rsidRPr="00F3068C">
        <w:rPr>
          <w:rFonts w:ascii="Calibri" w:hAnsi="Calibri" w:cs="Calibri"/>
          <w:noProof/>
          <w:szCs w:val="24"/>
        </w:rPr>
        <w:t xml:space="preserve">, </w:t>
      </w:r>
      <w:r w:rsidRPr="00F3068C">
        <w:rPr>
          <w:rFonts w:ascii="Calibri" w:hAnsi="Calibri" w:cs="Calibri"/>
          <w:i/>
          <w:iCs/>
          <w:noProof/>
          <w:szCs w:val="24"/>
        </w:rPr>
        <w:t>7</w:t>
      </w:r>
      <w:r w:rsidRPr="00F3068C">
        <w:rPr>
          <w:rFonts w:ascii="Calibri" w:hAnsi="Calibri" w:cs="Calibri"/>
          <w:noProof/>
          <w:szCs w:val="24"/>
        </w:rPr>
        <w:t>(4), 308–313. https://doi.org/10.1093/comjnl/7.4.308</w:t>
      </w:r>
    </w:p>
    <w:p w14:paraId="466CF23C"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Norman, J. F., Todd, J. T., Perotti, V. J., &amp; Tittle, J. S. (1996). The Visual Perception of Three-Dimensional Length. </w:t>
      </w:r>
      <w:r w:rsidRPr="00F3068C">
        <w:rPr>
          <w:rFonts w:ascii="Calibri" w:hAnsi="Calibri" w:cs="Calibri"/>
          <w:i/>
          <w:iCs/>
          <w:noProof/>
          <w:szCs w:val="24"/>
        </w:rPr>
        <w:t>Journal of Experimental Psychology: Human Perception and Performance</w:t>
      </w:r>
      <w:r w:rsidRPr="00F3068C">
        <w:rPr>
          <w:rFonts w:ascii="Calibri" w:hAnsi="Calibri" w:cs="Calibri"/>
          <w:noProof/>
          <w:szCs w:val="24"/>
        </w:rPr>
        <w:t xml:space="preserve">, </w:t>
      </w:r>
      <w:r w:rsidRPr="00F3068C">
        <w:rPr>
          <w:rFonts w:ascii="Calibri" w:hAnsi="Calibri" w:cs="Calibri"/>
          <w:i/>
          <w:iCs/>
          <w:noProof/>
          <w:szCs w:val="24"/>
        </w:rPr>
        <w:t>22</w:t>
      </w:r>
      <w:r w:rsidRPr="00F3068C">
        <w:rPr>
          <w:rFonts w:ascii="Calibri" w:hAnsi="Calibri" w:cs="Calibri"/>
          <w:noProof/>
          <w:szCs w:val="24"/>
        </w:rPr>
        <w:t>(1), 173–186. https://doi.org/10.1037/0096-1523.22.1.173</w:t>
      </w:r>
    </w:p>
    <w:p w14:paraId="5C95C1DC"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6F51F1">
        <w:rPr>
          <w:rFonts w:ascii="Calibri" w:hAnsi="Calibri" w:cs="Calibri"/>
          <w:noProof/>
          <w:szCs w:val="24"/>
          <w:lang w:val="de-DE"/>
        </w:rPr>
        <w:t xml:space="preserve">Peirce, J. W. (2007). PsychoPy—Psychophysics software in Python. </w:t>
      </w:r>
      <w:r w:rsidRPr="00F3068C">
        <w:rPr>
          <w:rFonts w:ascii="Calibri" w:hAnsi="Calibri" w:cs="Calibri"/>
          <w:i/>
          <w:iCs/>
          <w:noProof/>
          <w:szCs w:val="24"/>
        </w:rPr>
        <w:t>Journal of Neuroscience Methods</w:t>
      </w:r>
      <w:r w:rsidRPr="00F3068C">
        <w:rPr>
          <w:rFonts w:ascii="Calibri" w:hAnsi="Calibri" w:cs="Calibri"/>
          <w:noProof/>
          <w:szCs w:val="24"/>
        </w:rPr>
        <w:t xml:space="preserve">, </w:t>
      </w:r>
      <w:r w:rsidRPr="00F3068C">
        <w:rPr>
          <w:rFonts w:ascii="Calibri" w:hAnsi="Calibri" w:cs="Calibri"/>
          <w:i/>
          <w:iCs/>
          <w:noProof/>
          <w:szCs w:val="24"/>
        </w:rPr>
        <w:t>162</w:t>
      </w:r>
      <w:r w:rsidRPr="00F3068C">
        <w:rPr>
          <w:rFonts w:ascii="Calibri" w:hAnsi="Calibri" w:cs="Calibri"/>
          <w:noProof/>
          <w:szCs w:val="24"/>
        </w:rPr>
        <w:t>(1–2), 8–13. https://doi.org/10.1016/J.JNEUMETH.2006.11.017</w:t>
      </w:r>
    </w:p>
    <w:p w14:paraId="783AFB7F"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R Core Team. (2017). </w:t>
      </w:r>
      <w:r w:rsidRPr="00F3068C">
        <w:rPr>
          <w:rFonts w:ascii="Calibri" w:hAnsi="Calibri" w:cs="Calibri"/>
          <w:i/>
          <w:iCs/>
          <w:noProof/>
          <w:szCs w:val="24"/>
        </w:rPr>
        <w:t>A Language and Environment for Statistical Computing. R Foundation for Statistical Computing,</w:t>
      </w:r>
      <w:r w:rsidRPr="00F3068C">
        <w:rPr>
          <w:rFonts w:ascii="Calibri" w:hAnsi="Calibri" w:cs="Calibri"/>
          <w:noProof/>
          <w:szCs w:val="24"/>
        </w:rPr>
        <w:t>. Retrieved from http://www.r-project.org/.</w:t>
      </w:r>
    </w:p>
    <w:p w14:paraId="09CF2A88"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Schoups, A. A., Vogels, R., &amp; Orban, G. A. (1995). Human perceptual learning in identifying the oblique orientation: retinotopy, orientation specificity and monocularity. </w:t>
      </w:r>
      <w:r w:rsidRPr="00F3068C">
        <w:rPr>
          <w:rFonts w:ascii="Calibri" w:hAnsi="Calibri" w:cs="Calibri"/>
          <w:i/>
          <w:iCs/>
          <w:noProof/>
          <w:szCs w:val="24"/>
        </w:rPr>
        <w:t>The Journal of Physiology</w:t>
      </w:r>
      <w:r w:rsidRPr="00F3068C">
        <w:rPr>
          <w:rFonts w:ascii="Calibri" w:hAnsi="Calibri" w:cs="Calibri"/>
          <w:noProof/>
          <w:szCs w:val="24"/>
        </w:rPr>
        <w:t xml:space="preserve">, </w:t>
      </w:r>
      <w:r w:rsidRPr="00F3068C">
        <w:rPr>
          <w:rFonts w:ascii="Calibri" w:hAnsi="Calibri" w:cs="Calibri"/>
          <w:i/>
          <w:iCs/>
          <w:noProof/>
          <w:szCs w:val="24"/>
        </w:rPr>
        <w:t>483</w:t>
      </w:r>
      <w:r w:rsidRPr="00F3068C">
        <w:rPr>
          <w:rFonts w:ascii="Calibri" w:hAnsi="Calibri" w:cs="Calibri"/>
          <w:noProof/>
          <w:szCs w:val="24"/>
        </w:rPr>
        <w:t>(3), 797–810. https://doi.org/10.1113/jphysiol.1995.sp020623</w:t>
      </w:r>
    </w:p>
    <w:p w14:paraId="6B9F4C64"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F3068C">
        <w:rPr>
          <w:rFonts w:ascii="Calibri" w:hAnsi="Calibri" w:cs="Calibri"/>
          <w:i/>
          <w:iCs/>
          <w:noProof/>
          <w:szCs w:val="24"/>
        </w:rPr>
        <w:t>Journal of Neuroscience</w:t>
      </w:r>
      <w:r w:rsidRPr="00F3068C">
        <w:rPr>
          <w:rFonts w:ascii="Calibri" w:hAnsi="Calibri" w:cs="Calibri"/>
          <w:noProof/>
          <w:szCs w:val="24"/>
        </w:rPr>
        <w:t xml:space="preserve">, </w:t>
      </w:r>
      <w:r w:rsidRPr="00F3068C">
        <w:rPr>
          <w:rFonts w:ascii="Calibri" w:hAnsi="Calibri" w:cs="Calibri"/>
          <w:i/>
          <w:iCs/>
          <w:noProof/>
          <w:szCs w:val="24"/>
        </w:rPr>
        <w:t>32</w:t>
      </w:r>
      <w:r w:rsidRPr="00F3068C">
        <w:rPr>
          <w:rFonts w:ascii="Calibri" w:hAnsi="Calibri" w:cs="Calibri"/>
          <w:noProof/>
          <w:szCs w:val="24"/>
        </w:rPr>
        <w:t>(6), 1969–1973. https://doi.org/10.1523/JNEUROSCI.3886-11.2012</w:t>
      </w:r>
    </w:p>
    <w:p w14:paraId="59427FE1"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lastRenderedPageBreak/>
        <w:t xml:space="preserve">Spering, M., &amp; Montagnini, A. (2011). Do we track what we see? Common versus independent processing for motion perception and smooth pursuit eye movements: A review. </w:t>
      </w:r>
      <w:r w:rsidRPr="00F3068C">
        <w:rPr>
          <w:rFonts w:ascii="Calibri" w:hAnsi="Calibri" w:cs="Calibri"/>
          <w:i/>
          <w:iCs/>
          <w:noProof/>
          <w:szCs w:val="24"/>
        </w:rPr>
        <w:t>Vision Research</w:t>
      </w:r>
      <w:r w:rsidRPr="00F3068C">
        <w:rPr>
          <w:rFonts w:ascii="Calibri" w:hAnsi="Calibri" w:cs="Calibri"/>
          <w:noProof/>
          <w:szCs w:val="24"/>
        </w:rPr>
        <w:t xml:space="preserve">, </w:t>
      </w:r>
      <w:r w:rsidRPr="00F3068C">
        <w:rPr>
          <w:rFonts w:ascii="Calibri" w:hAnsi="Calibri" w:cs="Calibri"/>
          <w:i/>
          <w:iCs/>
          <w:noProof/>
          <w:szCs w:val="24"/>
        </w:rPr>
        <w:t>51</w:t>
      </w:r>
      <w:r w:rsidRPr="00F3068C">
        <w:rPr>
          <w:rFonts w:ascii="Calibri" w:hAnsi="Calibri" w:cs="Calibri"/>
          <w:noProof/>
          <w:szCs w:val="24"/>
        </w:rPr>
        <w:t>(8), 836–852. https://doi.org/10.1016/j.visres.2010.10.017</w:t>
      </w:r>
    </w:p>
    <w:p w14:paraId="6730B5C6"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Stan Development Team. (2016). </w:t>
      </w:r>
      <w:r w:rsidRPr="00F3068C">
        <w:rPr>
          <w:rFonts w:ascii="Calibri" w:hAnsi="Calibri" w:cs="Calibri"/>
          <w:i/>
          <w:iCs/>
          <w:noProof/>
          <w:szCs w:val="24"/>
        </w:rPr>
        <w:t>Stan: the R interface to Stan. R package version 2.14.1</w:t>
      </w:r>
      <w:r w:rsidRPr="00F3068C">
        <w:rPr>
          <w:rFonts w:ascii="Calibri" w:hAnsi="Calibri" w:cs="Calibri"/>
          <w:noProof/>
          <w:szCs w:val="24"/>
        </w:rPr>
        <w:t>. 1–23. Retrieved from http://mc-stan.org</w:t>
      </w:r>
    </w:p>
    <w:p w14:paraId="52BA615E"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6F51F1">
        <w:rPr>
          <w:rFonts w:ascii="Calibri" w:hAnsi="Calibri" w:cs="Calibri"/>
          <w:noProof/>
          <w:szCs w:val="24"/>
          <w:lang w:val="de-DE"/>
        </w:rPr>
        <w:t xml:space="preserve">Werkhoven, P., Snippe, H. P., &amp; Alexander, T. (1992). </w:t>
      </w:r>
      <w:r w:rsidRPr="00F3068C">
        <w:rPr>
          <w:rFonts w:ascii="Calibri" w:hAnsi="Calibri" w:cs="Calibri"/>
          <w:noProof/>
          <w:szCs w:val="24"/>
        </w:rPr>
        <w:t xml:space="preserve">Visual processing of optic acceleration. </w:t>
      </w:r>
      <w:r w:rsidRPr="00F3068C">
        <w:rPr>
          <w:rFonts w:ascii="Calibri" w:hAnsi="Calibri" w:cs="Calibri"/>
          <w:i/>
          <w:iCs/>
          <w:noProof/>
          <w:szCs w:val="24"/>
        </w:rPr>
        <w:t>Vision Research</w:t>
      </w:r>
      <w:r w:rsidRPr="00F3068C">
        <w:rPr>
          <w:rFonts w:ascii="Calibri" w:hAnsi="Calibri" w:cs="Calibri"/>
          <w:noProof/>
          <w:szCs w:val="24"/>
        </w:rPr>
        <w:t xml:space="preserve">, </w:t>
      </w:r>
      <w:r w:rsidRPr="00F3068C">
        <w:rPr>
          <w:rFonts w:ascii="Calibri" w:hAnsi="Calibri" w:cs="Calibri"/>
          <w:i/>
          <w:iCs/>
          <w:noProof/>
          <w:szCs w:val="24"/>
        </w:rPr>
        <w:t>32</w:t>
      </w:r>
      <w:r w:rsidRPr="00F3068C">
        <w:rPr>
          <w:rFonts w:ascii="Calibri" w:hAnsi="Calibri" w:cs="Calibri"/>
          <w:noProof/>
          <w:szCs w:val="24"/>
        </w:rPr>
        <w:t>(12), 2313–2329. https://doi.org/10.1016/0042-6989(92)90095-Z</w:t>
      </w:r>
    </w:p>
    <w:p w14:paraId="53363754"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Wertheim, A. H., &amp; Van Gelder, P. (1990). An acceleration illusion caused by underestimation of stimulus velocity during pursuit eye movements: Aubert-Fleischl revisited. </w:t>
      </w:r>
      <w:r w:rsidRPr="00F3068C">
        <w:rPr>
          <w:rFonts w:ascii="Calibri" w:hAnsi="Calibri" w:cs="Calibri"/>
          <w:i/>
          <w:iCs/>
          <w:noProof/>
          <w:szCs w:val="24"/>
        </w:rPr>
        <w:t>Perception</w:t>
      </w:r>
      <w:r w:rsidRPr="00F3068C">
        <w:rPr>
          <w:rFonts w:ascii="Calibri" w:hAnsi="Calibri" w:cs="Calibri"/>
          <w:noProof/>
          <w:szCs w:val="24"/>
        </w:rPr>
        <w:t xml:space="preserve">, </w:t>
      </w:r>
      <w:r w:rsidRPr="00F3068C">
        <w:rPr>
          <w:rFonts w:ascii="Calibri" w:hAnsi="Calibri" w:cs="Calibri"/>
          <w:i/>
          <w:iCs/>
          <w:noProof/>
          <w:szCs w:val="24"/>
        </w:rPr>
        <w:t>19</w:t>
      </w:r>
      <w:r w:rsidRPr="00F3068C">
        <w:rPr>
          <w:rFonts w:ascii="Calibri" w:hAnsi="Calibri" w:cs="Calibri"/>
          <w:noProof/>
          <w:szCs w:val="24"/>
        </w:rPr>
        <w:t>(4), 471–482. https://doi.org/10.1068/p190471</w:t>
      </w:r>
    </w:p>
    <w:p w14:paraId="61F565BC"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Zago, M., Bosco, G., Maffei, V., Iosa, M., Ivanenko, Y., &amp; Lacquaniti, F. (2004a). Internal Models of Target Motion: Expected Dynamics Overrides Measured Kinematics in Timing Manual Interceptions. </w:t>
      </w:r>
      <w:r w:rsidRPr="00F3068C">
        <w:rPr>
          <w:rFonts w:ascii="Calibri" w:hAnsi="Calibri" w:cs="Calibri"/>
          <w:i/>
          <w:iCs/>
          <w:noProof/>
          <w:szCs w:val="24"/>
        </w:rPr>
        <w:t>Journal of Neurophysiology</w:t>
      </w:r>
      <w:r w:rsidRPr="00F3068C">
        <w:rPr>
          <w:rFonts w:ascii="Calibri" w:hAnsi="Calibri" w:cs="Calibri"/>
          <w:noProof/>
          <w:szCs w:val="24"/>
        </w:rPr>
        <w:t xml:space="preserve">, </w:t>
      </w:r>
      <w:r w:rsidRPr="00F3068C">
        <w:rPr>
          <w:rFonts w:ascii="Calibri" w:hAnsi="Calibri" w:cs="Calibri"/>
          <w:i/>
          <w:iCs/>
          <w:noProof/>
          <w:szCs w:val="24"/>
        </w:rPr>
        <w:t>91</w:t>
      </w:r>
      <w:r w:rsidRPr="00F3068C">
        <w:rPr>
          <w:rFonts w:ascii="Calibri" w:hAnsi="Calibri" w:cs="Calibri"/>
          <w:noProof/>
          <w:szCs w:val="24"/>
        </w:rPr>
        <w:t>(4), 1620–1634. https://doi.org/10.1152/jn.00862.2003</w:t>
      </w:r>
    </w:p>
    <w:p w14:paraId="1E4CBD6F"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Zago, M., Bosco, G., Maffei, V., Iosa, M., Ivanenko, Y. P., &amp; Lacquaniti, F. (2004b). Fast Adaptation of the Internal Model of Gravity for Manual Interceptions: Evidence for Event-Dependent Learning. </w:t>
      </w:r>
      <w:r w:rsidRPr="00F3068C">
        <w:rPr>
          <w:rFonts w:ascii="Calibri" w:hAnsi="Calibri" w:cs="Calibri"/>
          <w:i/>
          <w:iCs/>
          <w:noProof/>
          <w:szCs w:val="24"/>
        </w:rPr>
        <w:t>Journal of Neurophysiology</w:t>
      </w:r>
      <w:r w:rsidRPr="00F3068C">
        <w:rPr>
          <w:rFonts w:ascii="Calibri" w:hAnsi="Calibri" w:cs="Calibri"/>
          <w:noProof/>
          <w:szCs w:val="24"/>
        </w:rPr>
        <w:t xml:space="preserve">, </w:t>
      </w:r>
      <w:r w:rsidRPr="00F3068C">
        <w:rPr>
          <w:rFonts w:ascii="Calibri" w:hAnsi="Calibri" w:cs="Calibri"/>
          <w:i/>
          <w:iCs/>
          <w:noProof/>
          <w:szCs w:val="24"/>
        </w:rPr>
        <w:t>93</w:t>
      </w:r>
      <w:r w:rsidRPr="00F3068C">
        <w:rPr>
          <w:rFonts w:ascii="Calibri" w:hAnsi="Calibri" w:cs="Calibri"/>
          <w:noProof/>
          <w:szCs w:val="24"/>
        </w:rPr>
        <w:t>(2), 1055–1068. https://doi.org/10.1152/jn.00833.2004</w:t>
      </w:r>
    </w:p>
    <w:p w14:paraId="010C0087"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Zago, M., La Scaleia, B., Miller, W. L., &amp; Lacquaniti, F. (2011). Coherence of structural visual cues and pictorial gravity paves the way for interceptive actions. </w:t>
      </w:r>
      <w:r w:rsidRPr="00F3068C">
        <w:rPr>
          <w:rFonts w:ascii="Calibri" w:hAnsi="Calibri" w:cs="Calibri"/>
          <w:i/>
          <w:iCs/>
          <w:noProof/>
          <w:szCs w:val="24"/>
        </w:rPr>
        <w:t>Journal of Vision</w:t>
      </w:r>
      <w:r w:rsidRPr="00F3068C">
        <w:rPr>
          <w:rFonts w:ascii="Calibri" w:hAnsi="Calibri" w:cs="Calibri"/>
          <w:noProof/>
          <w:szCs w:val="24"/>
        </w:rPr>
        <w:t xml:space="preserve">, </w:t>
      </w:r>
      <w:r w:rsidRPr="00F3068C">
        <w:rPr>
          <w:rFonts w:ascii="Calibri" w:hAnsi="Calibri" w:cs="Calibri"/>
          <w:i/>
          <w:iCs/>
          <w:noProof/>
          <w:szCs w:val="24"/>
        </w:rPr>
        <w:t>11</w:t>
      </w:r>
      <w:r w:rsidRPr="00F3068C">
        <w:rPr>
          <w:rFonts w:ascii="Calibri" w:hAnsi="Calibri" w:cs="Calibri"/>
          <w:noProof/>
          <w:szCs w:val="24"/>
        </w:rPr>
        <w:t>(10), 1–10. https://doi.org/10.1167/11.10.13.Introduction</w:t>
      </w:r>
    </w:p>
    <w:p w14:paraId="447CED2C" w14:textId="77777777" w:rsidR="00F3068C" w:rsidRP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t xml:space="preserve">Zago, M., &amp; Lacquaniti, F. (2005). Cognitive, perceptual and action-oriented representations of falling objects. </w:t>
      </w:r>
      <w:r w:rsidRPr="00F3068C">
        <w:rPr>
          <w:rFonts w:ascii="Calibri" w:hAnsi="Calibri" w:cs="Calibri"/>
          <w:i/>
          <w:iCs/>
          <w:noProof/>
          <w:szCs w:val="24"/>
        </w:rPr>
        <w:t>Neuropsychologia</w:t>
      </w:r>
      <w:r w:rsidRPr="00F3068C">
        <w:rPr>
          <w:rFonts w:ascii="Calibri" w:hAnsi="Calibri" w:cs="Calibri"/>
          <w:noProof/>
          <w:szCs w:val="24"/>
        </w:rPr>
        <w:t xml:space="preserve">, </w:t>
      </w:r>
      <w:r w:rsidRPr="00F3068C">
        <w:rPr>
          <w:rFonts w:ascii="Calibri" w:hAnsi="Calibri" w:cs="Calibri"/>
          <w:i/>
          <w:iCs/>
          <w:noProof/>
          <w:szCs w:val="24"/>
        </w:rPr>
        <w:t>43</w:t>
      </w:r>
      <w:r w:rsidRPr="00F3068C">
        <w:rPr>
          <w:rFonts w:ascii="Calibri" w:hAnsi="Calibri" w:cs="Calibri"/>
          <w:noProof/>
          <w:szCs w:val="24"/>
        </w:rPr>
        <w:t>(2 SPEC. ISS.), 178–188. https://doi.org/10.1016/j.neuropsychologia.2004.11.005</w:t>
      </w:r>
    </w:p>
    <w:p w14:paraId="07A37852" w14:textId="02766911" w:rsidR="00F3068C" w:rsidRDefault="00F3068C" w:rsidP="00F3068C">
      <w:pPr>
        <w:widowControl w:val="0"/>
        <w:autoSpaceDE w:val="0"/>
        <w:autoSpaceDN w:val="0"/>
        <w:adjustRightInd w:val="0"/>
        <w:spacing w:line="480" w:lineRule="auto"/>
        <w:ind w:left="480" w:hanging="480"/>
        <w:rPr>
          <w:rFonts w:ascii="Calibri" w:hAnsi="Calibri" w:cs="Calibri"/>
          <w:noProof/>
          <w:szCs w:val="24"/>
        </w:rPr>
      </w:pPr>
      <w:r w:rsidRPr="00F3068C">
        <w:rPr>
          <w:rFonts w:ascii="Calibri" w:hAnsi="Calibri" w:cs="Calibri"/>
          <w:noProof/>
          <w:szCs w:val="24"/>
        </w:rPr>
        <w:lastRenderedPageBreak/>
        <w:t xml:space="preserve">Zago, M., McIntyre, J., Senot, P., &amp; Lacquaniti, F. (2008). Internal models and prediction of visual gravitational motion. </w:t>
      </w:r>
      <w:r w:rsidRPr="00F3068C">
        <w:rPr>
          <w:rFonts w:ascii="Calibri" w:hAnsi="Calibri" w:cs="Calibri"/>
          <w:i/>
          <w:iCs/>
          <w:noProof/>
          <w:szCs w:val="24"/>
        </w:rPr>
        <w:t>Vision Research</w:t>
      </w:r>
      <w:r w:rsidRPr="00F3068C">
        <w:rPr>
          <w:rFonts w:ascii="Calibri" w:hAnsi="Calibri" w:cs="Calibri"/>
          <w:noProof/>
          <w:szCs w:val="24"/>
        </w:rPr>
        <w:t xml:space="preserve">, </w:t>
      </w:r>
      <w:r w:rsidRPr="00F3068C">
        <w:rPr>
          <w:rFonts w:ascii="Calibri" w:hAnsi="Calibri" w:cs="Calibri"/>
          <w:i/>
          <w:iCs/>
          <w:noProof/>
          <w:szCs w:val="24"/>
        </w:rPr>
        <w:t>48</w:t>
      </w:r>
      <w:r w:rsidRPr="00F3068C">
        <w:rPr>
          <w:rFonts w:ascii="Calibri" w:hAnsi="Calibri" w:cs="Calibri"/>
          <w:noProof/>
          <w:szCs w:val="24"/>
        </w:rPr>
        <w:t>(14), 1532–1538. https://doi.org/10.1016/j.visres.2008.04.005</w:t>
      </w:r>
    </w:p>
    <w:p w14:paraId="13A9658E" w14:textId="64A9AACA" w:rsidR="00A07C0E" w:rsidRDefault="00A07C0E" w:rsidP="00F3068C">
      <w:pPr>
        <w:widowControl w:val="0"/>
        <w:autoSpaceDE w:val="0"/>
        <w:autoSpaceDN w:val="0"/>
        <w:adjustRightInd w:val="0"/>
        <w:spacing w:line="480" w:lineRule="auto"/>
        <w:ind w:left="480" w:hanging="480"/>
        <w:rPr>
          <w:rFonts w:ascii="Calibri" w:hAnsi="Calibri" w:cs="Calibri"/>
          <w:noProof/>
          <w:szCs w:val="24"/>
        </w:rPr>
      </w:pPr>
    </w:p>
    <w:p w14:paraId="5C09ECAF" w14:textId="448081E2" w:rsidR="00A07C0E" w:rsidRDefault="00A07C0E" w:rsidP="00F3068C">
      <w:pPr>
        <w:widowControl w:val="0"/>
        <w:autoSpaceDE w:val="0"/>
        <w:autoSpaceDN w:val="0"/>
        <w:adjustRightInd w:val="0"/>
        <w:spacing w:line="480" w:lineRule="auto"/>
        <w:ind w:left="480" w:hanging="480"/>
        <w:rPr>
          <w:rFonts w:ascii="Calibri" w:hAnsi="Calibri" w:cs="Calibri"/>
          <w:noProof/>
          <w:szCs w:val="24"/>
        </w:rPr>
      </w:pPr>
      <w:bookmarkStart w:id="1" w:name="_GoBack"/>
      <w:bookmarkEnd w:id="1"/>
    </w:p>
    <w:p w14:paraId="20EA18BD" w14:textId="5F16B84F" w:rsidR="00A07C0E" w:rsidRDefault="00A07C0E" w:rsidP="00BF7AD4">
      <w:pPr>
        <w:spacing w:line="480" w:lineRule="auto"/>
        <w:jc w:val="both"/>
      </w:pPr>
      <w:r w:rsidRPr="00A07C0E">
        <w:t xml:space="preserve">Figure </w:t>
      </w:r>
      <w:r w:rsidRPr="00A07C0E">
        <w:fldChar w:fldCharType="begin"/>
      </w:r>
      <w:r w:rsidRPr="00A07C0E">
        <w:instrText xml:space="preserve"> SEQ Figure \* ARABIC </w:instrText>
      </w:r>
      <w:r w:rsidRPr="00A07C0E">
        <w:fldChar w:fldCharType="separate"/>
      </w:r>
      <w:r w:rsidRPr="00A07C0E">
        <w:rPr>
          <w:noProof/>
        </w:rPr>
        <w:t>1</w:t>
      </w:r>
      <w:r w:rsidRPr="00A07C0E">
        <w:fldChar w:fldCharType="end"/>
      </w:r>
      <w:r w:rsidRPr="00A07C0E">
        <w:t>: Graphical illustration of Likelihood, Prior and Posterior in a Bayesian framework, for both a normal, relatively shallow Prior, and a strong, extremely precise Prior.</w:t>
      </w:r>
    </w:p>
    <w:p w14:paraId="25E9953B" w14:textId="77777777" w:rsidR="00A07C0E" w:rsidRPr="00820822" w:rsidRDefault="00A07C0E" w:rsidP="00BF7AD4">
      <w:pPr>
        <w:spacing w:line="480" w:lineRule="auto"/>
        <w:jc w:val="both"/>
      </w:pPr>
      <w:r w:rsidRPr="00820822">
        <w:t xml:space="preserve">Figure </w:t>
      </w:r>
      <w:r>
        <w:fldChar w:fldCharType="begin"/>
      </w:r>
      <w:r w:rsidRPr="00820822">
        <w:instrText xml:space="preserve"> SEQ Figure \* ARABIC </w:instrText>
      </w:r>
      <w:r>
        <w:fldChar w:fldCharType="separate"/>
      </w:r>
      <w:r>
        <w:rPr>
          <w:noProof/>
        </w:rPr>
        <w:t>2</w:t>
      </w:r>
      <w:r>
        <w:fldChar w:fldCharType="end"/>
      </w:r>
      <w:r>
        <w:t>: 2D depiction of the v</w:t>
      </w:r>
      <w:r w:rsidRPr="00820822">
        <w:t>isual scene used as envi</w:t>
      </w:r>
      <w:r>
        <w:t>ronment for stimulus presentation. The stimulus was always presented in front of the white wall and never crossed other areas (such as the lamps of tables) that could introduce low level differences in contrast etc. The lines denote the different parabolic trajectories that along which the targets travelled.</w:t>
      </w:r>
    </w:p>
    <w:p w14:paraId="6A63917E" w14:textId="77777777" w:rsidR="00A07C0E" w:rsidRPr="00BE7928" w:rsidRDefault="00A07C0E" w:rsidP="00BF7AD4">
      <w:pPr>
        <w:spacing w:line="480" w:lineRule="auto"/>
        <w:jc w:val="both"/>
      </w:pPr>
      <w:bookmarkStart w:id="2" w:name="_Ref27671330"/>
      <w:r w:rsidRPr="00F515FC">
        <w:t xml:space="preserve">Figure </w:t>
      </w:r>
      <w:r>
        <w:fldChar w:fldCharType="begin"/>
      </w:r>
      <w:r w:rsidRPr="00F515FC">
        <w:instrText xml:space="preserve"> SEQ Figure \* ARABIC </w:instrText>
      </w:r>
      <w:r>
        <w:fldChar w:fldCharType="separate"/>
      </w:r>
      <w:r>
        <w:rPr>
          <w:noProof/>
        </w:rPr>
        <w:t>3</w:t>
      </w:r>
      <w:r>
        <w:fldChar w:fldCharType="end"/>
      </w:r>
      <w:r w:rsidRPr="00F515FC">
        <w:t xml:space="preserve">: </w:t>
      </w:r>
      <w:r w:rsidRPr="00B377BA">
        <w:t xml:space="preserve">Temporal </w:t>
      </w:r>
      <w:r>
        <w:t>e</w:t>
      </w:r>
      <w:r w:rsidRPr="00B377BA">
        <w:t>rr</w:t>
      </w:r>
      <w:r>
        <w:t>ors in the 0.7-1.3 g conditions. The wings of each structure indicate the distribution of responses, while the boxplot in the middle of each structure indicate the 75% percentiles and the mean per condition.</w:t>
      </w:r>
      <w:bookmarkEnd w:id="2"/>
      <w:r w:rsidRPr="00B377BA">
        <w:t xml:space="preserve"> </w:t>
      </w:r>
    </w:p>
    <w:p w14:paraId="6D63CA39" w14:textId="77777777" w:rsidR="00A07C0E" w:rsidRPr="00481674" w:rsidRDefault="00A07C0E" w:rsidP="00BF7AD4">
      <w:pPr>
        <w:spacing w:line="480" w:lineRule="auto"/>
        <w:jc w:val="both"/>
        <w:rPr>
          <w:i/>
        </w:rPr>
      </w:pPr>
      <w:bookmarkStart w:id="3" w:name="_Ref27880460"/>
      <w:r w:rsidRPr="00E7767D">
        <w:t xml:space="preserve">Figure </w:t>
      </w:r>
      <w:r>
        <w:fldChar w:fldCharType="begin"/>
      </w:r>
      <w:r w:rsidRPr="00E7767D">
        <w:instrText xml:space="preserve"> SEQ Figure \* ARABIC </w:instrText>
      </w:r>
      <w:r>
        <w:fldChar w:fldCharType="separate"/>
      </w:r>
      <w:r>
        <w:rPr>
          <w:noProof/>
        </w:rPr>
        <w:t>4</w:t>
      </w:r>
      <w:r>
        <w:fldChar w:fldCharType="end"/>
      </w:r>
      <w:bookmarkEnd w:id="3"/>
      <w:r w:rsidRPr="00E7767D">
        <w:t>: Mean temporal errors t</w:t>
      </w:r>
      <w:r>
        <w:t>hat we observed in our participants (blue), simulated taking the Aubert-Fleischl phenomenon into account (light red) and simulated without taking the phenomenon into account for the different conditions. The right column represents values for the Long Occlusion condition, while the left column represents the Short Occlusion condition. The upper row shows values for an initial vertical velocity of 4.5 m/s, while the lower row represents initial vertical velocities of 6 m/s. Note that the standard errors for the observed errors are so small that all error bars fall well within the area covered b</w:t>
      </w:r>
      <w:r w:rsidRPr="00481674">
        <w:t>y</w:t>
      </w:r>
      <w:r>
        <w:t xml:space="preserve"> the dots.</w:t>
      </w:r>
    </w:p>
    <w:p w14:paraId="327B0400" w14:textId="77777777" w:rsidR="00A07C0E" w:rsidRPr="00E72229" w:rsidRDefault="00A07C0E" w:rsidP="00BF7AD4">
      <w:pPr>
        <w:spacing w:line="480" w:lineRule="auto"/>
        <w:jc w:val="both"/>
      </w:pPr>
      <w:bookmarkStart w:id="4" w:name="_Ref28582960"/>
      <w:bookmarkStart w:id="5" w:name="_Ref29906092"/>
      <w:r w:rsidRPr="00E72229">
        <w:lastRenderedPageBreak/>
        <w:t xml:space="preserve">Figure </w:t>
      </w:r>
      <w:r>
        <w:fldChar w:fldCharType="begin"/>
      </w:r>
      <w:r w:rsidRPr="00E72229">
        <w:instrText xml:space="preserve"> SEQ Figure \* ARABIC </w:instrText>
      </w:r>
      <w:r>
        <w:fldChar w:fldCharType="separate"/>
      </w:r>
      <w:r>
        <w:rPr>
          <w:noProof/>
        </w:rPr>
        <w:t>5</w:t>
      </w:r>
      <w:r>
        <w:fldChar w:fldCharType="end"/>
      </w:r>
      <w:bookmarkEnd w:id="4"/>
      <w:r w:rsidRPr="00E72229">
        <w:t>:</w:t>
      </w:r>
      <w:r>
        <w:t xml:space="preserve"> Predictions for different standard deviations chosen for different parameters in our model. Dots represent the standard deviation for each gravity (0.7g-1.3g), divided by Occlusion category (Long and Short) and initial vertical velocities (4.5 and 6 m/s). The color gradient indicates different values of the (standardized) standard deviation for the perceived distance, the perceived velocity, the represented gravity and the remaining error. The baseline values are 0.148 for distance and velocity, 0.1 for gravity and 0.05 for the remaining (motor) error. A. Predictions for five standardized standard deviations for the perceived distance (0.1-0.3 m). B. Predictions for five standard deviations for the remaining (motor) error (0.02-0.1 s), modelled as independent of and constant across initial velocities, gravities and occlusion conditions. C. Predictions for five different standardized standard deviations for the last perceived velocity (0.1-0.3 m/s). D. Predictions for five different standardized standard deviations for the represented gravity (0.02-0.18 m/s²).</w:t>
      </w:r>
      <w:bookmarkEnd w:id="5"/>
    </w:p>
    <w:p w14:paraId="43CBCA88" w14:textId="77777777" w:rsidR="00A07C0E" w:rsidRDefault="00A07C0E" w:rsidP="00BF7AD4">
      <w:pPr>
        <w:spacing w:line="480" w:lineRule="auto"/>
        <w:jc w:val="both"/>
      </w:pPr>
      <w:bookmarkStart w:id="6" w:name="_Ref28033242"/>
      <w:r w:rsidRPr="00456512">
        <w:t xml:space="preserve">Figure </w:t>
      </w:r>
      <w:r>
        <w:fldChar w:fldCharType="begin"/>
      </w:r>
      <w:r w:rsidRPr="00456512">
        <w:instrText xml:space="preserve"> SEQ Figure \* ARABIC </w:instrText>
      </w:r>
      <w:r>
        <w:fldChar w:fldCharType="separate"/>
      </w:r>
      <w:r>
        <w:rPr>
          <w:noProof/>
        </w:rPr>
        <w:t>6</w:t>
      </w:r>
      <w:r>
        <w:fldChar w:fldCharType="end"/>
      </w:r>
      <w:bookmarkEnd w:id="6"/>
      <w:r w:rsidRPr="00456512">
        <w:t xml:space="preserve">: </w:t>
      </w:r>
      <w:bookmarkStart w:id="7" w:name="_Hlk30683887"/>
      <w:r>
        <w:t>Root mean square errors (RMSE)</w:t>
      </w:r>
      <w:bookmarkEnd w:id="7"/>
      <w:r w:rsidRPr="00456512">
        <w:t xml:space="preserve"> b</w:t>
      </w:r>
      <w:r>
        <w:t>etween the standard deviation of timing errors simulated based on different motor errors (between 0.00 and 0.07 s) and the standard deviation of observed timing errors.</w:t>
      </w:r>
    </w:p>
    <w:p w14:paraId="24D22CBA" w14:textId="77777777" w:rsidR="00A07C0E" w:rsidRPr="00456512" w:rsidRDefault="00A07C0E" w:rsidP="00BF7AD4">
      <w:pPr>
        <w:spacing w:line="480" w:lineRule="auto"/>
        <w:jc w:val="both"/>
      </w:pPr>
      <w:bookmarkStart w:id="8" w:name="_Ref28033214"/>
      <w:r w:rsidRPr="00456512">
        <w:t xml:space="preserve">Figure </w:t>
      </w:r>
      <w:r>
        <w:fldChar w:fldCharType="begin"/>
      </w:r>
      <w:r w:rsidRPr="00456512">
        <w:instrText xml:space="preserve"> SEQ Figure \* ARABIC </w:instrText>
      </w:r>
      <w:r>
        <w:fldChar w:fldCharType="separate"/>
      </w:r>
      <w:r>
        <w:rPr>
          <w:noProof/>
        </w:rPr>
        <w:t>7</w:t>
      </w:r>
      <w:r>
        <w:fldChar w:fldCharType="end"/>
      </w:r>
      <w:bookmarkEnd w:id="8"/>
      <w:r w:rsidRPr="00456512">
        <w:t xml:space="preserve">: </w:t>
      </w:r>
      <w:r>
        <w:t>Root mean square errors (RMSE)</w:t>
      </w:r>
      <w:r w:rsidRPr="00456512">
        <w:t xml:space="preserve"> b</w:t>
      </w:r>
      <w:r>
        <w:t>etween the standard deviation of timing errors simulated based on different standard deviations of the gravity prior between 0.15 and 0.25*9.81 m/s² and the standard deviation of observed timing errors.</w:t>
      </w:r>
    </w:p>
    <w:p w14:paraId="05A99222" w14:textId="77777777" w:rsidR="00A07C0E" w:rsidRPr="00A07C0E" w:rsidRDefault="00A07C0E" w:rsidP="00A07C0E"/>
    <w:p w14:paraId="7379C0E5" w14:textId="77777777" w:rsidR="00A07C0E" w:rsidRPr="00F3068C" w:rsidRDefault="00A07C0E" w:rsidP="00F3068C">
      <w:pPr>
        <w:widowControl w:val="0"/>
        <w:autoSpaceDE w:val="0"/>
        <w:autoSpaceDN w:val="0"/>
        <w:adjustRightInd w:val="0"/>
        <w:spacing w:line="480" w:lineRule="auto"/>
        <w:ind w:left="480" w:hanging="480"/>
        <w:rPr>
          <w:rFonts w:ascii="Calibri" w:hAnsi="Calibri" w:cs="Calibri"/>
          <w:noProof/>
        </w:rPr>
      </w:pPr>
    </w:p>
    <w:p w14:paraId="65F45E85" w14:textId="446C29BA" w:rsidR="00E32BF5" w:rsidRPr="00D01B6F" w:rsidRDefault="001D4CE3" w:rsidP="00BE7928">
      <w:pPr>
        <w:spacing w:line="480" w:lineRule="auto"/>
        <w:rPr>
          <w:lang w:val="es-ES"/>
        </w:rPr>
      </w:pPr>
      <w:r>
        <w:rPr>
          <w:lang w:val="es-ES"/>
        </w:rPr>
        <w:fldChar w:fldCharType="end"/>
      </w:r>
    </w:p>
    <w:sectPr w:rsidR="00E32BF5" w:rsidRPr="00D01B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E806B" w14:textId="77777777" w:rsidR="001A290A" w:rsidRDefault="001A290A" w:rsidP="00605540">
      <w:pPr>
        <w:spacing w:after="0" w:line="240" w:lineRule="auto"/>
      </w:pPr>
      <w:r>
        <w:separator/>
      </w:r>
    </w:p>
  </w:endnote>
  <w:endnote w:type="continuationSeparator" w:id="0">
    <w:p w14:paraId="4E293E9C" w14:textId="77777777" w:rsidR="001A290A" w:rsidRDefault="001A290A" w:rsidP="006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017032"/>
      <w:docPartObj>
        <w:docPartGallery w:val="Page Numbers (Bottom of Page)"/>
        <w:docPartUnique/>
      </w:docPartObj>
    </w:sdtPr>
    <w:sdtEndPr>
      <w:rPr>
        <w:noProof/>
      </w:rPr>
    </w:sdtEndPr>
    <w:sdtContent>
      <w:p w14:paraId="42CB8961" w14:textId="702CEA02" w:rsidR="00AC7375" w:rsidRDefault="00AC73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4A142" w14:textId="77777777" w:rsidR="00AC7375" w:rsidRDefault="00AC7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795DD" w14:textId="77777777" w:rsidR="001A290A" w:rsidRDefault="001A290A" w:rsidP="00605540">
      <w:pPr>
        <w:spacing w:after="0" w:line="240" w:lineRule="auto"/>
      </w:pPr>
      <w:r>
        <w:separator/>
      </w:r>
    </w:p>
  </w:footnote>
  <w:footnote w:type="continuationSeparator" w:id="0">
    <w:p w14:paraId="330EAAF1" w14:textId="77777777" w:rsidR="001A290A" w:rsidRDefault="001A290A" w:rsidP="00605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E0920"/>
    <w:multiLevelType w:val="hybridMultilevel"/>
    <w:tmpl w:val="9F1EBBC2"/>
    <w:lvl w:ilvl="0" w:tplc="5F36E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5"/>
    <w:rsid w:val="00006956"/>
    <w:rsid w:val="00010AD7"/>
    <w:rsid w:val="0002646B"/>
    <w:rsid w:val="00041577"/>
    <w:rsid w:val="00050D01"/>
    <w:rsid w:val="00054679"/>
    <w:rsid w:val="00064760"/>
    <w:rsid w:val="00066ACE"/>
    <w:rsid w:val="00090B49"/>
    <w:rsid w:val="000A198D"/>
    <w:rsid w:val="000A5B70"/>
    <w:rsid w:val="000C63D1"/>
    <w:rsid w:val="000F7858"/>
    <w:rsid w:val="001063C4"/>
    <w:rsid w:val="00112346"/>
    <w:rsid w:val="001176A9"/>
    <w:rsid w:val="00121569"/>
    <w:rsid w:val="00130202"/>
    <w:rsid w:val="00153916"/>
    <w:rsid w:val="0016268C"/>
    <w:rsid w:val="00166D57"/>
    <w:rsid w:val="00172469"/>
    <w:rsid w:val="00184781"/>
    <w:rsid w:val="001876DE"/>
    <w:rsid w:val="00187C34"/>
    <w:rsid w:val="001906EB"/>
    <w:rsid w:val="001908AE"/>
    <w:rsid w:val="001940CF"/>
    <w:rsid w:val="001977EA"/>
    <w:rsid w:val="001A2453"/>
    <w:rsid w:val="001A290A"/>
    <w:rsid w:val="001A57F8"/>
    <w:rsid w:val="001C29B3"/>
    <w:rsid w:val="001C3968"/>
    <w:rsid w:val="001D4CE3"/>
    <w:rsid w:val="00210C53"/>
    <w:rsid w:val="002175DD"/>
    <w:rsid w:val="00230834"/>
    <w:rsid w:val="00236BC9"/>
    <w:rsid w:val="0024603B"/>
    <w:rsid w:val="002502B8"/>
    <w:rsid w:val="00261565"/>
    <w:rsid w:val="0026775F"/>
    <w:rsid w:val="00277549"/>
    <w:rsid w:val="00282356"/>
    <w:rsid w:val="00285275"/>
    <w:rsid w:val="0029217A"/>
    <w:rsid w:val="00297476"/>
    <w:rsid w:val="002A1A9B"/>
    <w:rsid w:val="002A7435"/>
    <w:rsid w:val="002C490B"/>
    <w:rsid w:val="002F6546"/>
    <w:rsid w:val="00301367"/>
    <w:rsid w:val="00314718"/>
    <w:rsid w:val="0031495E"/>
    <w:rsid w:val="00316387"/>
    <w:rsid w:val="00334100"/>
    <w:rsid w:val="00335AF6"/>
    <w:rsid w:val="0033608B"/>
    <w:rsid w:val="003405B4"/>
    <w:rsid w:val="00345C78"/>
    <w:rsid w:val="00355892"/>
    <w:rsid w:val="0036389C"/>
    <w:rsid w:val="00385931"/>
    <w:rsid w:val="0038698B"/>
    <w:rsid w:val="003A000F"/>
    <w:rsid w:val="003A0E22"/>
    <w:rsid w:val="003A567D"/>
    <w:rsid w:val="003A56D0"/>
    <w:rsid w:val="003D34FE"/>
    <w:rsid w:val="003F1350"/>
    <w:rsid w:val="00402308"/>
    <w:rsid w:val="004054A3"/>
    <w:rsid w:val="00415D00"/>
    <w:rsid w:val="00424E1A"/>
    <w:rsid w:val="0045191F"/>
    <w:rsid w:val="00455516"/>
    <w:rsid w:val="00456512"/>
    <w:rsid w:val="00457B8C"/>
    <w:rsid w:val="00466038"/>
    <w:rsid w:val="0047282B"/>
    <w:rsid w:val="00481674"/>
    <w:rsid w:val="004840BE"/>
    <w:rsid w:val="00484F8A"/>
    <w:rsid w:val="004850CC"/>
    <w:rsid w:val="004851B6"/>
    <w:rsid w:val="00490616"/>
    <w:rsid w:val="00496BA5"/>
    <w:rsid w:val="004A0054"/>
    <w:rsid w:val="004A0320"/>
    <w:rsid w:val="004A436E"/>
    <w:rsid w:val="004A5A9D"/>
    <w:rsid w:val="004A5F03"/>
    <w:rsid w:val="004A754A"/>
    <w:rsid w:val="004D128E"/>
    <w:rsid w:val="004D1B46"/>
    <w:rsid w:val="004D3366"/>
    <w:rsid w:val="004D7D95"/>
    <w:rsid w:val="004F7B12"/>
    <w:rsid w:val="005068B6"/>
    <w:rsid w:val="00514798"/>
    <w:rsid w:val="00515BFC"/>
    <w:rsid w:val="00517EE5"/>
    <w:rsid w:val="00521481"/>
    <w:rsid w:val="0053648B"/>
    <w:rsid w:val="005368D2"/>
    <w:rsid w:val="0054296B"/>
    <w:rsid w:val="00560255"/>
    <w:rsid w:val="00562DCA"/>
    <w:rsid w:val="00573E06"/>
    <w:rsid w:val="00580FFB"/>
    <w:rsid w:val="0058768C"/>
    <w:rsid w:val="00593E80"/>
    <w:rsid w:val="00595505"/>
    <w:rsid w:val="005A3235"/>
    <w:rsid w:val="005B3488"/>
    <w:rsid w:val="005C2993"/>
    <w:rsid w:val="005E359D"/>
    <w:rsid w:val="00604840"/>
    <w:rsid w:val="00605540"/>
    <w:rsid w:val="00613131"/>
    <w:rsid w:val="00640D5C"/>
    <w:rsid w:val="0065543C"/>
    <w:rsid w:val="0067438C"/>
    <w:rsid w:val="0068122F"/>
    <w:rsid w:val="0068529A"/>
    <w:rsid w:val="00687C72"/>
    <w:rsid w:val="006B0775"/>
    <w:rsid w:val="006B288B"/>
    <w:rsid w:val="006B4496"/>
    <w:rsid w:val="006C014A"/>
    <w:rsid w:val="006C2849"/>
    <w:rsid w:val="006C6CE5"/>
    <w:rsid w:val="006D11B3"/>
    <w:rsid w:val="006D354B"/>
    <w:rsid w:val="006D769B"/>
    <w:rsid w:val="006E01DB"/>
    <w:rsid w:val="006F086E"/>
    <w:rsid w:val="006F2C4E"/>
    <w:rsid w:val="006F33E3"/>
    <w:rsid w:val="006F51F1"/>
    <w:rsid w:val="006F7F5C"/>
    <w:rsid w:val="00705322"/>
    <w:rsid w:val="007063F9"/>
    <w:rsid w:val="00741AD0"/>
    <w:rsid w:val="007434FD"/>
    <w:rsid w:val="00744972"/>
    <w:rsid w:val="00751D13"/>
    <w:rsid w:val="00753203"/>
    <w:rsid w:val="0075723D"/>
    <w:rsid w:val="007614EE"/>
    <w:rsid w:val="00763F65"/>
    <w:rsid w:val="007774C7"/>
    <w:rsid w:val="007A343A"/>
    <w:rsid w:val="007A3B43"/>
    <w:rsid w:val="007B6D7D"/>
    <w:rsid w:val="007E285D"/>
    <w:rsid w:val="007F0B9A"/>
    <w:rsid w:val="007F3FAE"/>
    <w:rsid w:val="0080133C"/>
    <w:rsid w:val="0082060E"/>
    <w:rsid w:val="00840628"/>
    <w:rsid w:val="00842646"/>
    <w:rsid w:val="00844D24"/>
    <w:rsid w:val="00855B76"/>
    <w:rsid w:val="00864209"/>
    <w:rsid w:val="008679CF"/>
    <w:rsid w:val="008734D9"/>
    <w:rsid w:val="0087590D"/>
    <w:rsid w:val="00880A31"/>
    <w:rsid w:val="00882444"/>
    <w:rsid w:val="00886B1A"/>
    <w:rsid w:val="008870C6"/>
    <w:rsid w:val="00891775"/>
    <w:rsid w:val="008A15D0"/>
    <w:rsid w:val="008A7B56"/>
    <w:rsid w:val="008D72BE"/>
    <w:rsid w:val="008E0A14"/>
    <w:rsid w:val="008E5B63"/>
    <w:rsid w:val="008F5DD0"/>
    <w:rsid w:val="00900F96"/>
    <w:rsid w:val="00905A4B"/>
    <w:rsid w:val="00910B28"/>
    <w:rsid w:val="00911E7B"/>
    <w:rsid w:val="009257E4"/>
    <w:rsid w:val="00935799"/>
    <w:rsid w:val="00955A21"/>
    <w:rsid w:val="00970297"/>
    <w:rsid w:val="00982F21"/>
    <w:rsid w:val="00997DC0"/>
    <w:rsid w:val="009A3299"/>
    <w:rsid w:val="009C1994"/>
    <w:rsid w:val="009D5CCF"/>
    <w:rsid w:val="009E00C4"/>
    <w:rsid w:val="009E3B64"/>
    <w:rsid w:val="009E7A88"/>
    <w:rsid w:val="009F3FFA"/>
    <w:rsid w:val="009F6043"/>
    <w:rsid w:val="009F7941"/>
    <w:rsid w:val="00A05C6A"/>
    <w:rsid w:val="00A07C0E"/>
    <w:rsid w:val="00A17F6B"/>
    <w:rsid w:val="00A25932"/>
    <w:rsid w:val="00A25CC3"/>
    <w:rsid w:val="00A26BE5"/>
    <w:rsid w:val="00A2732F"/>
    <w:rsid w:val="00A340F9"/>
    <w:rsid w:val="00A431AE"/>
    <w:rsid w:val="00A44908"/>
    <w:rsid w:val="00A47DA8"/>
    <w:rsid w:val="00A54235"/>
    <w:rsid w:val="00A643B3"/>
    <w:rsid w:val="00A6526E"/>
    <w:rsid w:val="00A6648E"/>
    <w:rsid w:val="00A72A81"/>
    <w:rsid w:val="00A86944"/>
    <w:rsid w:val="00A97F7B"/>
    <w:rsid w:val="00AB56E9"/>
    <w:rsid w:val="00AB5E28"/>
    <w:rsid w:val="00AC189D"/>
    <w:rsid w:val="00AC3600"/>
    <w:rsid w:val="00AC5F1C"/>
    <w:rsid w:val="00AC7375"/>
    <w:rsid w:val="00AD59E9"/>
    <w:rsid w:val="00AF5692"/>
    <w:rsid w:val="00B025FE"/>
    <w:rsid w:val="00B117EC"/>
    <w:rsid w:val="00B13CEC"/>
    <w:rsid w:val="00B27F0E"/>
    <w:rsid w:val="00B377BA"/>
    <w:rsid w:val="00B40ECA"/>
    <w:rsid w:val="00B45475"/>
    <w:rsid w:val="00B51278"/>
    <w:rsid w:val="00B650B7"/>
    <w:rsid w:val="00B804B7"/>
    <w:rsid w:val="00B80809"/>
    <w:rsid w:val="00B81566"/>
    <w:rsid w:val="00B94CFD"/>
    <w:rsid w:val="00BA72A8"/>
    <w:rsid w:val="00BB40C9"/>
    <w:rsid w:val="00BD3838"/>
    <w:rsid w:val="00BD7474"/>
    <w:rsid w:val="00BE7928"/>
    <w:rsid w:val="00BF3834"/>
    <w:rsid w:val="00BF7AD4"/>
    <w:rsid w:val="00C03A45"/>
    <w:rsid w:val="00C148B2"/>
    <w:rsid w:val="00C26D80"/>
    <w:rsid w:val="00C4017F"/>
    <w:rsid w:val="00C6015C"/>
    <w:rsid w:val="00C61F40"/>
    <w:rsid w:val="00C660CF"/>
    <w:rsid w:val="00CA2A72"/>
    <w:rsid w:val="00CD09E0"/>
    <w:rsid w:val="00CE0600"/>
    <w:rsid w:val="00CF0115"/>
    <w:rsid w:val="00D01B6F"/>
    <w:rsid w:val="00D06C9D"/>
    <w:rsid w:val="00D22200"/>
    <w:rsid w:val="00D37CCB"/>
    <w:rsid w:val="00D42F15"/>
    <w:rsid w:val="00D45772"/>
    <w:rsid w:val="00D62B98"/>
    <w:rsid w:val="00D90250"/>
    <w:rsid w:val="00D94AEE"/>
    <w:rsid w:val="00DA44CC"/>
    <w:rsid w:val="00DA76F4"/>
    <w:rsid w:val="00DB447B"/>
    <w:rsid w:val="00DC2DE7"/>
    <w:rsid w:val="00DC3E91"/>
    <w:rsid w:val="00DC4107"/>
    <w:rsid w:val="00DD1FC4"/>
    <w:rsid w:val="00DF08F8"/>
    <w:rsid w:val="00DF10FA"/>
    <w:rsid w:val="00DF5300"/>
    <w:rsid w:val="00E034DA"/>
    <w:rsid w:val="00E158F4"/>
    <w:rsid w:val="00E23038"/>
    <w:rsid w:val="00E2475F"/>
    <w:rsid w:val="00E25870"/>
    <w:rsid w:val="00E3255D"/>
    <w:rsid w:val="00E32BF5"/>
    <w:rsid w:val="00E333EA"/>
    <w:rsid w:val="00E35B6C"/>
    <w:rsid w:val="00E37468"/>
    <w:rsid w:val="00E470D6"/>
    <w:rsid w:val="00E521AE"/>
    <w:rsid w:val="00E5260D"/>
    <w:rsid w:val="00E642AA"/>
    <w:rsid w:val="00E72229"/>
    <w:rsid w:val="00E7767D"/>
    <w:rsid w:val="00E817C4"/>
    <w:rsid w:val="00E82D8F"/>
    <w:rsid w:val="00E95B1F"/>
    <w:rsid w:val="00EB5FB9"/>
    <w:rsid w:val="00EB7C0C"/>
    <w:rsid w:val="00EC3AAF"/>
    <w:rsid w:val="00ED1000"/>
    <w:rsid w:val="00EE4C58"/>
    <w:rsid w:val="00EE6444"/>
    <w:rsid w:val="00EE79BD"/>
    <w:rsid w:val="00EF1EFA"/>
    <w:rsid w:val="00F01E10"/>
    <w:rsid w:val="00F05CAA"/>
    <w:rsid w:val="00F12838"/>
    <w:rsid w:val="00F1488E"/>
    <w:rsid w:val="00F168DD"/>
    <w:rsid w:val="00F2167B"/>
    <w:rsid w:val="00F26F6E"/>
    <w:rsid w:val="00F3068C"/>
    <w:rsid w:val="00F34E8D"/>
    <w:rsid w:val="00F3636D"/>
    <w:rsid w:val="00F515FC"/>
    <w:rsid w:val="00F6145E"/>
    <w:rsid w:val="00F64E6F"/>
    <w:rsid w:val="00F674CB"/>
    <w:rsid w:val="00F86A73"/>
    <w:rsid w:val="00F91E84"/>
    <w:rsid w:val="00F964BD"/>
    <w:rsid w:val="00F9735A"/>
    <w:rsid w:val="00FA364D"/>
    <w:rsid w:val="00FA5BF0"/>
    <w:rsid w:val="00FB13C4"/>
    <w:rsid w:val="00FB27DF"/>
    <w:rsid w:val="00FB336F"/>
    <w:rsid w:val="00FC4228"/>
    <w:rsid w:val="00FD302A"/>
    <w:rsid w:val="00FE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8AC0"/>
  <w15:chartTrackingRefBased/>
  <w15:docId w15:val="{BE24417F-59EC-42D3-8ABF-1458FC5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BE"/>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8D72BE"/>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rsid w:val="00FD3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BE"/>
    <w:rPr>
      <w:rFonts w:asciiTheme="majorHAnsi" w:eastAsiaTheme="majorEastAsia" w:hAnsiTheme="majorHAnsi" w:cstheme="majorBidi"/>
      <w:color w:val="2F5496" w:themeColor="accent1" w:themeShade="BF"/>
      <w:sz w:val="26"/>
      <w:szCs w:val="26"/>
      <w:lang w:val="de-DE"/>
    </w:rPr>
  </w:style>
  <w:style w:type="character" w:styleId="Hyperlink">
    <w:name w:val="Hyperlink"/>
    <w:basedOn w:val="DefaultParagraphFont"/>
    <w:uiPriority w:val="99"/>
    <w:unhideWhenUsed/>
    <w:rsid w:val="008D72BE"/>
    <w:rPr>
      <w:color w:val="0563C1" w:themeColor="hyperlink"/>
      <w:u w:val="single"/>
    </w:rPr>
  </w:style>
  <w:style w:type="paragraph" w:styleId="Caption">
    <w:name w:val="caption"/>
    <w:basedOn w:val="Normal"/>
    <w:next w:val="Normal"/>
    <w:uiPriority w:val="35"/>
    <w:unhideWhenUsed/>
    <w:qFormat/>
    <w:rsid w:val="008D72BE"/>
    <w:pPr>
      <w:spacing w:after="200" w:line="240" w:lineRule="auto"/>
    </w:pPr>
    <w:rPr>
      <w:i/>
      <w:iCs/>
      <w:color w:val="44546A" w:themeColor="text2"/>
      <w:sz w:val="18"/>
      <w:szCs w:val="18"/>
      <w:lang w:val="de-DE"/>
    </w:rPr>
  </w:style>
  <w:style w:type="paragraph" w:customStyle="1" w:styleId="MaterialsandMethodsText">
    <w:name w:val="Materials and Methods Text"/>
    <w:basedOn w:val="Normal"/>
    <w:qFormat/>
    <w:rsid w:val="008D72BE"/>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8D72B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2BE"/>
    <w:rPr>
      <w:rFonts w:asciiTheme="majorHAnsi" w:eastAsiaTheme="majorEastAsia" w:hAnsiTheme="majorHAnsi" w:cstheme="majorBidi"/>
      <w:color w:val="2F5496" w:themeColor="accent1" w:themeShade="BF"/>
      <w:sz w:val="32"/>
      <w:szCs w:val="32"/>
      <w:lang w:val="de-DE"/>
    </w:rPr>
  </w:style>
  <w:style w:type="paragraph" w:styleId="NoSpacing">
    <w:name w:val="No Spacing"/>
    <w:uiPriority w:val="1"/>
    <w:qFormat/>
    <w:rsid w:val="00F34E8D"/>
    <w:pPr>
      <w:spacing w:after="0" w:line="240" w:lineRule="auto"/>
    </w:pPr>
  </w:style>
  <w:style w:type="character" w:customStyle="1" w:styleId="Heading3Char">
    <w:name w:val="Heading 3 Char"/>
    <w:basedOn w:val="DefaultParagraphFont"/>
    <w:link w:val="Heading3"/>
    <w:uiPriority w:val="9"/>
    <w:rsid w:val="00FD30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A198D"/>
    <w:rPr>
      <w:color w:val="808080"/>
    </w:rPr>
  </w:style>
  <w:style w:type="character" w:customStyle="1" w:styleId="Heading4Char">
    <w:name w:val="Heading 4 Char"/>
    <w:basedOn w:val="DefaultParagraphFont"/>
    <w:link w:val="Heading4"/>
    <w:uiPriority w:val="9"/>
    <w:rsid w:val="00F14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CFD"/>
    <w:pPr>
      <w:ind w:left="720"/>
      <w:contextualSpacing/>
    </w:pPr>
  </w:style>
  <w:style w:type="paragraph" w:styleId="BalloonText">
    <w:name w:val="Balloon Text"/>
    <w:basedOn w:val="Normal"/>
    <w:link w:val="BalloonTextChar"/>
    <w:uiPriority w:val="99"/>
    <w:semiHidden/>
    <w:unhideWhenUsed/>
    <w:rsid w:val="006F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6E"/>
    <w:rPr>
      <w:rFonts w:ascii="Segoe UI" w:hAnsi="Segoe UI" w:cs="Segoe UI"/>
      <w:sz w:val="18"/>
      <w:szCs w:val="18"/>
    </w:rPr>
  </w:style>
  <w:style w:type="character" w:styleId="Strong">
    <w:name w:val="Strong"/>
    <w:basedOn w:val="DefaultParagraphFont"/>
    <w:uiPriority w:val="22"/>
    <w:qFormat/>
    <w:rsid w:val="00D01B6F"/>
    <w:rPr>
      <w:b/>
      <w:bCs/>
    </w:rPr>
  </w:style>
  <w:style w:type="paragraph" w:styleId="NormalWeb">
    <w:name w:val="Normal (Web)"/>
    <w:basedOn w:val="Normal"/>
    <w:uiPriority w:val="99"/>
    <w:semiHidden/>
    <w:unhideWhenUsed/>
    <w:rsid w:val="00172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5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40"/>
  </w:style>
  <w:style w:type="paragraph" w:styleId="Footer">
    <w:name w:val="footer"/>
    <w:basedOn w:val="Normal"/>
    <w:link w:val="FooterChar"/>
    <w:uiPriority w:val="99"/>
    <w:unhideWhenUsed/>
    <w:rsid w:val="0060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2167">
      <w:bodyDiv w:val="1"/>
      <w:marLeft w:val="0"/>
      <w:marRight w:val="0"/>
      <w:marTop w:val="0"/>
      <w:marBottom w:val="0"/>
      <w:divBdr>
        <w:top w:val="none" w:sz="0" w:space="0" w:color="auto"/>
        <w:left w:val="none" w:sz="0" w:space="0" w:color="auto"/>
        <w:bottom w:val="none" w:sz="0" w:space="0" w:color="auto"/>
        <w:right w:val="none" w:sz="0" w:space="0" w:color="auto"/>
      </w:divBdr>
    </w:div>
    <w:div w:id="15445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nstrations.wolfram.com/ProjectileWithAirDr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jorges/SD-of-Gravity-Prior" TargetMode="External"/><Relationship Id="rId4" Type="http://schemas.openxmlformats.org/officeDocument/2006/relationships/settings" Target="settings.xml"/><Relationship Id="rId9" Type="http://schemas.openxmlformats.org/officeDocument/2006/relationships/hyperlink" Target="https://osf.io/8vg9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D404F-F3FD-4656-9BC8-F6B6B2F2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27</Pages>
  <Words>24732</Words>
  <Characters>140979</Characters>
  <Application>Microsoft Office Word</Application>
  <DocSecurity>0</DocSecurity>
  <Lines>1174</Lines>
  <Paragraphs>330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Bjoern Jan Joerges</cp:lastModifiedBy>
  <cp:revision>18</cp:revision>
  <cp:lastPrinted>2020-03-03T21:51:00Z</cp:lastPrinted>
  <dcterms:created xsi:type="dcterms:W3CDTF">2020-03-03T21:09:00Z</dcterms:created>
  <dcterms:modified xsi:type="dcterms:W3CDTF">2020-03-10T21:25:00Z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