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Additional file 1</w:t>
      </w:r>
    </w:p>
    <w:p>
      <w:pPr>
        <w:pStyle w:val="BodyText"/>
      </w:pPr>
      <w:r>
        <w:rPr>
          <w:bCs/>
          <w:b/>
        </w:rPr>
        <w:t xml:space="preserve">Case-level audit of thyroid ultrasound and cytology deep learning: label conflicts, split design, and shortcut-sensitive performance in a public archive</w:t>
      </w:r>
    </w:p>
    <w:p>
      <w:pPr>
        <w:pStyle w:val="BodyText"/>
      </w:pPr>
      <w:r>
        <w:t xml:space="preserve">Supplementary Tables S1–S17. Unless stated otherwise, 95% confidence intervals (CIs) are case-clustered percentile bootstrap intervals (2,000 resamples). TN3K intervals are image-level because patient identifiers are not distributed. PTC, papillary thyroid carcinoma; OOF, out-of-fold; CV, cross-validation.</w:t>
      </w:r>
    </w:p>
    <w:p>
      <w:pPr>
        <w:pStyle w:val="BodyText"/>
      </w:pPr>
      <w:r>
        <w:rPr>
          <w:bCs/>
          <w:b/>
        </w:rPr>
        <w:t xml:space="preserve">Supplementary Table S1. Reconciliation of the archive across sources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33"/>
        <w:gridCol w:w="625"/>
        <w:gridCol w:w="625"/>
        <w:gridCol w:w="1111"/>
        <w:gridCol w:w="972"/>
        <w:gridCol w:w="972"/>
        <w:gridCol w:w="1389"/>
        <w:gridCol w:w="138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descriptor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Published article (text)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Published article (released metadata)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Released archive (current audit)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Analysed 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 for discrepancy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 on present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Benign 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165 (ultrasound and cytology)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153 ultrasound; 165 cytology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benign case numbers in the release have no counterpart in the descriptor and cannot be identified; the published text differs from its own metadata by one case between classes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Labels described as released folder labels; excluding all 12 provenance-uncertain benign cases changed pooled AUROC by ≤ 0.003 (Table S4)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PTC 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222 ultrasound; 219 cytology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211 ultrasound; 219 cytology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PTC cases have ultrasound only; published text 220 versus its metadata 219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cases / patients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387 ultrasound; 384 cytology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364 ultrasound; 384 cytology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published analysis used the cases with cytology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Ultrasound analysis excludes 23 conflict images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Development / holdout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307 / 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307 (132 benign / 175 PTC) / 77 (33 / 44)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Frozen 70/15/15 case-level partition (Table S5)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Different study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applicable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Ultrasound images per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(387 images)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(364 images)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Cytology blocks per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2–7 (16 cases with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Sixteen cases fall below the stated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Blocks grouped by case in every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Ultrasound images filed under both labels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reported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reported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patients carry such an image; 4 of 77 holdout patients have an image byte-identical to a development 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MD5 groups (19 files) + 4 identical-pHash images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23 excluded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Archive error (probable misfiling)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Excluded here; bears on the published analysis, which is being addressed separately</w:t>
            </w:r>
          </w:p>
        </w:tc>
      </w:tr>
    </w:tbl>
    <w:p>
      <w:pPr>
        <w:pStyle w:val="BodyText"/>
      </w:pPr>
      <w:r>
        <w:rPr>
          <w:bCs/>
          <w:b/>
        </w:rPr>
        <w:t xml:space="preserve">Supplementary Table S2a. Exact-duplicate (MD5) groups by modality and type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82"/>
        <w:gridCol w:w="3191"/>
        <w:gridCol w:w="945"/>
        <w:gridCol w:w="945"/>
        <w:gridCol w:w="16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conflict_type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kept_in_frozen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cytology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label, different 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ultrasound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ultrasound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label, different 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BodyText"/>
      </w:pPr>
      <w:r>
        <w:rPr>
          <w:bCs/>
          <w:b/>
        </w:rPr>
        <w:t xml:space="preserve">Supplementary Table S2b. Perceptual-hash pairs by Hamming threshold (cross-case, cross-label, crossing frozen partitions)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00"/>
        <w:gridCol w:w="1210"/>
        <w:gridCol w:w="880"/>
        <w:gridCol w:w="1100"/>
        <w:gridCol w:w="1210"/>
        <w:gridCol w:w="24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hamming_max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cross_case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cross_label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cross_frozen_partition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cytology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cytology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cytology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cytology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cytology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cytology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ultrasound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ultrasound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ultrasound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ultrasound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ultrasound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ultrasound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355</w:t>
            </w:r>
          </w:p>
        </w:tc>
      </w:tr>
    </w:tbl>
    <w:p>
      <w:pPr>
        <w:pStyle w:val="BodyText"/>
      </w:pPr>
      <w:r>
        <w:rPr>
          <w:bCs/>
          <w:b/>
        </w:rPr>
        <w:t xml:space="preserve">Supplementary Table S2c. Exclusions (ultrasound)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252"/>
        <w:gridCol w:w="166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exclusion_reason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cross_label_exact_md5;cross_label_identical_phash;cross_label_leakage_group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cross_label_identical_phash;cross_label_leakage_group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</w:tbl>
    <w:p>
      <w:pPr>
        <w:pStyle w:val="BodyText"/>
      </w:pPr>
      <w:r>
        <w:rPr>
          <w:bCs/>
          <w:b/>
        </w:rPr>
        <w:t xml:space="preserve">Supplementary Table S2d. Case-level leakage in the image-level partition used in the earlier version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71"/>
        <w:gridCol w:w="604"/>
        <w:gridCol w:w="536"/>
        <w:gridCol w:w="536"/>
        <w:gridCol w:w="2013"/>
        <w:gridCol w:w="1745"/>
        <w:gridCol w:w="181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images_with_same_case_in_train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cases_with_images_in_train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cross_label_conflict_images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cytology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cytology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ultrasound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ultrasound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</w:tbl>
    <w:p>
      <w:pPr>
        <w:pStyle w:val="BodyText"/>
      </w:pPr>
      <w:r>
        <w:rPr>
          <w:bCs/>
          <w:b/>
        </w:rPr>
        <w:t xml:space="preserve">Supplementary Table S3a. Adjudication of every pHash pair (Hamming ≤ 6) whose members fall in different frozen partitions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73"/>
        <w:gridCol w:w="459"/>
        <w:gridCol w:w="459"/>
        <w:gridCol w:w="516"/>
        <w:gridCol w:w="459"/>
        <w:gridCol w:w="459"/>
        <w:gridCol w:w="573"/>
        <w:gridCol w:w="459"/>
        <w:gridCol w:w="573"/>
        <w:gridCol w:w="746"/>
        <w:gridCol w:w="459"/>
        <w:gridCol w:w="459"/>
        <w:gridCol w:w="17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hamming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case_a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file_a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split_a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case_b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file_b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split_b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same_label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md5_identical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cytology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BEN_0003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3_001.tif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BEN_0010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10_002.tif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 near-duplicate (SSIM &lt; 0.90)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ultrasound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PTC_0195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195.JPG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PTC_0108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108.JPG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 near-duplicate (SSIM &lt; 0.90)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ultrasound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BEN_0041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41.JPG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PTC_0043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43.JPG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 near-duplicate (SSIM &lt; 0.90)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ultrasound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BEN_0041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41.JPG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PTC_0067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67.JPG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 near-duplicate (SSIM &lt; 0.90)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ultrasound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BEN_0041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41.JPG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PTC_0127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127.JPG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 near-duplicate (SSIM &lt; 0.90)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ultrasound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BEN_0041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41.JPG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PTC_0087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87.JPG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 near-duplicate (SSIM &lt; 0.90)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ultrasound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PTC_0129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129.JPG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BEN_0057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57.JPG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 near-duplicate (SSIM &lt; 0.90)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ultrasound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PTC_0108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108.JPG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PTC_0041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41.JPG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 near-duplicate (SSIM &lt; 0.90)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ultrasound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PTC_0152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152.JPG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PTC_0083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83.JPG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 near-duplicate (SSIM &lt; 0.90)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ultrasound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BEN_0130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130.JPG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PTC_0169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169.JPG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 near-duplicate (SSIM &lt; 0.90)</w:t>
            </w:r>
          </w:p>
        </w:tc>
      </w:tr>
    </w:tbl>
    <w:p>
      <w:pPr>
        <w:pStyle w:val="BodyText"/>
      </w:pPr>
      <w:r>
        <w:rPr>
          <w:iCs/>
          <w:i/>
        </w:rPr>
        <w:t xml:space="preserve">Criterion fixed in code before computing similarity: near-duplicate if SSIM ≥ 0.90 between 256 × 256 greyscale versions.</w:t>
      </w:r>
    </w:p>
    <w:p>
      <w:pPr>
        <w:pStyle w:val="BodyText"/>
      </w:pPr>
      <w:r>
        <w:rPr>
          <w:bCs/>
          <w:b/>
        </w:rPr>
        <w:t xml:space="preserve">Supplementary Table S3b. Frozen-test ensemble results excluding test-side members of candidate pairs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00"/>
        <w:gridCol w:w="2102"/>
        <w:gridCol w:w="981"/>
        <w:gridCol w:w="770"/>
        <w:gridCol w:w="700"/>
        <w:gridCol w:w="1331"/>
        <w:gridCol w:w="13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excluded_cases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test_images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image_level_AUROC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case_level_AUROC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cytology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analysed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0.996 (0.989–1.000)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 (1.000–1.000)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cytology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excluding test-side cases of all candidate pairs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BEN_0010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0.996 (0.988–1.000)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 (1.000–1.000)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cytology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excluding test-side cases adjudicated near-duplicate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0.996 (0.989–1.000)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 (1.000–1.000)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ultrasound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analysed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0.909 (0.809–0.980)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0.909 (0.809–0.980)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ultrasound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excluding test-side cases of all candidate pairs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PTC_0083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0.907 (0.806–0.978)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0.907 (0.806–0.978)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ultrasound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excluding test-side cases adjudicated near-duplicate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0.909 (0.809–0.980)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0.909 (0.809–0.980)</w:t>
            </w:r>
          </w:p>
        </w:tc>
      </w:tr>
    </w:tbl>
    <w:p>
      <w:pPr>
        <w:pStyle w:val="BodyText"/>
      </w:pPr>
      <w:r>
        <w:rPr>
          <w:bCs/>
          <w:b/>
        </w:rPr>
        <w:t xml:space="preserve">Supplementary Table S4. Sensitivity analysis excluding provenance-uncertain benign cases (ensemble)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08"/>
        <w:gridCol w:w="2424"/>
        <w:gridCol w:w="646"/>
        <w:gridCol w:w="1535"/>
        <w:gridCol w:w="808"/>
        <w:gridCol w:w="169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CV_cases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CV_pooled_AUROC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test_case_level_AUROC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cytology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analysed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0.958 (0.938–0.975)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 (1.000–1.000)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cytology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excluding provenance-uncertain benign 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0.959 (0.939–0.976)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 (1.000–1.000)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ultrasound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analysed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0.768 (0.716–0.819)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0.909 (0.809–0.980)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ultrasound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excluding provenance-uncertain benign 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0.765 (0.709–0.819)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0.909 (0.809–0.980)</w:t>
            </w:r>
          </w:p>
        </w:tc>
      </w:tr>
    </w:tbl>
    <w:p>
      <w:pPr>
        <w:pStyle w:val="BodyText"/>
      </w:pPr>
      <w:r>
        <w:rPr>
          <w:iCs/>
          <w:i/>
        </w:rPr>
        <w:t xml:space="preserve">Excluded: every benign case in any duplicate group (BEN_0003, 0019, 0020, 0025, 0036, 0038, 0039, 0044, 0055, 0061, 0116, 0117).</w:t>
      </w:r>
    </w:p>
    <w:p>
      <w:pPr>
        <w:pStyle w:val="BodyText"/>
      </w:pPr>
      <w:r>
        <w:rPr>
          <w:bCs/>
          <w:b/>
        </w:rPr>
        <w:t xml:space="preserve">Supplementary Table S5. Frozen case-level partitions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267"/>
        <w:gridCol w:w="1267"/>
        <w:gridCol w:w="1267"/>
        <w:gridCol w:w="1267"/>
        <w:gridCol w:w="126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cytology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cytology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cytology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ultrasound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ultrasound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ultrasound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</w:tr>
    </w:tbl>
    <w:p>
      <w:pPr>
        <w:pStyle w:val="BodyText"/>
      </w:pPr>
      <w:r>
        <w:rPr>
          <w:bCs/>
          <w:b/>
        </w:rPr>
        <w:t xml:space="preserve">Supplementary Table S6. Fold-level grouped cross-validation results (thresholds from inner validation)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65"/>
        <w:gridCol w:w="1331"/>
        <w:gridCol w:w="532"/>
        <w:gridCol w:w="532"/>
        <w:gridCol w:w="532"/>
        <w:gridCol w:w="532"/>
        <w:gridCol w:w="532"/>
        <w:gridCol w:w="1264"/>
        <w:gridCol w:w="732"/>
        <w:gridCol w:w="732"/>
        <w:gridCol w:w="5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auroc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auprc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threshold_inner_val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ultrasound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ConvNeXt-Small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ultrasound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ConvNeXt-Small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ultrasound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ConvNeXt-Small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ultrasound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ConvNeXt-Small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ultrasound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ConvNeXt-Small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ultrasound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EfficientNet-B3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ultrasound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EfficientNet-B3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ultrasound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EfficientNet-B3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ultrasound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EfficientNet-B3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ultrasound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EfficientNet-B3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ultrasound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Swin-Tiny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ultrasound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Swin-Tiny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ultrasound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Swin-Tiny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ultrasound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Swin-Tiny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ultrasound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Swin-Tiny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ultrasound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ResNet-50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ultrasound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ResNet-50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ultrasound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ResNet-50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ultrasound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ResNet-50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ultrasound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ResNet-50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ultrasound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DenseNet-121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ultrasound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DenseNet-121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ultrasound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DenseNet-121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ultrasound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DenseNet-121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ultrasound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DenseNet-121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ultrasound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Ensemble (mean of 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ultrasound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Ensemble (mean of 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ultrasound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Ensemble (mean of 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ultrasound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Ensemble (mean of 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ultrasound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Ensemble (mean of 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cytology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ConvNeXt-Small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cytology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ConvNeXt-Small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cytology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ConvNeXt-Small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cytology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ConvNeXt-Small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cytology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ConvNeXt-Small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cytology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EfficientNet-B3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cytology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EfficientNet-B3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cytology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EfficientNet-B3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cytology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EfficientNet-B3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cytology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EfficientNet-B3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cytology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Swin-Tiny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cytology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Swin-Tiny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cytology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Swin-Tiny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cytology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Swin-Tiny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cytology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Swin-Tiny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cytology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ResNet-50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cytology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ResNet-50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cytology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ResNet-50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cytology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ResNet-50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cytology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ResNet-50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cytology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DenseNet-121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cytology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DenseNet-121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cytology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DenseNet-121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cytology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DenseNet-121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cytology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DenseNet-121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cytology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Ensemble (mean of 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cytology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Ensemble (mean of 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cytology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Ensemble (mean of 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cytology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Ensemble (mean of 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cytology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Ensemble (mean of 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0.096</w:t>
            </w:r>
          </w:p>
        </w:tc>
      </w:tr>
    </w:tbl>
    <w:p>
      <w:pPr>
        <w:pStyle w:val="BodyText"/>
      </w:pPr>
      <w:r>
        <w:rPr>
          <w:bCs/>
          <w:b/>
        </w:rPr>
        <w:t xml:space="preserve">Supplementary Table S7. Frozen test set, image (block) level, at validation-selected thresholds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04"/>
        <w:gridCol w:w="808"/>
        <w:gridCol w:w="323"/>
        <w:gridCol w:w="323"/>
        <w:gridCol w:w="323"/>
        <w:gridCol w:w="767"/>
        <w:gridCol w:w="767"/>
        <w:gridCol w:w="727"/>
        <w:gridCol w:w="323"/>
        <w:gridCol w:w="323"/>
        <w:gridCol w:w="323"/>
        <w:gridCol w:w="323"/>
        <w:gridCol w:w="767"/>
        <w:gridCol w:w="767"/>
        <w:gridCol w:w="323"/>
        <w:gridCol w:w="32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auroc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auprc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threshold_from_val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ece15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ultrasound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ConvNeXt-Small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0.736 (0.595–0.864)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0.829 (0.701–0.925)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0.656 (0.484–0.816)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0.783 (0.593–0.947)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ultrasound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EfficientNet-B3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 (0.745–0.952)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0.857 (0.714–0.972)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0.875 (0.742–0.971)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0.696 (0.500–0.875)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ultrasound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Swin-Tiny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0.735 (0.589–0.868)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0.758 (0.602–0.922)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0.375 (0.212–0.543)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0.913 (0.789–1.000)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ultrasound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ResNet-50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0.827 (0.696–0.930)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0.871 (0.758–0.955)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0.656 (0.485–0.812)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0.739 (0.542–0.909)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ultrasound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DenseNet-121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0.852 (0.740–0.942)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0.887 (0.784–0.965)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0.562 (0.393–0.731)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0.870 (0.714–1.000)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ultrasound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Ensemble (mean of 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0.909 (0.811–0.978)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0.918 (0.810–0.987)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0.688 (0.519–0.846)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0.913 (0.782–1.000)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cytology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ConvNeXt-Small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0.984 (0.966–0.996)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0.985 (0.966–0.997)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0.938 (0.893–0.974)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0.912 (0.836–0.973)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cytology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EfficientNet-B3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0.990 (0.978–0.998)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0.991 (0.978–0.999)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0.848 (0.753–0.935)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0.980 (0.951–1.000)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cytology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Swin-Tiny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0.995 (0.985–1.000)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0.995 (0.987–1.000)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0.920 (0.830–0.991)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0.971 (0.924–1.000)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cytology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ResNet-50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0.997 (0.991–1.000)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0.997 (0.992–1.000)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0.866 (0.759–0.957)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 (1.000–1.000)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cytology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DenseNet-121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0.982 (0.959–0.997)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0.987 (0.969–0.997)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0.920 (0.850–0.976)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0.951 (0.884–1.000)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cytology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Ensemble (mean of 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0.996 (0.990–1.000)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0.996 (0.990–1.000)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0.884 (0.788–0.965)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 (1.000–1.000)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0.074</w:t>
            </w:r>
          </w:p>
        </w:tc>
      </w:tr>
    </w:tbl>
    <w:p>
      <w:pPr>
        <w:pStyle w:val="BodyText"/>
      </w:pPr>
      <w:r>
        <w:rPr>
          <w:bCs/>
          <w:b/>
        </w:rPr>
        <w:t xml:space="preserve">Supplementary Table S8. Internal calibration and temperature scaling fitted on validation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45"/>
        <w:gridCol w:w="691"/>
        <w:gridCol w:w="1037"/>
        <w:gridCol w:w="518"/>
        <w:gridCol w:w="484"/>
        <w:gridCol w:w="587"/>
        <w:gridCol w:w="553"/>
        <w:gridCol w:w="587"/>
        <w:gridCol w:w="1037"/>
        <w:gridCol w:w="1037"/>
        <w:gridCol w:w="103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temperature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test_ece_before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test_ece_after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test_brier_before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test_brier_after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accuracy_original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accuracy_scaled_same_numeric_threshold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accuracy_scaled_threshold_reselected_on_val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decisions_identical_after_reselection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ultrasound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ConvNeXt-Small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&gt;100 (search bound; near-uninformative logits)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ultrasound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EfficientNet-B3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ultrasound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Swin-Tiny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&gt;100 (search bound; near-uninformative logits)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ultrasound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ResNet-50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ultrasound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DenseNet-121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ultrasound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Ensemble (mean of 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cytology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ConvNeXt-Small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cytology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EfficientNet-B3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cytology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Swin-Tiny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cytology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ResNet-50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cytology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DenseNet-121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cytology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Ensemble (mean of 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rPr>
          <w:bCs/>
          <w:b/>
        </w:rPr>
        <w:t xml:space="preserve">Supplementary Table S9a. Sonographic-sector detection on all 364 analysed ultrasound images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46"/>
        <w:gridCol w:w="812"/>
        <w:gridCol w:w="812"/>
        <w:gridCol w:w="1218"/>
        <w:gridCol w:w="812"/>
        <w:gridCol w:w="12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detected_pct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fallback_pct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analysed ultrasound images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class: benign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class: PTC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partition: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partition: train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partition: 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29.1</w:t>
            </w:r>
          </w:p>
        </w:tc>
      </w:tr>
    </w:tbl>
    <w:p>
      <w:pPr>
        <w:pStyle w:val="BodyText"/>
      </w:pPr>
      <w:r>
        <w:rPr>
          <w:bCs/>
          <w:b/>
        </w:rPr>
        <w:t xml:space="preserve">Supplementary Table S9b. Reasons for fallback to the fixed central box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252"/>
        <w:gridCol w:w="166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largest textured region &lt; 25% of frame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largest textured region &gt; 97% of frame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textured region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Cs/>
          <w:b/>
        </w:rPr>
        <w:t xml:space="preserve">Supplementary Table S9c. Box size as a fraction of the frame: median [IQR] (range)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84"/>
        <w:gridCol w:w="1945"/>
        <w:gridCol w:w="1945"/>
        <w:gridCol w:w="194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boxes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detected (n = 276)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 [0.38–0.62] (0.25–0.82)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 [0.67–0.83] (0.41–0.97)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 [0.56–0.76] (0.36–0.87)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fallback: largest textured region (n = 88)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 [0.12–0.18] (0.06–0.25)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iCs/>
          <w:i/>
        </w:rPr>
        <w:t xml:space="preserve">Boxes were audited visually by the authors using random samples (Additional file 2, Figs S2–S4); no independent expert grading was performed.</w:t>
      </w:r>
    </w:p>
    <w:p>
      <w:pPr>
        <w:pStyle w:val="BodyText"/>
      </w:pPr>
      <w:r>
        <w:rPr>
          <w:bCs/>
          <w:b/>
        </w:rPr>
        <w:t xml:space="preserve">Supplementary Table S10. Metadata-only shortcut diagnostic: all feature sets and models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38"/>
        <w:gridCol w:w="1616"/>
        <w:gridCol w:w="1023"/>
        <w:gridCol w:w="1400"/>
        <w:gridCol w:w="1616"/>
        <w:gridCol w:w="862"/>
        <w:gridCol w:w="8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feature_set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frozen test AUROC (95% CI)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grouped-CV pooled AUROC (95% CI)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specificity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ultrasound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A: frame geometry + global intensity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0.762 (0.630–0.886)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0.713 (0.655–0.772)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ultrasound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A: frame geometry + global intensity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gradient boosting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0.720 (0.578–0.855)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0.697 (0.638–0.757)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ultrasound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B: A + border strips (overlays)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0.795 (0.662–0.909)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0.749 (0.692–0.804)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ultrasound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B: A + border strips (overlays)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gradient boosting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0.738 (0.596–0.868)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0.725 (0.667–0.784)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ultrasound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C: B + file encoding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0.793 (0.660–0.914)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0.738 (0.681–0.794)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ultrasound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C: B + file encoding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gradient boosting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0.747 (0.605–0.875)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0.746 (0.688–0.801)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cytology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A: frame geometry + global intensity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0.899 (0.845–0.948)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0.830 (0.794–0.865)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cytology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A: frame geometry + global intensity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gradient boosting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0.918 (0.861–0.960)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0.874 (0.843–0.902)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cytology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B: A + border strips (overlays)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0.895 (0.840–0.944)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0.828 (0.791–0.863)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cytology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B: A + border strips (overlays)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gradient boosting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0.910 (0.850–0.954)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0.867 (0.835–0.897)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cytology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C: B + file encoding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0.905 (0.845–0.955)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0.857 (0.821–0.889)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cytology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C: B + file encoding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gradient boosting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0.957 (0.922–0.983)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0.906 (0.878–0.931)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0.892</w:t>
            </w:r>
          </w:p>
        </w:tc>
      </w:tr>
    </w:tbl>
    <w:p>
      <w:pPr>
        <w:pStyle w:val="BodyText"/>
      </w:pPr>
      <w:r>
        <w:rPr>
          <w:iCs/>
          <w:i/>
        </w:rPr>
        <w:t xml:space="preserve">Primary: logistic regression, feature set B. Cytology features summarise staining and cellularity and cannot separate diagnostic content from acquisition effects.</w:t>
      </w:r>
    </w:p>
    <w:p>
      <w:pPr>
        <w:pStyle w:val="BodyText"/>
      </w:pPr>
      <w:r>
        <w:rPr>
          <w:bCs/>
          <w:b/>
        </w:rPr>
        <w:t xml:space="preserve">Supplementary Table S11a. Ultrasound acquisition metadata by class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measure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Frame width, px: median [IQR]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1,346 [1,024–1,456]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1,346 [1,346–1,346]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Frame height, px: median [IQR]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759 [756–768]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748 [748–762]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Aspect ratio: median [IQR]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1.80 [1.33–1.92]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1.80 [1.80–1.80]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Near-black pixel fraction: median [IQR]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0.469 [0.404–0.526]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0.495 [0.438–0.573]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Images with colour content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Upper-case file extension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EXIF data present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Most common frame (n)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1024 × 768 (47)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1346 × 748 (116)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Distinct frame sizes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Cytology (both classes)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400 × 400 colour blocks with EXIF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400 × 400 colour blocks with EXIF data</w:t>
            </w:r>
          </w:p>
        </w:tc>
      </w:tr>
    </w:tbl>
    <w:p>
      <w:pPr>
        <w:pStyle w:val="BodyText"/>
      </w:pPr>
      <w:r>
        <w:rPr>
          <w:bCs/>
          <w:b/>
        </w:rPr>
        <w:t xml:space="preserve">Supplementary Table S11b. Ultrasound frame sizes by class (ten most frequent)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45"/>
        <w:gridCol w:w="1545"/>
        <w:gridCol w:w="1545"/>
        <w:gridCol w:w="1545"/>
        <w:gridCol w:w="17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frame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PTC share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1346×748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1024×768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1456×759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1456×762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1456×756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1456×819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1456×758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1182×899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960×656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1260×910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</w:tr>
    </w:tbl>
    <w:p>
      <w:pPr>
        <w:pStyle w:val="BodyText"/>
      </w:pPr>
      <w:r>
        <w:rPr>
          <w:bCs/>
          <w:b/>
        </w:rPr>
        <w:t xml:space="preserve">Supplementary Table S11c. Largest standardised coefficients of the primary metadata-only model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52"/>
        <w:gridCol w:w="2640"/>
        <w:gridCol w:w="37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standardised coefficient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cytology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gray_p05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cytology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gray_mean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-1.773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cytology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near_white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cytology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left_colored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cytology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left_mean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cytology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gray_sd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cytology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gray_p95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cytology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colored_frac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ultrasound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gray_p05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ultrasound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ultrasound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ultrasound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gray_mean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ultrasound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left_colored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ultrasound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n_bands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ultrasound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right_mean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ultrasound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bottom_near_white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0.444</w:t>
            </w:r>
          </w:p>
        </w:tc>
      </w:tr>
    </w:tbl>
    <w:p>
      <w:pPr>
        <w:pStyle w:val="BodyText"/>
      </w:pPr>
      <w:r>
        <w:rPr>
          <w:bCs/>
          <w:b/>
        </w:rPr>
        <w:t xml:space="preserve">Supplementary Table S12. Grad-CAM attribution outside the detected sonographic sector (exploratory, descriptive only)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15"/>
        <w:gridCol w:w="515"/>
        <w:gridCol w:w="1802"/>
        <w:gridCol w:w="1931"/>
        <w:gridCol w:w="1545"/>
        <w:gridCol w:w="160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mean_cam_mass_outside_sector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median_cam_mass_outside_sector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mean_area_outside_sector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share_peak_outside_sector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0.409</w:t>
            </w:r>
          </w:p>
        </w:tc>
      </w:tr>
    </w:tbl>
    <w:p>
      <w:pPr>
        <w:pStyle w:val="BodyText"/>
      </w:pPr>
      <w:r>
        <w:rPr>
          <w:iCs/>
          <w:i/>
        </w:rPr>
        <w:t xml:space="preserve">Descriptive attribution measures on frozen EfficientNet-B3 validation and test images; not evidence of the anatomical source of predictions.</w:t>
      </w:r>
    </w:p>
    <w:p>
      <w:pPr>
        <w:pStyle w:val="BodyText"/>
      </w:pPr>
      <w:r>
        <w:rPr>
          <w:bCs/>
          <w:b/>
        </w:rPr>
        <w:t xml:space="preserve">Supplementary Table S13a. TN3K: all backbones, operating point and calibration (image-level intervals)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91"/>
        <w:gridCol w:w="1063"/>
        <w:gridCol w:w="425"/>
        <w:gridCol w:w="1009"/>
        <w:gridCol w:w="425"/>
        <w:gridCol w:w="425"/>
        <w:gridCol w:w="425"/>
        <w:gridCol w:w="425"/>
        <w:gridCol w:w="478"/>
        <w:gridCol w:w="531"/>
        <w:gridCol w:w="425"/>
        <w:gridCol w:w="15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cohort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auroc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auprc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no_skill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mean_pred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prevalence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TN3K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ConvNeXt-Small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0.486 (0.437–0.532)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estimable (near-constant predictions)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TN3K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EfficientNet-B3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0.677 (0.635–0.721)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TN3K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Swin-Tiny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0.569 (0.522–0.614)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TN3K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ResNet-50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0.661 (0.617–0.705)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TN3K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DenseNet-121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0.670 (0.627–0.712)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TN3K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Ensemble (mean of 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0.700 (0.661–0.741)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TN3K trainval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ConvNeXt-Small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0.549 (0.527–0.571)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estimable (near-constant predictions)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TN3K trainval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EfficientNet-B3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0.698 (0.678–0.718)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TN3K trainval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Swin-Tiny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0.621 (0.598–0.641)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TN3K trainval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ResNet-50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0.658 (0.638–0.678)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TN3K trainval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DenseNet-121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0.682 (0.661–0.702)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TN3K trainval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Ensemble (mean of 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0.718 (0.700–0.737)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1.31</w:t>
            </w:r>
          </w:p>
        </w:tc>
      </w:tr>
    </w:tbl>
    <w:p>
      <w:pPr>
        <w:pStyle w:val="BodyText"/>
      </w:pPr>
      <w:r>
        <w:rPr>
          <w:bCs/>
          <w:b/>
        </w:rPr>
        <w:t xml:space="preserve">Supplementary Table S13b. TN3K calibration-in-the-large and slope with image-level 95% CIs (500 resamples)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53"/>
        <w:gridCol w:w="1100"/>
        <w:gridCol w:w="586"/>
        <w:gridCol w:w="733"/>
        <w:gridCol w:w="1026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cohort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prevalence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mean_predicted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calibration_in_the_large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calibration_slope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TN3K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convnext_small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-0.36 (-0.52–-0.20)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-235.61 (-887.93–428.99)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TN3K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efficientnet_b3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-4.09 (-4.90–-3.36)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 (0.07–0.12)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TN3K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swin_tiny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 (-0.01–0.32)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 (-0.11–1.46)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TN3K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resnet50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 (-0.05–0.31)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 (0.36–0.76)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TN3K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densenet121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-2.51 (-2.92–-2.12)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 (0.15–0.25)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TN3K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ensemble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-0.49 (-0.64–-0.32)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1.20 (0.95–1.45)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TN3K trainval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convnext_small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-0.56 (-0.64–-0.48)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454.68 (241.34–688.17)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TN3K trainval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efficientnet_b3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-3.79 (-4.17–-3.44)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 (0.10–0.13)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TN3K trainval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swin_tiny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 (-0.09–0.07)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1.40 (1.05–1.83)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TN3K trainval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resnet50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-0.33 (-0.41–-0.24)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 (0.56–0.86)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TN3K trainval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densenet121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-2.50 (-2.66–-2.34)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 (0.20–0.26)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TN3K trainval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ensemble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-0.66 (-0.74–-0.59)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1.31 (1.17–1.44)</w:t>
            </w:r>
          </w:p>
        </w:tc>
      </w:tr>
    </w:tbl>
    <w:p>
      <w:pPr>
        <w:pStyle w:val="BodyText"/>
      </w:pPr>
      <w:r>
        <w:rPr>
          <w:iCs/>
          <w:i/>
        </w:rPr>
        <w:t xml:space="preserve">ConvNeXt-Small slope is not estimable: predictions are nearly constant (logit standard deviation &lt; 0.001).</w:t>
      </w:r>
    </w:p>
    <w:p>
      <w:pPr>
        <w:pStyle w:val="BodyText"/>
      </w:pPr>
      <w:r>
        <w:rPr>
          <w:bCs/>
          <w:b/>
        </w:rPr>
        <w:t xml:space="preserve">Supplementary Table S13c. DDTI: concordance with TI-RADS groupings, all backbones (case-clustered intervals)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54"/>
        <w:gridCol w:w="1703"/>
        <w:gridCol w:w="681"/>
        <w:gridCol w:w="1618"/>
        <w:gridCol w:w="681"/>
        <w:gridCol w:w="68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auroc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auprc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no_skill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concordance with TI-RADS 2–3 vs 4a–5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ConvNeXt-Small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0.504 (0.427–0.584)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concordance with TI-RADS 2–3 vs 4a–5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EfficientNet-B3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0.528 (0.447–0.613)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concordance with TI-RADS 2–3 vs 4a–5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Swin-Tiny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0.513 (0.431–0.598)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concordance with TI-RADS 2–3 vs 4a–5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ResNet-50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0.572 (0.486–0.658)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concordance with TI-RADS 2–3 vs 4a–5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DenseNet-121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0.522 (0.435–0.614)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concordance with TI-RADS 2–3 vs 4a–5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Ensemble (mean of 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0.518 (0.436–0.605)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concordance with TI-RADS 2–4a vs 4b–5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ConvNeXt-Small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0.506 (0.440–0.575)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concordance with TI-RADS 2–4a vs 4b–5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EfficientNet-B3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0.546 (0.482–0.610)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concordance with TI-RADS 2–4a vs 4b–5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Swin-Tiny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0.548 (0.482–0.616)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concordance with TI-RADS 2–4a vs 4b–5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ResNet-50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0.590 (0.528–0.653)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concordance with TI-RADS 2–4a vs 4b–5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DenseNet-121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0.596 (0.532–0.663)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concordance with TI-RADS 2–4a vs 4b–5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Ensemble (mean of 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0.566 (0.504–0.632)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concordance with TI-RADS 2 vs 4–5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ConvNeXt-Small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0.516 (0.419–0.606)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concordance with TI-RADS 2 vs 4–5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EfficientNet-B3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0.564 (0.467–0.664)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concordance with TI-RADS 2 vs 4–5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Swin-Tiny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0.533 (0.433–0.633)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concordance with TI-RADS 2 vs 4–5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ResNet-50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0.559 (0.458–0.660)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concordance with TI-RADS 2 vs 4–5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DenseNet-121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0.553 (0.451–0.664)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concordance with TI-RADS 2 vs 4–5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Ensemble (mean of 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0.559 (0.460–0.661)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0.873</w:t>
            </w:r>
          </w:p>
        </w:tc>
      </w:tr>
    </w:tbl>
    <w:p>
      <w:pPr>
        <w:pStyle w:val="BodyText"/>
      </w:pPr>
      <w:r>
        <w:rPr>
          <w:bCs/>
          <w:b/>
        </w:rPr>
        <w:t xml:space="preserve">Supplementary Table S14. Original DDTI release: distribution of the TI-RADS field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tirads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(missing)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</w:tbl>
    <w:p>
      <w:pPr>
        <w:pStyle w:val="BodyText"/>
      </w:pPr>
      <w:r>
        <w:rPr>
          <w:bCs/>
          <w:b/>
        </w:rPr>
        <w:t xml:space="preserve">Supplementary Table S15a. Cross-dataset near-duplicate screen against development ultrasound images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08"/>
        <w:gridCol w:w="990"/>
        <w:gridCol w:w="2351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external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min_hamming_to_pang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n_le_4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n_le_8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n_le_10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TN3K_test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TN3K_trainval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DDTI_original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</w:tr>
    </w:tbl>
    <w:p>
      <w:pPr>
        <w:pStyle w:val="BodyText"/>
      </w:pPr>
      <w:r>
        <w:rPr>
          <w:bCs/>
          <w:b/>
        </w:rPr>
        <w:t xml:space="preserve">Supplementary Table S15b. Maximum mean discrepancy between cohorts (penultimate-layer embeddings, 500 permutations)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658"/>
        <w:gridCol w:w="1242"/>
        <w:gridCol w:w="20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permutation_p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Pang train vs Pang test (reference)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DDTI_original vs Pang (internal)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DDTI_original vs TN3K_test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Pang (internal) vs TN3K_test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</w:tr>
    </w:tbl>
    <w:p>
      <w:pPr>
        <w:pStyle w:val="BodyText"/>
      </w:pPr>
      <w:r>
        <w:rPr>
          <w:bCs/>
          <w:b/>
        </w:rPr>
        <w:t xml:space="preserve">Supplementary Table S15c. Image statistics by cohort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63"/>
        <w:gridCol w:w="674"/>
        <w:gridCol w:w="1011"/>
        <w:gridCol w:w="1095"/>
        <w:gridCol w:w="1179"/>
        <w:gridCol w:w="1348"/>
        <w:gridCol w:w="13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cohort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median_width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median_height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mean_intensity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mean_contrast_sd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share_near_black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DDTI_original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Pang (internal)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TN3K_test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0.157</w:t>
            </w:r>
          </w:p>
        </w:tc>
      </w:tr>
    </w:tbl>
    <w:p>
      <w:pPr>
        <w:pStyle w:val="BodyText"/>
      </w:pPr>
      <w:r>
        <w:rPr>
          <w:bCs/>
          <w:b/>
        </w:rPr>
        <w:t xml:space="preserve">Supplementary Table S16. Reproducibility index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31"/>
        <w:gridCol w:w="2329"/>
        <w:gridCol w:w="1708"/>
        <w:gridCol w:w="1552"/>
        <w:gridCol w:w="139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Manuscript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files in the 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Checkpoints (count)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 1; Fig.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manifests/00_source_metadata_image_level.csv; manifests/04_frozen_manifest.csv (+ .sha256); manifests/04_frozen_manifest_v2_case_keys.csv; manifests/01_excluded_cross_label_conflicts.csv; manifests/duplicate_groups_exact_md5.csv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code/00c_audit_cross_label_duplicates.py; code/01e_rebuild_FINAL_split_70_15_15.py; Round 3 notebook, stage 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364 ultrasound images / cases; 1,332 cytology blocks / 384 cases; manifest SHA-256 83e656ef…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 2; Fig. 2A–B; Table S6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predictions/grouped_cv/per_model/*_oof_predictions.csv; predictions/grouped_cv/*_all_models_oof.csv; manifests/cv_fold_assignment.csv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code/03b_group_stratified_5fold_cv.py; Round 2 notebook, stage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revision_exp2b_group_cv/</w:t>
            </w:r>
            <w:r>
              <w:t xml:space="preserve">/</w:t>
            </w:r>
            <w:r>
              <w:t xml:space="preserve">/fold_</w:t>
            </w:r>
            <w:r>
              <w:t xml:space="preserve">/best_model.pt 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Pooled OOF AUROC: cytology ensemble 0.958; ultrasound ensemble 0.768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 2; Fig. 2C–D; Tables S7–S8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predictions/frozen_split/</w:t>
            </w:r>
            <w:r>
              <w:t xml:space="preserve">/</w:t>
            </w:r>
            <w:r>
              <w:t xml:space="preserve">/test_source_group_predictions.csv and test_predictions.csv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code/02_experiment1b_retrain_five_backbones.py; Round 2 notebook, stage 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revision_exp1b/</w:t>
            </w:r>
            <w:r>
              <w:t xml:space="preserve">/</w:t>
            </w:r>
            <w:r>
              <w:t xml:space="preserve">/best_model.pt 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Case-level frozen-test AUROC: cytology 1.000; ultrasound 0.909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 3 (split design); Fig.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predictions/imagelevel_cv/</w:t>
            </w:r>
            <w:r>
              <w:rPr>
                <w:iCs/>
                <w:i/>
              </w:rPr>
              <w:t xml:space="preserve">; predictions/round3/splitdesign_oof_</w:t>
            </w:r>
            <w:r>
              <w:t xml:space="preserve">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code/03b_imagelevel_cv.py; Round 3 notebook, stage 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revision_round2/imagelevel_cv/cytology/</w:t>
            </w:r>
            <w:r>
              <w:t xml:space="preserve">/fold_</w:t>
            </w:r>
            <w:r>
              <w:t xml:space="preserve">/best_model.pt 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ΔAUROC −0.002 (ConvNeXt-Small); +0.019 (EfficientNet-B3)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 3 (masking); Fig. 4; Table S9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predictions/shortcut_cv/</w:t>
            </w:r>
            <w:r>
              <w:rPr>
                <w:iCs/>
                <w:i/>
              </w:rPr>
              <w:t xml:space="preserve">; predictions/round3/masking_oof_</w:t>
            </w:r>
            <w:r>
              <w:t xml:space="preserve">.csv; results/round3/tables/Q0_masking_qa_per_image.csv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code/03b_shortcut_cv.py; Round 3 notebook, stages Q, M, 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revision_round2/shortcut_cv/</w:t>
            </w:r>
            <w:r>
              <w:t xml:space="preserve">/ultrasound/</w:t>
            </w:r>
            <w:r>
              <w:t xml:space="preserve">/fold_</w:t>
            </w:r>
            <w:r>
              <w:t xml:space="preserve">/best_model.pt 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Ensemble ΔAUROC −0.078 (sector removed), −0.008 (sector only); 75.8% detected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 3 (metadata only); Fig. 5; Tables S10–S11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predictions/round3/metadata_features.csv; predictions/round3/metadata_only_test_*.csv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Round 3 notebook, stage 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(no neural network)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Ultrasound: frozen test 0.795; grouped CV 0.749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 4; Fig. 6; Tables S13–S14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manifests/external_TN3K_test.csv, external_TN3K_trainval.csv, external_DDTI_original.csv; predictions/external/*_all_models.csv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code/r2_gpu_tasks.py (predict); Round 2 notebook, stage H; Round 3 notebook, stage TAB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revision_exp1b/ultrasound/</w:t>
            </w:r>
            <w:r>
              <w:t xml:space="preserve">/best_model.pt (5)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TN3K ensemble 0.700, CITL −0.49, slope 1.20; DDTI 0.518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Tables S3–S4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results/round3/tables/ND1_</w:t>
            </w:r>
            <w:r>
              <w:rPr>
                <w:iCs/>
                <w:i/>
              </w:rPr>
              <w:t xml:space="preserve">.csv, ND2_</w:t>
            </w:r>
            <w:r>
              <w:t xml:space="preserve">.csv, S_provenance_sensitivity.csv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Round 3 notebook, stages ND and TAB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Table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candidate pairs SSIM &lt; 0.90; ultrasound CV AUROC 0.765 without uncertain cases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 S15; Additional file 2, Fig. S7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results/tables/H1_*.csv, I1_mmd.csv, I2_image_statistics.csv, I3_tsne_source.csv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Round 2 notebook, stages H and 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revision_exp1b/ultrasound/efficientnet_b3/best_model.pt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MMD 0.149, 0.235, 0.280; internal reference 0.017</w:t>
            </w:r>
          </w:p>
        </w:tc>
      </w:tr>
    </w:tbl>
    <w:p>
      <w:pPr>
        <w:pStyle w:val="BodyText"/>
      </w:pPr>
      <w:r>
        <w:rPr>
          <w:iCs/>
          <w:i/>
        </w:rPr>
        <w:t xml:space="preserve">Every listed file is covered by SHA256SUMS.txt in the release, and every checkpoint by checkpoints/checkpoint_sha256.csv (120 checkpoints). The frozen-split checkpoints are archived on Zenodo.</w:t>
      </w:r>
    </w:p>
    <w:p>
      <w:pPr>
        <w:pStyle w:val="BodyText"/>
      </w:pPr>
      <w:r>
        <w:rPr>
          <w:bCs/>
          <w:b/>
        </w:rPr>
        <w:t xml:space="preserve">Supplementary Table S17. Case-identifier schema and migration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04"/>
        <w:gridCol w:w="3007"/>
        <w:gridCol w:w="300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in the released manifest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case_key (new)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Authoritative case identifier: class folder + file-name case number, e.g. PTC_0085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to define cases in every analysis; added in 04_frozen_manifest_v2_case_keys.csv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source_group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Analytical group within a modality, modality::label::group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Unchanged; one-to-one with case_key within a modality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component_id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Connected component of source groups joined by duplicate links; the cross-validation and bootstrap grouping 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Unchanged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case_id (legacy)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Sequential identifier inherited from earlier metadata; disagrees with the file-name case number in 39.7% of rows and repeats across classes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Renamed legacy_case_id_unused; never used for grouping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patient_id (legacy)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 inherited from earlier metadata (e.g. CYTOLOGY_001)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Renamed legacy_patient_label_unused; never used</w:t>
            </w:r>
          </w:p>
        </w:tc>
      </w:tr>
    </w:tbl>
    <w:p>
      <w:pPr>
        <w:pStyle w:val="BodyText"/>
      </w:pPr>
      <w:r>
        <w:rPr>
          <w:iCs/>
          <w:i/>
        </w:rPr>
        <w:t xml:space="preserve">The original frozen manifest is retained byte-for-byte so that its SHA-256 still verifies; the v2 file adds case_key and renames the legacy fields.</w:t>
      </w:r>
    </w:p>
    <w:sectPr>
      <w:pgSz w:orient="landscape" w:w="15840" w:h="12240"/>
      <w:pgMar w:left="1152" w:right="1152" w:top="1152" w:bottom="115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2026-10-07T08:20:59Z</dcterms:created>
  <dcterms:modified xsi:type="dcterms:W3CDTF">2026-10-07T08:20:59Z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