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8"/>
        <w:gridCol w:w="2400"/>
      </w:tblGrid>
      <w:tr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260"/>
              <w:left w:type="dxa" w:w="300"/>
              <w:bottom w:type="dxa" w:w="220"/>
              <w:right w:type="dxa" w:w="16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color w:val="F4B942"/>
                <w:spacing w:val="30"/>
                <w:sz w:val="16"/>
                <w:szCs w:val="16"/>
              </w:rPr>
              <w:t xml:space="preserve">MANAGEMENT OF INFORMATION SECURITY  ·  WEEK 2</w:t>
            </w:r>
          </w:p>
          <w:p>
            <w:pPr>
              <w:spacing w:after="20"/>
            </w:pPr>
            <w:r>
              <w:rPr>
                <w:rFonts w:ascii="Cambria" w:cs="Cambria" w:eastAsia="Cambria" w:hAnsi="Cambria"/>
                <w:b/>
                <w:bCs/>
                <w:color w:val="C9D3E3"/>
                <w:sz w:val="24"/>
                <w:szCs w:val="24"/>
              </w:rPr>
              <w:t xml:space="preserve">LAB 3</w:t>
            </w:r>
          </w:p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0"/>
                <w:szCs w:val="40"/>
              </w:rPr>
              <w:t xml:space="preserve">Ethics in Practice: Dilemmas, Codes of Conduct and Deterrence</w:t>
            </w:r>
          </w:p>
          <w:p>
            <w:pPr>
              <w:spacing w:after="40"/>
            </w:pPr>
            <w:r>
              <w:rPr>
                <w:i/>
                <w:iCs/>
                <w:color w:val="E3E8F0"/>
                <w:sz w:val="20"/>
                <w:szCs w:val="20"/>
              </w:rPr>
              <w:t xml:space="preserve">Use the tools security managers rely on when the right answer is not obvious — and turn ethics into enforceable policy.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13D" w:color="auto" w:val="clear"/>
            <w:tcMar>
              <w:top w:type="dxa" w:w="200"/>
              <w:left w:type="dxa" w:w="1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balance_scale" descr="balance scale" title="balance_sc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33400" cy="533400"/>
                  <wp:effectExtent t="0" r="0" b="0" l="0"/>
                  <wp:docPr id="1" name="sports_medal" descr="sports medal" title="sports_me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Duration</w:t>
            </w:r>
          </w:p>
        </w:tc>
        <w:tc>
          <w:tcPr>
            <w:tcW w:type="dxa" w:w="33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 minutes</w:t>
            </w:r>
          </w:p>
        </w:tc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Format</w:t>
            </w:r>
          </w:p>
        </w:tc>
        <w:tc>
          <w:tcPr>
            <w:tcW w:type="dxa" w:w="33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Pairs (one submission per pair)</w:t>
            </w:r>
          </w:p>
        </w:tc>
      </w:tr>
      <w:tr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Objectives</w:t>
            </w:r>
          </w:p>
        </w:tc>
        <w:tc>
          <w:tcPr>
            <w:tcW w:type="dxa" w:w="33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Chapter 2 objectives 1–4</w:t>
            </w:r>
          </w:p>
        </w:tc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Submit</w:t>
            </w:r>
          </w:p>
        </w:tc>
        <w:tc>
          <w:tcPr>
            <w:tcW w:type="dxa" w:w="33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Completed handout as PDF</w:t>
            </w:r>
          </w:p>
        </w:tc>
      </w:tr>
      <w:tr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Materials</w:t>
            </w:r>
          </w:p>
        </w:tc>
        <w:tc>
          <w:tcPr>
            <w:tcW w:type="dxa" w:w="33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Lecture slides 6–27 and 57; ISC2 and ACM codes (links below)</w:t>
            </w:r>
          </w:p>
        </w:tc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Weight</w:t>
            </w:r>
          </w:p>
        </w:tc>
        <w:tc>
          <w:tcPr>
            <w:tcW w:type="dxa" w:w="33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points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trHeight w:val="460" w:hRule="atLeast"/>
        </w:trPr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6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Student 1</w:t>
            </w:r>
          </w:p>
        </w:tc>
        <w:tc>
          <w:tcPr>
            <w:tcW w:type="dxa" w:w="33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6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Student 2</w:t>
            </w:r>
          </w:p>
        </w:tc>
        <w:tc>
          <w:tcPr>
            <w:tcW w:type="dxa" w:w="33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6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Group / section</w:t>
            </w:r>
          </w:p>
        </w:tc>
        <w:tc>
          <w:tcPr>
            <w:tcW w:type="dxa" w:w="33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6F4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3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1. Learning objectives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By the end of this lab you will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Analyse an ethical dilemma using the five approaches: utilitarian, rights, fairness or justice, common good and virtue.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Map professional obligations to the ISC2 Code of Ethics canons and the ACM Code of Ethics principles.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Classify unethical or illegal behaviour as ignorance, accident or intent, and choose matching controls.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Diagnose why a deterrent is failing using the three conditions of deterrence.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Make an organizational policy enforceable using the five conditions: distributed, read, understood, acknowledged and uniformly enforced.</w:t>
      </w:r>
    </w:p>
    <w:p>
      <w:pPr>
        <w:pStyle w:val="Heading1"/>
        <w:keepNext/>
      </w:pPr>
      <w:r>
        <w:t xml:space="preserve">2. Quick 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7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Guiding question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Utilitarian</w:t>
            </w:r>
          </w:p>
        </w:tc>
        <w:tc>
          <w:tcPr>
            <w:tcW w:type="dxa" w:w="7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Which option produces the greatest balance of good over harm for everyone affected?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Rights</w:t>
            </w:r>
          </w:p>
        </w:tc>
        <w:tc>
          <w:tcPr>
            <w:tcW w:type="dxa" w:w="7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Which option best respects the rights of everyone involved — privacy, truth, consent?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Fairness or justice</w:t>
            </w:r>
          </w:p>
        </w:tc>
        <w:tc>
          <w:tcPr>
            <w:tcW w:type="dxa" w:w="7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Which option treats people equally, or unequally only for a justifiable reason?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Common good</w:t>
            </w:r>
          </w:p>
        </w:tc>
        <w:tc>
          <w:tcPr>
            <w:tcW w:type="dxa" w:w="7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Which option best serves the community as a whole?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Virtue</w:t>
            </w:r>
          </w:p>
        </w:tc>
        <w:tc>
          <w:tcPr>
            <w:tcW w:type="dxa" w:w="7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Which option leads me to act as the sort of person I want to be?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  <w:tblHeader/>
        </w:trPr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0F8B8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ISC2 canon</w:t>
            </w:r>
          </w:p>
        </w:tc>
        <w:tc>
          <w:tcPr>
            <w:tcW w:type="dxa" w:w="81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0F8B8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Text (in order)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</w:t>
            </w:r>
          </w:p>
        </w:tc>
        <w:tc>
          <w:tcPr>
            <w:tcW w:type="dxa" w:w="81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Protect society, the common good, necessary public trust and confidence, and the infrastructure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II</w:t>
            </w:r>
          </w:p>
        </w:tc>
        <w:tc>
          <w:tcPr>
            <w:tcW w:type="dxa" w:w="81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 honourably, honestly, justly, responsibly and legally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III</w:t>
            </w:r>
          </w:p>
        </w:tc>
        <w:tc>
          <w:tcPr>
            <w:tcW w:type="dxa" w:w="81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Provide diligent and competent service to principals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IV</w:t>
            </w:r>
          </w:p>
        </w:tc>
        <w:tc>
          <w:tcPr>
            <w:tcW w:type="dxa" w:w="81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Advance and protect the profession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ACM principles (Section 1): </w:t>
      </w:r>
      <w:r>
        <w:rPr>
          <w:rFonts w:ascii="Calibri" w:cs="Calibri" w:eastAsia="Calibri" w:hAnsi="Calibri"/>
        </w:rPr>
        <w:t xml:space="preserve">1.1 Contribute to society and human well-being · 1.2 Avoid harm · 1.3 Be honest and trustworthy · 1.4 Be fair and do not discriminate · 1.5 Respect the work required to produce new ideas · 1.6 Respect privacy · 1.7 Honour confidentiality.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</w:rPr>
        <w:t xml:space="preserve">Deterrence works only if all three hold: </w:t>
      </w:r>
      <w:r>
        <w:rPr>
          <w:rFonts w:ascii="Calibri" w:cs="Calibri" w:eastAsia="Calibri" w:hAnsi="Calibri"/>
        </w:rPr>
        <w:t xml:space="preserve">fear of penalty × probability of being caught × probability the penalty is applied.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color="auto" w:val="clear"/>
            <w:tcMar>
              <w:top w:type="dxa" w:w="12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books" descr="books" title="boo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color="auto" w:val="clear"/>
            <w:tcMar>
              <w:top w:type="dxa" w:w="140"/>
              <w:left w:type="dxa" w:w="200"/>
              <w:bottom w:type="dxa" w:w="100"/>
              <w:right w:type="dxa" w:w="2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0F8B8D"/>
                <w:spacing w:val="30"/>
                <w:sz w:val="17"/>
                <w:szCs w:val="17"/>
              </w:rPr>
              <w:t xml:space="preserve">FULL TEXTS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333"/>
                <w:sz w:val="20"/>
                <w:szCs w:val="20"/>
              </w:rPr>
              <w:t xml:space="preserve">ISC2 Code of Ethics — isc2.org/ethics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333"/>
                <w:sz w:val="20"/>
                <w:szCs w:val="20"/>
              </w:rPr>
              <w:t xml:space="preserve">ACM Code of Ethics and Professional Conduct — acm.org/code-of-ethics</w:t>
            </w:r>
          </w:p>
        </w:tc>
      </w:tr>
    </w:tbl>
    <w:p>
      <w:pPr>
        <w:pStyle w:val="Heading1"/>
        <w:keepNext/>
      </w:pPr>
      <w:r>
        <w:t xml:space="preserve">3. Tasks</w:t>
      </w:r>
    </w:p>
    <w:p>
      <w:pPr>
        <w:pStyle w:val="Heading2"/>
        <w:keepNext/>
      </w:pPr>
      <w:r>
        <w:t xml:space="preserve">Part A — Three dilemmas, five approaches (30 min)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Read each dilemma. For each one, complete a decision matrix: what each approach suggests, and which option it leans toward. Then make a decision and justify it in two or three sentences. Dilemma 1 is partly completed as an example.</w:t>
      </w:r>
    </w:p>
    <w:p>
      <w:pPr>
        <w:pStyle w:val="Heading3"/>
        <w:keepNext/>
      </w:pPr>
      <w:r>
        <w:t xml:space="preserve">Dilemma 1: The ransom and the diagnostic lab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2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bomb" descr="bomb" title="bom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40"/>
              <w:left w:type="dxa" w:w="200"/>
              <w:bottom w:type="dxa" w:w="100"/>
              <w:right w:type="dxa" w:w="2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B2333"/>
                <w:sz w:val="20"/>
                <w:szCs w:val="20"/>
              </w:rPr>
              <w:t xml:space="preserve">MedLab Tashkent (fictional), a private diagnostic laboratory, is hit by ransomware on a Friday evening. Test results for 300 patients — some urgent cancer screenings — are encrypted. Backups exist but restoring them will take about five days. The attackers demand USD 80,000 and promise a decryption key within hours. The CEO asks you, the security manager, for a recommendation by 22:00.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38"/>
        <w:gridCol w:w="2100"/>
      </w:tblGrid>
      <w:tr>
        <w:trPr>
          <w:cantSplit/>
          <w:tblHeader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suggests in this case</w:t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Leans toward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FDF3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A6478"/>
                <w:sz w:val="19"/>
                <w:szCs w:val="19"/>
              </w:rPr>
              <w:t xml:space="preserve">Utilitarian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FDF3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A6478"/>
                <w:sz w:val="19"/>
                <w:szCs w:val="19"/>
              </w:rPr>
              <w:t xml:space="preserve">Paying may restore urgent results within hours and reduce harm to patients — but it funds criminals and there is no guarantee the key works.</w:t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FDF3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A6478"/>
                <w:sz w:val="19"/>
                <w:szCs w:val="19"/>
              </w:rPr>
              <w:t xml:space="preserve">Pay (with conditions)</w:t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Rights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Fairness / justice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Common good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Virtue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</w:rPr>
        <w:t xml:space="preserve">Our decision and justification:</w:t>
      </w: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spacing w:after="160"/>
      </w:pPr>
    </w:p>
    <w:p>
      <w:pPr>
        <w:pStyle w:val="Heading3"/>
        <w:keepNext/>
      </w:pPr>
      <w:r>
        <w:t xml:space="preserve">Dilemma 2: The vulnerability in the university portal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2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magnifying_glass_tilted_left" descr="magnifying glass tilted left" title="magnifying_glass_tilted_le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40"/>
              <w:left w:type="dxa" w:w="200"/>
              <w:bottom w:type="dxa" w:w="100"/>
              <w:right w:type="dxa" w:w="2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B2333"/>
                <w:sz w:val="20"/>
                <w:szCs w:val="20"/>
              </w:rPr>
              <w:t xml:space="preserve">While checking your grades, you notice that changing a number in the web address shows another student’s transcript. You tried two more numbers to “make sure” it was real. A friend says you should post it on social media so the university “finally takes security seriously”. Another says to keep quiet because you may get in trouble for testing it.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38"/>
        <w:gridCol w:w="2100"/>
      </w:tblGrid>
      <w:tr>
        <w:trPr>
          <w:cantSplit/>
          <w:tblHeader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suggests in this case</w:t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Leans toward</w:t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Utilitarian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Rights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Fairness / justice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Common good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Virtue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</w:rPr>
        <w:t xml:space="preserve">Our decision and justification:</w:t>
      </w: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spacing w:after="160"/>
      </w:pPr>
    </w:p>
    <w:p>
      <w:pPr>
        <w:pStyle w:val="Heading3"/>
        <w:keepNext/>
      </w:pPr>
      <w:r>
        <w:t xml:space="preserve">Dilemma 3: The CEO wants a keylogger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2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eye" descr="eye" title="ey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40"/>
              <w:left w:type="dxa" w:w="200"/>
              <w:bottom w:type="dxa" w:w="100"/>
              <w:right w:type="dxa" w:w="2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B2333"/>
                <w:sz w:val="20"/>
                <w:szCs w:val="20"/>
              </w:rPr>
              <w:t xml:space="preserve">After a leak of pricing data, the CEO of a 200-person company orders you to install software on every employee laptop that records keystrokes and takes a screenshot every five minutes. He wants it done secretly “so the leaker doesn’t notice”. The company has an acceptable-use policy that mentions “monitoring of company systems” in one sentence.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638"/>
        <w:gridCol w:w="2100"/>
      </w:tblGrid>
      <w:tr>
        <w:trPr>
          <w:cantSplit/>
          <w:tblHeader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suggests in this case</w:t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Leans toward</w:t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Utilitarian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Rights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Fairness / justice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Common good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Virtue</w:t>
            </w:r>
          </w:p>
        </w:tc>
        <w:tc>
          <w:tcPr>
            <w:tcW w:type="dxa" w:w="56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40" w:before="120"/>
      </w:pPr>
      <w:r>
        <w:rPr>
          <w:rFonts w:ascii="Calibri" w:cs="Calibri" w:eastAsia="Calibri" w:hAnsi="Calibri"/>
          <w:b/>
          <w:bCs/>
        </w:rPr>
        <w:t xml:space="preserve">Our decision and justification:</w:t>
      </w: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spacing w:after="160"/>
      </w:pPr>
    </w:p>
    <w:p>
      <w:pPr>
        <w:pStyle w:val="Heading2"/>
        <w:keepNext/>
      </w:pPr>
      <w:r>
        <w:t xml:space="preserve">Part B — Map the professional codes (10 min)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For each dilemma, identify the ISC2 canon(s) and ACM principle(s) most at stake, any law that may apply, and the action a certified professional should take.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700"/>
        <w:gridCol w:w="2200"/>
        <w:gridCol w:w="3038"/>
      </w:tblGrid>
      <w:tr>
        <w:trPr>
          <w:cantSplit/>
          <w:tblHeader/>
        </w:trPr>
        <w:tc>
          <w:tcPr>
            <w:tcW w:type="dxa" w:w="1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Dilemma</w:t>
            </w:r>
          </w:p>
        </w:tc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ISC2 canon(s)</w:t>
            </w:r>
          </w:p>
        </w:tc>
        <w:tc>
          <w:tcPr>
            <w:tcW w:type="dxa" w:w="17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ACM principle(s)</w:t>
            </w:r>
          </w:p>
        </w:tc>
        <w:tc>
          <w:tcPr>
            <w:tcW w:type="dxa" w:w="2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Law that may apply</w:t>
            </w:r>
          </w:p>
        </w:tc>
        <w:tc>
          <w:tcPr>
            <w:tcW w:type="dxa" w:w="30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Professional action</w:t>
            </w:r>
          </w:p>
        </w:tc>
      </w:tr>
      <w:tr>
        <w:trPr>
          <w:cantSplit/>
          <w:trHeight w:val="1100" w:hRule="atLeast"/>
        </w:trPr>
        <w:tc>
          <w:tcPr>
            <w:tcW w:type="dxa" w:w="1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1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1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Part C — Ignorance, accident or intent? (15 min)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Classify each incident. Then name the weakest deterrence condition (if any) and one control that would have prevented or deterred it. Row 1 is an example.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500"/>
        <w:gridCol w:w="1250"/>
        <w:gridCol w:w="2100"/>
        <w:gridCol w:w="2338"/>
      </w:tblGrid>
      <w:tr>
        <w:trPr>
          <w:cantSplit/>
          <w:tblHeader/>
        </w:trPr>
        <w:tc>
          <w:tcPr>
            <w:tcW w:type="dxa" w:w="4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Incident</w:t>
            </w:r>
          </w:p>
        </w:tc>
        <w:tc>
          <w:tcPr>
            <w:tcW w:type="dxa" w:w="12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Weakest deterrence condition</w:t>
            </w:r>
          </w:p>
        </w:tc>
        <w:tc>
          <w:tcPr>
            <w:tcW w:type="dxa" w:w="2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Best control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4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FDF3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A6478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FDF3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A6478"/>
                <w:sz w:val="18"/>
                <w:szCs w:val="18"/>
              </w:rPr>
              <w:t xml:space="preserve">A new accountant emails payroll data to a tax adviser using personal Gmail because “that is how we did it at my last job”.</w:t>
            </w:r>
          </w:p>
        </w:tc>
        <w:tc>
          <w:tcPr>
            <w:tcW w:type="dxa" w:w="12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FDF3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A6478"/>
                <w:sz w:val="18"/>
                <w:szCs w:val="18"/>
              </w:rPr>
              <w:t xml:space="preserve">Ignorance</w:t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FDF3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A6478"/>
                <w:sz w:val="18"/>
                <w:szCs w:val="18"/>
              </w:rPr>
              <w:t xml:space="preserve">Not applicable — he did not know the rule</w:t>
            </w:r>
          </w:p>
        </w:tc>
        <w:tc>
          <w:tcPr>
            <w:tcW w:type="dxa" w:w="2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FDF3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A6478"/>
                <w:sz w:val="18"/>
                <w:szCs w:val="18"/>
              </w:rPr>
              <w:t xml:space="preserve">Onboarding training; clear data-transfer policy; secure file-share tool</w:t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4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A developer runs a database migration script against production instead of test, deleting 2,000 orders.</w:t>
            </w:r>
          </w:p>
        </w:tc>
        <w:tc>
          <w:tcPr>
            <w:tcW w:type="dxa" w:w="12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4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Staff regularly share one admin password “to save time”. Everyone knows the policy forbids it; nobody has ever been disciplined.</w:t>
            </w:r>
          </w:p>
        </w:tc>
        <w:tc>
          <w:tcPr>
            <w:tcW w:type="dxa" w:w="12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4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A call-centre employee looks up the home address of a celebrity customer out of curiosity. Logs exist but are never reviewed.</w:t>
            </w:r>
          </w:p>
        </w:tc>
        <w:tc>
          <w:tcPr>
            <w:tcW w:type="dxa" w:w="12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4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A departing engineer copies source code to a USB stick on her last day to use at her new employer.</w:t>
            </w:r>
          </w:p>
        </w:tc>
        <w:tc>
          <w:tcPr>
            <w:tcW w:type="dxa" w:w="12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4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An intern installs a pirated design program on a company PC, believing it is free software.</w:t>
            </w:r>
          </w:p>
        </w:tc>
        <w:tc>
          <w:tcPr>
            <w:tcW w:type="dxa" w:w="12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4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A manager tells staff the internet-use policy “does not apply to the sales team” because they are top performers.</w:t>
            </w:r>
          </w:p>
        </w:tc>
        <w:tc>
          <w:tcPr>
            <w:tcW w:type="dxa" w:w="12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760" w:hRule="atLeast"/>
        </w:trPr>
        <w:tc>
          <w:tcPr>
            <w:tcW w:type="dxa" w:w="4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>A system administrator accidentally makes a cloud storage bucket public while testing a new website.</w:t>
            </w:r>
          </w:p>
        </w:tc>
        <w:tc>
          <w:tcPr>
            <w:tcW w:type="dxa" w:w="125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Part D — Make a policy enforceable (15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2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scroll" descr="scroll" title="scro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40"/>
              <w:left w:type="dxa" w:w="200"/>
              <w:bottom w:type="dxa" w:w="100"/>
              <w:right w:type="dxa" w:w="2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8A6100"/>
                <w:spacing w:val="30"/>
                <w:sz w:val="17"/>
                <w:szCs w:val="17"/>
              </w:rPr>
              <w:t xml:space="preserve">SCENARIO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333"/>
                <w:sz w:val="20"/>
                <w:szCs w:val="20"/>
              </w:rPr>
              <w:t xml:space="preserve">Kamolot Trade LLC (fictional) wrote a “Removable Media Policy” in 2023 banning USB storage devices. It exists only in English, is stored in a shared folder that most staff cannot find, and was never announced. Warehouse staff mostly read Uzbek or Russian. Last month a warehouse supervisor was dismissed for using a USB stick; the CFO uses one every day. The supervisor is challenging the dismissal.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3200"/>
        <w:gridCol w:w="3338"/>
      </w:tblGrid>
      <w:tr>
        <w:trPr>
          <w:cantSplit/>
          <w:tblHeader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Met? (Y/N)</w:t>
            </w:r>
          </w:p>
        </w:tc>
        <w:tc>
          <w:tcPr>
            <w:tcW w:type="dxa" w:w="3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 from the scenario</w:t>
            </w:r>
          </w:p>
        </w:tc>
        <w:tc>
          <w:tcPr>
            <w:tcW w:type="dxa" w:w="3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the company must do</w:t>
            </w:r>
          </w:p>
        </w:tc>
      </w:tr>
      <w:tr>
        <w:trPr>
          <w:cantSplit/>
          <w:trHeight w:val="78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Distributed</w:t>
            </w:r>
          </w:p>
        </w:tc>
        <w:tc>
          <w:tcPr>
            <w:tcW w:type="dxa" w:w="1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8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Read</w:t>
            </w:r>
          </w:p>
        </w:tc>
        <w:tc>
          <w:tcPr>
            <w:tcW w:type="dxa" w:w="1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8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Understood</w:t>
            </w:r>
          </w:p>
        </w:tc>
        <w:tc>
          <w:tcPr>
            <w:tcW w:type="dxa" w:w="1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8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Acknowledged</w:t>
            </w:r>
          </w:p>
        </w:tc>
        <w:tc>
          <w:tcPr>
            <w:tcW w:type="dxa" w:w="1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80" w:hRule="atLeast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Uniformly enforced</w:t>
            </w:r>
          </w:p>
        </w:tc>
        <w:tc>
          <w:tcPr>
            <w:tcW w:type="dxa" w:w="1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40" w:before="160"/>
      </w:pPr>
      <w:r>
        <w:rPr>
          <w:rFonts w:ascii="Calibri" w:cs="Calibri" w:eastAsia="Calibri" w:hAnsi="Calibri"/>
          <w:b/>
          <w:bCs/>
        </w:rPr>
        <w:t xml:space="preserve">Write a login banner for Kamolot Trade’s computers </w:t>
      </w:r>
      <w:r>
        <w:rPr>
          <w:rFonts w:ascii="Calibri" w:cs="Calibri" w:eastAsia="Calibri" w:hAnsi="Calibri"/>
        </w:rPr>
        <w:t xml:space="preserve">(3–4 sentences) that strengthens all three deterrence conditions:</w:t>
      </w: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spacing w:after="160"/>
      </w:pPr>
    </w:p>
    <w:p>
      <w:pPr>
        <w:pStyle w:val="Heading2"/>
        <w:keepNext/>
      </w:pPr>
      <w:r>
        <w:t xml:space="preserve">Part E — Personal reflection (5 min, individual)</w:t>
      </w:r>
    </w:p>
    <w:p>
      <w:pPr>
        <w:spacing w:after="120" w:before="0"/>
      </w:pPr>
      <w:r>
        <w:rPr>
          <w:rFonts w:ascii="Calibri" w:cs="Calibri" w:eastAsia="Calibri" w:hAnsi="Calibri"/>
        </w:rPr>
        <w:t xml:space="preserve">Write three short commitments for your own professional code — things you will do, or refuse to do, when you hold privileged access. Each student writes their own.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19"/>
        <w:gridCol w:w="4219"/>
      </w:tblGrid>
      <w:tr>
        <w:trPr>
          <w:cantSplit/>
          <w:tblHeader/>
        </w:trPr>
        <w:tc>
          <w:tcPr>
            <w:tcW w:type="dxa" w:w="1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2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Student 1</w:t>
            </w:r>
          </w:p>
        </w:tc>
        <w:tc>
          <w:tcPr>
            <w:tcW w:type="dxa" w:w="42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Student 2</w:t>
            </w:r>
          </w:p>
        </w:tc>
      </w:tr>
      <w:tr>
        <w:trPr>
          <w:cantSplit/>
          <w:trHeight w:val="700" w:hRule="atLeast"/>
        </w:trPr>
        <w:tc>
          <w:tcPr>
            <w:tcW w:type="dxa" w:w="1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2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2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12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2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19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</w:pPr>
      <w:r>
        <w:t xml:space="preserve">4. Analysis questions</w:t>
      </w:r>
    </w:p>
    <w:p>
      <w:pPr>
        <w:keepNext/>
        <w:spacing w:after="40" w:before="120"/>
      </w:pPr>
      <w:r>
        <w:rPr>
          <w:b/>
          <w:bCs/>
          <w:color w:val="0F8B8D"/>
        </w:rPr>
        <w:t xml:space="preserve">Q1. </w:t>
      </w:r>
      <w:r>
        <w:rPr>
          <w:rFonts w:ascii="Calibri" w:cs="Calibri" w:eastAsia="Calibri" w:hAnsi="Calibri"/>
        </w:rPr>
        <w:t xml:space="preserve">In which dilemma did the five approaches disagree most? What does disagreement tell a manager about how to make the decision?</w:t>
      </w:r>
      <w:r>
        <w:rPr>
          <w:color w:val="5A6478"/>
          <w:sz w:val="18"/>
          <w:szCs w:val="18"/>
        </w:rPr>
        <w:t xml:space="preserve">  (4 pts)</w:t>
      </w: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spacing w:after="160"/>
      </w:pPr>
    </w:p>
    <w:p>
      <w:pPr>
        <w:keepNext/>
        <w:spacing w:after="40" w:before="120"/>
      </w:pPr>
      <w:r>
        <w:rPr>
          <w:b/>
          <w:bCs/>
          <w:color w:val="0F8B8D"/>
        </w:rPr>
        <w:t xml:space="preserve">Q2. </w:t>
      </w:r>
      <w:r>
        <w:rPr>
          <w:rFonts w:ascii="Calibri" w:cs="Calibri" w:eastAsia="Calibri" w:hAnsi="Calibri"/>
        </w:rPr>
        <w:t xml:space="preserve">Why does the ISC2 code list protecting society before service to principals? Give an example from Part A where this order changes the answer.</w:t>
      </w:r>
      <w:r>
        <w:rPr>
          <w:color w:val="5A6478"/>
          <w:sz w:val="18"/>
          <w:szCs w:val="18"/>
        </w:rPr>
        <w:t xml:space="preserve">  (4 pts)</w:t>
      </w: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spacing w:after="160"/>
      </w:pPr>
    </w:p>
    <w:p>
      <w:pPr>
        <w:keepNext/>
        <w:spacing w:after="40" w:before="120"/>
      </w:pPr>
      <w:r>
        <w:rPr>
          <w:b/>
          <w:bCs/>
          <w:color w:val="0F8B8D"/>
        </w:rPr>
        <w:t xml:space="preserve">Q3. </w:t>
      </w:r>
      <w:r>
        <w:rPr>
          <w:rFonts w:ascii="Calibri" w:cs="Calibri" w:eastAsia="Calibri" w:hAnsi="Calibri"/>
        </w:rPr>
        <w:t xml:space="preserve">Monitoring increases the probability of being caught. Using Dilemma 3, explain how monitoring itself can create legal and ethical problems.</w:t>
      </w:r>
      <w:r>
        <w:rPr>
          <w:color w:val="5A6478"/>
          <w:sz w:val="18"/>
          <w:szCs w:val="18"/>
        </w:rPr>
        <w:t xml:space="preserve">  (4 pts)</w:t>
      </w: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spacing w:after="160"/>
      </w:pPr>
    </w:p>
    <w:p>
      <w:pPr>
        <w:keepNext/>
        <w:spacing w:after="40" w:before="120"/>
      </w:pPr>
      <w:r>
        <w:rPr>
          <w:b/>
          <w:bCs/>
          <w:color w:val="0F8B8D"/>
        </w:rPr>
        <w:t xml:space="preserve">Q4. </w:t>
      </w:r>
      <w:r>
        <w:rPr>
          <w:rFonts w:ascii="Calibri" w:cs="Calibri" w:eastAsia="Calibri" w:hAnsi="Calibri"/>
        </w:rPr>
        <w:t xml:space="preserve">Part C, incident 7: explain how one manager’s exception can destroy the value of a policy — using both the deterrence conditions and the five policy conditions.</w:t>
      </w:r>
      <w:r>
        <w:rPr>
          <w:color w:val="5A6478"/>
          <w:sz w:val="18"/>
          <w:szCs w:val="18"/>
        </w:rPr>
        <w:t xml:space="preserve">  (3 pts)</w:t>
      </w: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pBdr>
          <w:bottom w:val="single" w:color="C9D1DD" w:sz="4" w:space="1"/>
        </w:pBdr>
        <w:spacing w:after="0" w:before="0" w:line="400"/>
      </w:pPr>
    </w:p>
    <w:p>
      <w:pPr>
        <w:spacing w:after="160"/>
      </w:pPr>
    </w:p>
    <w:p>
      <w:pPr>
        <w:pStyle w:val="Heading1"/>
        <w:keepNext/>
      </w:pPr>
      <w:r>
        <w:t xml:space="preserve">5. Deliverables and grading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Completed Parts A–E and answers to Q1–Q4.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Save as PDF named Lab3_Surname1_Surname2.pdf and upload before the deadline.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000"/>
        <w:gridCol w:w="2038"/>
        <w:gridCol w:w="1000"/>
      </w:tblGrid>
      <w:tr>
        <w:trPr>
          <w:cantSplit/>
          <w:tblHeader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7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2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Adequate</w:t>
            </w:r>
          </w:p>
        </w:tc>
        <w:tc>
          <w:tcPr>
            <w:tcW w:type="dxa" w:w="20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Weak</w:t>
            </w:r>
          </w:p>
        </w:tc>
        <w:tc>
          <w:tcPr>
            <w:tcW w:type="dxa" w:w="1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Part A — Five approaches</w:t>
            </w:r>
          </w:p>
        </w:tc>
        <w:tc>
          <w:tcPr>
            <w:tcW w:type="dxa" w:w="27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three matrices complete; approaches applied accurately; reasoned decisions that acknowledge conflicts</w:t>
            </w:r>
          </w:p>
        </w:tc>
        <w:tc>
          <w:tcPr>
            <w:tcW w:type="dxa" w:w="2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Matrices mostly complete; decisions stated but thinly argued</w:t>
            </w:r>
          </w:p>
        </w:tc>
        <w:tc>
          <w:tcPr>
            <w:tcW w:type="dxa" w:w="20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Approaches confused or missing; no decision</w:t>
            </w:r>
          </w:p>
        </w:tc>
        <w:tc>
          <w:tcPr>
            <w:tcW w:type="dxa" w:w="1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Part B — Codes</w:t>
            </w:r>
          </w:p>
        </w:tc>
        <w:tc>
          <w:tcPr>
            <w:tcW w:type="dxa" w:w="27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Correct canons and principles; realistic legal links; specific professional actions</w:t>
            </w:r>
          </w:p>
        </w:tc>
        <w:tc>
          <w:tcPr>
            <w:tcW w:type="dxa" w:w="2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Mostly correct; actions generic</w:t>
            </w:r>
          </w:p>
        </w:tc>
        <w:tc>
          <w:tcPr>
            <w:tcW w:type="dxa" w:w="20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Missing or incorrect mapping</w:t>
            </w:r>
          </w:p>
        </w:tc>
        <w:tc>
          <w:tcPr>
            <w:tcW w:type="dxa" w:w="1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Part C — Classification</w:t>
            </w:r>
          </w:p>
        </w:tc>
        <w:tc>
          <w:tcPr>
            <w:tcW w:type="dxa" w:w="27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7 rows correct with sensible deterrence diagnosis and targeted controls</w:t>
            </w:r>
          </w:p>
        </w:tc>
        <w:tc>
          <w:tcPr>
            <w:tcW w:type="dxa" w:w="2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Most rows correct</w:t>
            </w:r>
          </w:p>
        </w:tc>
        <w:tc>
          <w:tcPr>
            <w:tcW w:type="dxa" w:w="20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Many errors</w:t>
            </w:r>
          </w:p>
        </w:tc>
        <w:tc>
          <w:tcPr>
            <w:tcW w:type="dxa" w:w="1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Part D — Policy</w:t>
            </w:r>
          </w:p>
        </w:tc>
        <w:tc>
          <w:tcPr>
            <w:tcW w:type="dxa" w:w="27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five conditions diagnosed with evidence; concrete fixes; strong banner</w:t>
            </w:r>
          </w:p>
        </w:tc>
        <w:tc>
          <w:tcPr>
            <w:tcW w:type="dxa" w:w="2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Diagnosis correct; fixes vague</w:t>
            </w:r>
          </w:p>
        </w:tc>
        <w:tc>
          <w:tcPr>
            <w:tcW w:type="dxa" w:w="20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Conditions misunderstood</w:t>
            </w:r>
          </w:p>
        </w:tc>
        <w:tc>
          <w:tcPr>
            <w:tcW w:type="dxa" w:w="1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Part E and Q1–Q4</w:t>
            </w:r>
          </w:p>
        </w:tc>
        <w:tc>
          <w:tcPr>
            <w:tcW w:type="dxa" w:w="27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Thoughtful, personal, uses lecture concepts</w:t>
            </w:r>
          </w:p>
        </w:tc>
        <w:tc>
          <w:tcPr>
            <w:tcW w:type="dxa" w:w="2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Partly developed</w:t>
            </w:r>
          </w:p>
        </w:tc>
        <w:tc>
          <w:tcPr>
            <w:tcW w:type="dxa" w:w="20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Missing</w:t>
            </w:r>
          </w:p>
        </w:tc>
        <w:tc>
          <w:tcPr>
            <w:tcW w:type="dxa" w:w="1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27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Complete, neat, correctly named</w:t>
            </w:r>
          </w:p>
        </w:tc>
        <w:tc>
          <w:tcPr>
            <w:tcW w:type="dxa" w:w="2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Minor issues</w:t>
            </w:r>
          </w:p>
        </w:tc>
        <w:tc>
          <w:tcPr>
            <w:tcW w:type="dxa" w:w="2038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Hard to read</w:t>
            </w:r>
          </w:p>
        </w:tc>
        <w:tc>
          <w:tcPr>
            <w:tcW w:type="dxa" w:w="1000"/>
            <w:tcBorders>
              <w:top w:val="single" w:color="C9D1DD" w:sz="4"/>
              <w:left w:val="single" w:color="C9D1DD" w:sz="4"/>
              <w:bottom w:val="single" w:color="C9D1DD" w:sz="4"/>
              <w:right w:val="single" w:color="C9D1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7" w:color="auto" w:val="clear"/>
            <w:tcMar>
              <w:top w:type="dxa" w:w="12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warning" descr="warning" title="war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7" w:color="auto" w:val="clear"/>
            <w:tcMar>
              <w:top w:type="dxa" w:w="140"/>
              <w:left w:type="dxa" w:w="200"/>
              <w:bottom w:type="dxa" w:w="100"/>
              <w:right w:type="dxa" w:w="2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E4572E"/>
                <w:spacing w:val="30"/>
                <w:sz w:val="17"/>
                <w:szCs w:val="17"/>
              </w:rPr>
              <w:t xml:space="preserve">ETHICS REMINDER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B2333"/>
                <w:sz w:val="20"/>
                <w:szCs w:val="20"/>
              </w:rPr>
              <w:t xml:space="preserve">Dilemma 2 is a thought exercise. Never test real systems — including university systems — without written permission. Report vulnerabilities through official channels.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478"/>
        <w:sz w:val="16"/>
        <w:szCs w:val="16"/>
      </w:rPr>
      <w:t xml:space="preserve">Page </w:t>
    </w:r>
    <w:r>
      <w:rPr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8"/>
        <w:sz w:val="16"/>
        <w:szCs w:val="16"/>
      </w:rPr>
      <w:t xml:space="preserve"> of </w:t>
    </w:r>
    <w:r>
      <w:rPr>
        <w:color w:val="5A64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8B8D" w:sz="6" w:space="4"/>
      </w:pBdr>
      <w:tabs>
        <w:tab w:val="right" w:pos="9638"/>
      </w:tabs>
    </w:pPr>
    <w:r>
      <w:rPr>
        <w:color w:val="5A6478"/>
        <w:sz w:val="16"/>
        <w:szCs w:val="16"/>
      </w:rPr>
      <w:t xml:space="preserve">Lab 3 — Ethics in Practice</w:t>
    </w:r>
    <w:r>
      <w:rPr>
        <w:color w:val="5A6478"/>
        <w:sz w:val="16"/>
        <w:szCs w:val="16"/>
      </w:rPr>
      <w:t xml:space="preserve">	Management of Information Security · Week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color w:val="0F8B8D"/>
        <w:sz w:val="16"/>
        <w:szCs w:val="16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0F8B8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3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mbria" w:cs="Cambria" w:eastAsia="Cambria" w:hAnsi="Cambria"/>
      <w:b/>
      <w:bCs/>
      <w:color w:val="1421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mbria" w:cs="Cambria" w:eastAsia="Cambria" w:hAnsi="Cambria"/>
      <w:b/>
      <w:bCs/>
      <w:color w:val="0F8B8D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421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cd2488aa1987897a6958e6844486bf93797e.png"/><Relationship Id="rId10" Type="http://schemas.openxmlformats.org/officeDocument/2006/relationships/image" Target="media/36cf37c4487736af7136cf54e2b671e3e2581d2f.png"/><Relationship Id="rId11" Type="http://schemas.openxmlformats.org/officeDocument/2006/relationships/image" Target="media/7d8053acc580633082a88f11641601e14484bc28.png"/><Relationship Id="rId12" Type="http://schemas.openxmlformats.org/officeDocument/2006/relationships/image" Target="media/5c2a8f7cc22faa7ba77a115a11126f765b747e86.png"/><Relationship Id="rId13" Type="http://schemas.openxmlformats.org/officeDocument/2006/relationships/image" Target="media/7e49e6130aced597af31cc191161b6fb90ad3f0f.png"/><Relationship Id="rId14" Type="http://schemas.openxmlformats.org/officeDocument/2006/relationships/image" Target="media/c411c4a0224b354a227e4b3426f2449e5e01a928.png"/><Relationship Id="rId15" Type="http://schemas.openxmlformats.org/officeDocument/2006/relationships/image" Target="media/dd339ac49b8766e3815fbb7c49bc61d06b951dd3.png"/><Relationship Id="rId16" Type="http://schemas.openxmlformats.org/officeDocument/2006/relationships/image" Target="media/c0ca57b2887639de4999a48a1902801c6dc0eb8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— Ethics in Practice</dc:title>
  <dc:creator>Course Instructor</dc:creator>
  <cp:lastModifiedBy>Un-named</cp:lastModifiedBy>
  <cp:revision>1</cp:revision>
  <dcterms:created xsi:type="dcterms:W3CDTF">2026-10-16T12:07:24.929Z</dcterms:created>
  <dcterms:modified xsi:type="dcterms:W3CDTF">2026-10-16T12:07:24.930Z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