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a803b201e634a13a7d09b7b77c6d8d5315165c4"/>
    <w:p>
      <w:pPr>
        <w:pStyle w:val="Heading1"/>
      </w:pPr>
      <w:r>
        <w:t xml:space="preserve">Wearable-Integrated Diabetes Prevention Module in Black Churches for Reducing Health Disparities</w:t>
      </w:r>
    </w:p>
    <w:bookmarkStart w:id="42" w:name="significance"/>
    <w:p>
      <w:pPr>
        <w:pStyle w:val="Heading2"/>
      </w:pPr>
      <w:r>
        <w:t xml:space="preserve">Significance</w:t>
      </w:r>
    </w:p>
    <w:p>
      <w:pPr>
        <w:pStyle w:val="FirstParagraph"/>
      </w:pPr>
      <w:r>
        <w:t xml:space="preserve">Type 2 diabetes disproportionately affects Black Americans, and prevention efforts in high-risk communities have not achieved equitable outcomes</w:t>
      </w:r>
      <w:hyperlink r:id="rId21">
        <w:r>
          <w:rPr>
            <w:rStyle w:val="Hyperlink"/>
          </w:rPr>
          <w:t xml:space="preserve">[1]</w:t>
        </w:r>
      </w:hyperlink>
      <w:r>
        <w:t xml:space="preserve">. The National Diabetes Prevention Program (NDPP) has proven efficacious – lifestyle intervention can cut progression to diabetes by ~58%</w:t>
      </w:r>
      <w:hyperlink r:id="rId22">
        <w:r>
          <w:rPr>
            <w:rStyle w:val="Hyperlink"/>
          </w:rPr>
          <w:t xml:space="preserve">[2]</w:t>
        </w:r>
      </w:hyperlink>
      <w:r>
        <w:t xml:space="preserve"> </w:t>
      </w:r>
      <w:r>
        <w:t xml:space="preserve">– and is endorsed by the CDC and reimbursed by Medicare due to its effectiveness</w:t>
      </w:r>
      <w:r>
        <w:t xml:space="preserve"> </w:t>
      </w:r>
      <w:r>
        <w:rPr>
          <w:b/>
          <w:bCs/>
        </w:rPr>
        <w:t xml:space="preserve">and affordability</w:t>
      </w:r>
      <w:hyperlink r:id="rId23">
        <w:r>
          <w:rPr>
            <w:rStyle w:val="Hyperlink"/>
          </w:rPr>
          <w:t xml:space="preserve">[3]</w:t>
        </w:r>
      </w:hyperlink>
      <w:hyperlink r:id="rId24">
        <w:r>
          <w:rPr>
            <w:rStyle w:val="Hyperlink"/>
          </w:rPr>
          <w:t xml:space="preserve">[4]</w:t>
        </w:r>
      </w:hyperlink>
      <w:r>
        <w:t xml:space="preserve">.</w:t>
      </w:r>
      <w:r>
        <w:t xml:space="preserve"> </w:t>
      </w:r>
      <w:r>
        <w:rPr>
          <w:b/>
          <w:bCs/>
        </w:rPr>
        <w:t xml:space="preserve">However, Black Protestant congregations in the American South have seen inconsistent NDPP adoption, completion, and sustainment, prolonging disparities in prevention benefit</w:t>
      </w:r>
      <w:hyperlink r:id="rId21">
        <w:r>
          <w:rPr>
            <w:rStyle w:val="Hyperlink"/>
            <w:b/>
            <w:bCs/>
          </w:rPr>
          <w:t xml:space="preserve">[1]</w:t>
        </w:r>
      </w:hyperlink>
      <w:r>
        <w:rPr>
          <w:b/>
          <w:bCs/>
        </w:rPr>
        <w:t xml:space="preserve">.</w:t>
      </w:r>
      <w:r>
        <w:t xml:space="preserve"> </w:t>
      </w:r>
      <w:r>
        <w:t xml:space="preserve">In collaboration with these communities, we identified three key implementation gaps hindering success</w:t>
      </w:r>
      <w:hyperlink r:id="rId25">
        <w:r>
          <w:rPr>
            <w:rStyle w:val="Hyperlink"/>
          </w:rPr>
          <w:t xml:space="preserve">[5]</w:t>
        </w:r>
      </w:hyperlink>
      <w:r>
        <w:t xml:space="preserve">:</w:t>
      </w:r>
    </w:p>
    <w:p>
      <w:pPr>
        <w:pStyle w:val="Compact"/>
        <w:numPr>
          <w:ilvl w:val="0"/>
          <w:numId w:val="1001"/>
        </w:numPr>
      </w:pPr>
      <w:r>
        <w:rPr>
          <w:b/>
          <w:bCs/>
        </w:rPr>
        <w:t xml:space="preserve">Integration Friction:</w:t>
      </w:r>
      <w:r>
        <w:t xml:space="preserve"> </w:t>
      </w:r>
      <w:r>
        <w:t xml:space="preserve">Difficulty integrating NDPP delivery with existing</w:t>
      </w:r>
      <w:r>
        <w:t xml:space="preserve"> </w:t>
      </w:r>
      <w:r>
        <w:rPr>
          <w:b/>
          <w:bCs/>
        </w:rPr>
        <w:t xml:space="preserve">digital platforms and clinic workflows</w:t>
      </w:r>
      <w:r>
        <w:t xml:space="preserve">, leading to duplicate work and data silos.</w:t>
      </w:r>
    </w:p>
    <w:p>
      <w:pPr>
        <w:pStyle w:val="Compact"/>
        <w:numPr>
          <w:ilvl w:val="0"/>
          <w:numId w:val="1001"/>
        </w:numPr>
      </w:pPr>
      <w:r>
        <w:rPr>
          <w:b/>
          <w:bCs/>
        </w:rPr>
        <w:t xml:space="preserve">High Participation Burden:</w:t>
      </w:r>
      <w:r>
        <w:t xml:space="preserve"> </w:t>
      </w:r>
      <w:r>
        <w:t xml:space="preserve">NDPP’s intensive self-monitoring (e.g. daily food logs) overwhelms volunteer church coaches and participants, straining capacity and engagement.</w:t>
      </w:r>
    </w:p>
    <w:p>
      <w:pPr>
        <w:pStyle w:val="Compact"/>
        <w:numPr>
          <w:ilvl w:val="0"/>
          <w:numId w:val="1001"/>
        </w:numPr>
      </w:pPr>
      <w:r>
        <w:rPr>
          <w:b/>
          <w:bCs/>
        </w:rPr>
        <w:t xml:space="preserve">Documentation &amp; Reporting Challenges:</w:t>
      </w:r>
      <w:r>
        <w:t xml:space="preserve"> </w:t>
      </w:r>
      <w:r>
        <w:t xml:space="preserve">Congregations lack standardized processes to</w:t>
      </w:r>
      <w:r>
        <w:t xml:space="preserve"> </w:t>
      </w:r>
      <w:r>
        <w:rPr>
          <w:b/>
          <w:bCs/>
        </w:rPr>
        <w:t xml:space="preserve">document outcomes for CDC’s Diabetes Prevention Recognition Program (DPRP)</w:t>
      </w:r>
      <w:r>
        <w:t xml:space="preserve"> </w:t>
      </w:r>
      <w:r>
        <w:t xml:space="preserve">and to navigate Medicare DPP (MDPP) billing, creating administrative barriers to sustainment.</w:t>
      </w:r>
    </w:p>
    <w:p>
      <w:pPr>
        <w:pStyle w:val="FirstParagraph"/>
      </w:pPr>
      <w:r>
        <w:t xml:space="preserve">These real-world barriers mean that even with a proven curriculum, community NDPP implementations struggle to reach and retain participants. Indeed, issues like transportation and childcare further impede participation</w:t>
      </w:r>
      <w:hyperlink r:id="rId26">
        <w:r>
          <w:rPr>
            <w:rStyle w:val="Hyperlink"/>
          </w:rPr>
          <w:t xml:space="preserve">[6]</w:t>
        </w:r>
      </w:hyperlink>
      <w:r>
        <w:t xml:space="preserve">, and small organizations often find MDPP requirements burdensome</w:t>
      </w:r>
      <w:hyperlink r:id="rId24">
        <w:r>
          <w:rPr>
            <w:rStyle w:val="Hyperlink"/>
          </w:rPr>
          <w:t xml:space="preserve">[4]</w:t>
        </w:r>
      </w:hyperlink>
      <w:r>
        <w:t xml:space="preserve">. Addressing these gaps is critical to eliminate disparities in diabetes prevention. This SBIR directly targets the goals of</w:t>
      </w:r>
      <w:r>
        <w:t xml:space="preserve"> </w:t>
      </w:r>
      <w:r>
        <w:rPr>
          <w:b/>
          <w:bCs/>
        </w:rPr>
        <w:t xml:space="preserve">NIH RFA-MD-24-006: Innovations for Healthy Living</w:t>
      </w:r>
      <w:r>
        <w:t xml:space="preserve">, which seeks</w:t>
      </w:r>
      <w:r>
        <w:t xml:space="preserve"> </w:t>
      </w:r>
      <w:r>
        <w:rPr>
          <w:b/>
          <w:bCs/>
        </w:rPr>
        <w:t xml:space="preserve">“products…for commercialization”</w:t>
      </w:r>
      <w:r>
        <w:t xml:space="preserve"> </w:t>
      </w:r>
      <w:r>
        <w:t xml:space="preserve">that</w:t>
      </w:r>
      <w:r>
        <w:t xml:space="preserve"> </w:t>
      </w:r>
      <w:r>
        <w:rPr>
          <w:b/>
          <w:bCs/>
        </w:rPr>
        <w:t xml:space="preserve">improve minority health</w:t>
      </w:r>
      <w:r>
        <w:t xml:space="preserve"> </w:t>
      </w:r>
      <w:r>
        <w:t xml:space="preserve">and are</w:t>
      </w:r>
      <w:r>
        <w:t xml:space="preserve"> </w:t>
      </w:r>
      <w:r>
        <w:rPr>
          <w:b/>
          <w:bCs/>
        </w:rPr>
        <w:t xml:space="preserve">effective, affordable, and culturally acceptable</w:t>
      </w:r>
      <w:hyperlink r:id="rId27">
        <w:r>
          <w:rPr>
            <w:rStyle w:val="Hyperlink"/>
            <w:b/>
            <w:bCs/>
          </w:rPr>
          <w:t xml:space="preserve">[7]</w:t>
        </w:r>
      </w:hyperlink>
      <w:hyperlink r:id="rId28">
        <w:r>
          <w:rPr>
            <w:rStyle w:val="Hyperlink"/>
            <w:b/>
            <w:bCs/>
          </w:rPr>
          <w:t xml:space="preserve">[8]</w:t>
        </w:r>
      </w:hyperlink>
      <w:r>
        <w:t xml:space="preserve">. Our focus on Black church settings – trusted, culturally central institutions in African American communities – ensures</w:t>
      </w:r>
      <w:r>
        <w:t xml:space="preserve"> </w:t>
      </w:r>
      <w:r>
        <w:rPr>
          <w:b/>
          <w:bCs/>
        </w:rPr>
        <w:t xml:space="preserve">acceptability and sustainability</w:t>
      </w:r>
      <w:r>
        <w:t xml:space="preserve">, aligning with the NOFO’s emphasis on cultural competence and community engagement</w:t>
      </w:r>
      <w:hyperlink r:id="rId29">
        <w:r>
          <w:rPr>
            <w:rStyle w:val="Hyperlink"/>
          </w:rPr>
          <w:t xml:space="preserve">[9]</w:t>
        </w:r>
      </w:hyperlink>
      <w:r>
        <w:t xml:space="preserve">.</w:t>
      </w:r>
    </w:p>
    <w:p>
      <w:pPr>
        <w:pStyle w:val="BodyText"/>
      </w:pPr>
      <w:r>
        <w:rPr>
          <w:b/>
          <w:bCs/>
        </w:rPr>
        <w:t xml:space="preserve">Proposed Solution:</w:t>
      </w:r>
      <w:r>
        <w:t xml:space="preserve"> </w:t>
      </w:r>
      <w:r>
        <w:t xml:space="preserve">We will develop and test a</w:t>
      </w:r>
      <w:r>
        <w:t xml:space="preserve"> </w:t>
      </w:r>
      <w:r>
        <w:rPr>
          <w:b/>
          <w:bCs/>
        </w:rPr>
        <w:t xml:space="preserve">church-anchored implementation module</w:t>
      </w:r>
      <w:r>
        <w:t xml:space="preserve"> </w:t>
      </w:r>
      <w:r>
        <w:t xml:space="preserve">that “drops into” existing NDPP programs to overcome the above barriers</w:t>
      </w:r>
      <w:hyperlink r:id="rId30">
        <w:r>
          <w:rPr>
            <w:rStyle w:val="Hyperlink"/>
          </w:rPr>
          <w:t xml:space="preserve">[10]</w:t>
        </w:r>
      </w:hyperlink>
      <w:r>
        <w:t xml:space="preserve">. Rather than create a new intervention from scratch, we enhance the</w:t>
      </w:r>
      <w:r>
        <w:t xml:space="preserve"> </w:t>
      </w:r>
      <w:r>
        <w:rPr>
          <w:i/>
          <w:iCs/>
        </w:rPr>
        <w:t xml:space="preserve">current</w:t>
      </w:r>
      <w:r>
        <w:t xml:space="preserve"> </w:t>
      </w:r>
      <w:r>
        <w:t xml:space="preserve">NDPP with technology and workflow supports tailored for resource-limited settings.</w:t>
      </w:r>
      <w:r>
        <w:t xml:space="preserve"> </w:t>
      </w:r>
      <w:r>
        <w:rPr>
          <w:b/>
          <w:bCs/>
        </w:rPr>
        <w:t xml:space="preserve">The module comprises</w:t>
      </w:r>
      <w:r>
        <w:t xml:space="preserve">:</w:t>
      </w:r>
    </w:p>
    <w:p>
      <w:pPr>
        <w:pStyle w:val="Compact"/>
        <w:numPr>
          <w:ilvl w:val="0"/>
          <w:numId w:val="1002"/>
        </w:numPr>
      </w:pPr>
      <w:r>
        <w:rPr>
          <w:b/>
          <w:bCs/>
        </w:rPr>
        <w:t xml:space="preserve">Vendor-Neutral Integration SDK &amp; API:</w:t>
      </w:r>
      <w:r>
        <w:t xml:space="preserve"> </w:t>
      </w:r>
      <w:r>
        <w:t xml:space="preserve">A software toolkit that plugs into common digital NDPP platforms or electronic health record portals, enabling seamless data flow between wearable devices, church/clinic systems, and NDPP curricula</w:t>
      </w:r>
      <w:hyperlink r:id="rId31">
        <w:r>
          <w:rPr>
            <w:rStyle w:val="Hyperlink"/>
          </w:rPr>
          <w:t xml:space="preserve">[11]</w:t>
        </w:r>
      </w:hyperlink>
      <w:r>
        <w:t xml:space="preserve">. This avoids adding IT burden on sites and works with their current infrastructure.</w:t>
      </w:r>
    </w:p>
    <w:p>
      <w:pPr>
        <w:pStyle w:val="Compact"/>
        <w:numPr>
          <w:ilvl w:val="0"/>
          <w:numId w:val="1002"/>
        </w:numPr>
      </w:pPr>
      <w:r>
        <w:rPr>
          <w:b/>
          <w:bCs/>
        </w:rPr>
        <w:t xml:space="preserve">Wearable Telemetry and “Need-for-Guidance” Analytics:</w:t>
      </w:r>
      <w:r>
        <w:t xml:space="preserve"> </w:t>
      </w:r>
      <w:r>
        <w:t xml:space="preserve">Passive integration of consumer</w:t>
      </w:r>
      <w:r>
        <w:t xml:space="preserve"> </w:t>
      </w:r>
      <w:r>
        <w:rPr>
          <w:b/>
          <w:bCs/>
        </w:rPr>
        <w:t xml:space="preserve">wearables (e.g. ring-based trackers)</w:t>
      </w:r>
      <w:r>
        <w:t xml:space="preserve"> </w:t>
      </w:r>
      <w:r>
        <w:t xml:space="preserve">to continuously monitor physiological indicators of stress, sleep, and activity. We derive a daily</w:t>
      </w:r>
      <w:r>
        <w:t xml:space="preserve"> </w:t>
      </w:r>
      <w:r>
        <w:rPr>
          <w:b/>
          <w:bCs/>
        </w:rPr>
        <w:t xml:space="preserve">Allostatic Load Index (ALI)</w:t>
      </w:r>
      <w:r>
        <w:t xml:space="preserve"> </w:t>
      </w:r>
      <w:r>
        <w:t xml:space="preserve">– a composite stress-recovery score – from validated measures like heart-rate variability, sleep regularity, and skin temperature</w:t>
      </w:r>
      <w:hyperlink r:id="rId32">
        <w:r>
          <w:rPr>
            <w:rStyle w:val="Hyperlink"/>
          </w:rPr>
          <w:t xml:space="preserve">[12]</w:t>
        </w:r>
      </w:hyperlink>
      <w:hyperlink r:id="rId33">
        <w:r>
          <w:rPr>
            <w:rStyle w:val="Hyperlink"/>
          </w:rPr>
          <w:t xml:space="preserve">[13]</w:t>
        </w:r>
      </w:hyperlink>
      <w:r>
        <w:t xml:space="preserve">. Using machine learning, the system produces</w:t>
      </w:r>
      <w:r>
        <w:t xml:space="preserve"> </w:t>
      </w:r>
      <w:r>
        <w:rPr>
          <w:b/>
          <w:bCs/>
        </w:rPr>
        <w:t xml:space="preserve">personalized guidance cues</w:t>
      </w:r>
      <w:r>
        <w:t xml:space="preserve"> </w:t>
      </w:r>
      <w:r>
        <w:t xml:space="preserve">(e.g. if a participant’s data suggest poor sleep or high stress, the coach and participant receive a nudge about recovery) while employing</w:t>
      </w:r>
      <w:r>
        <w:t xml:space="preserve"> </w:t>
      </w:r>
      <w:r>
        <w:rPr>
          <w:b/>
          <w:bCs/>
        </w:rPr>
        <w:t xml:space="preserve">calibrated uncertainty</w:t>
      </w:r>
      <w:r>
        <w:t xml:space="preserve"> </w:t>
      </w:r>
      <w:r>
        <w:t xml:space="preserve">to</w:t>
      </w:r>
      <w:r>
        <w:t xml:space="preserve"> </w:t>
      </w:r>
      <w:r>
        <w:rPr>
          <w:b/>
          <w:bCs/>
        </w:rPr>
        <w:t xml:space="preserve">abstain</w:t>
      </w:r>
      <w:r>
        <w:t xml:space="preserve"> </w:t>
      </w:r>
      <w:r>
        <w:t xml:space="preserve">from giving advice when data are insufficient or noisy</w:t>
      </w:r>
      <w:hyperlink r:id="rId30">
        <w:r>
          <w:rPr>
            <w:rStyle w:val="Hyperlink"/>
          </w:rPr>
          <w:t xml:space="preserve">[10]</w:t>
        </w:r>
      </w:hyperlink>
      <w:hyperlink r:id="rId34">
        <w:r>
          <w:rPr>
            <w:rStyle w:val="Hyperlink"/>
          </w:rPr>
          <w:t xml:space="preserve">[14]</w:t>
        </w:r>
      </w:hyperlink>
      <w:r>
        <w:t xml:space="preserve">. This ensures no misleading feedback is given without evidence. Short, clear explanations accompany any guidance to maintain transparency for users.</w:t>
      </w:r>
    </w:p>
    <w:p>
      <w:pPr>
        <w:pStyle w:val="Compact"/>
        <w:numPr>
          <w:ilvl w:val="0"/>
          <w:numId w:val="1002"/>
        </w:numPr>
      </w:pPr>
      <w:r>
        <w:rPr>
          <w:b/>
          <w:bCs/>
        </w:rPr>
        <w:t xml:space="preserve">Coach Workflow Aids:</w:t>
      </w:r>
      <w:r>
        <w:t xml:space="preserve"> </w:t>
      </w:r>
      <w:r>
        <w:t xml:space="preserve">Tools to</w:t>
      </w:r>
      <w:r>
        <w:t xml:space="preserve"> </w:t>
      </w:r>
      <w:r>
        <w:rPr>
          <w:b/>
          <w:bCs/>
        </w:rPr>
        <w:t xml:space="preserve">reduce manual logging and paperwork</w:t>
      </w:r>
      <w:r>
        <w:t xml:space="preserve"> </w:t>
      </w:r>
      <w:r>
        <w:t xml:space="preserve">– for example, automated activity logs from wearables to replace self-reported diaries, and session checklists that auto-populate NDPP attendance and weight records. These aids preserve fidelity to the CDC DPRP curriculum while lightening the load on coaches and participants, preventing burnout.</w:t>
      </w:r>
    </w:p>
    <w:p>
      <w:pPr>
        <w:pStyle w:val="Compact"/>
        <w:numPr>
          <w:ilvl w:val="0"/>
          <w:numId w:val="1002"/>
        </w:numPr>
      </w:pPr>
      <w:r>
        <w:rPr>
          <w:b/>
          <w:bCs/>
        </w:rPr>
        <w:t xml:space="preserve">Governance and Reporting Toolkit:</w:t>
      </w:r>
      <w:r>
        <w:t xml:space="preserve"> </w:t>
      </w:r>
      <w:r>
        <w:t xml:space="preserve">A turnkey package of templates and</w:t>
      </w:r>
      <w:r>
        <w:t xml:space="preserve"> </w:t>
      </w:r>
      <w:r>
        <w:rPr>
          <w:b/>
          <w:bCs/>
        </w:rPr>
        <w:t xml:space="preserve">audit-ready artifacts</w:t>
      </w:r>
      <w:r>
        <w:t xml:space="preserve"> </w:t>
      </w:r>
      <w:r>
        <w:t xml:space="preserve">to satisfy both community and payer requirements</w:t>
      </w:r>
      <w:hyperlink r:id="rId35">
        <w:r>
          <w:rPr>
            <w:rStyle w:val="Hyperlink"/>
          </w:rPr>
          <w:t xml:space="preserve">[15]</w:t>
        </w:r>
      </w:hyperlink>
      <w:hyperlink r:id="rId36">
        <w:r>
          <w:rPr>
            <w:rStyle w:val="Hyperlink"/>
          </w:rPr>
          <w:t xml:space="preserve">[16]</w:t>
        </w:r>
      </w:hyperlink>
      <w:r>
        <w:t xml:space="preserve">. This includes DPRP-compliant data exports for easy CDC reporting, MDPP onboarding materials (so a church or clinic can quickly enroll as a Medicare DPP supplier), sample data-use agreements and HIPAA business associate agreements, and built-in</w:t>
      </w:r>
      <w:r>
        <w:t xml:space="preserve"> </w:t>
      </w:r>
      <w:r>
        <w:rPr>
          <w:b/>
          <w:bCs/>
        </w:rPr>
        <w:t xml:space="preserve">audit logs</w:t>
      </w:r>
      <w:r>
        <w:t xml:space="preserve"> </w:t>
      </w:r>
      <w:r>
        <w:t xml:space="preserve">tracking participant data and module outputs. Church partners have emphasized the importance of data stewardship and trust; our module ships with a</w:t>
      </w:r>
      <w:r>
        <w:t xml:space="preserve"> </w:t>
      </w:r>
      <w:r>
        <w:rPr>
          <w:b/>
          <w:bCs/>
        </w:rPr>
        <w:t xml:space="preserve">church-informed data governance checklist</w:t>
      </w:r>
      <w:r>
        <w:t xml:space="preserve"> </w:t>
      </w:r>
      <w:r>
        <w:t xml:space="preserve">and model documentation to address privacy, security, and ethical concerns from day one</w:t>
      </w:r>
      <w:hyperlink r:id="rId37">
        <w:r>
          <w:rPr>
            <w:rStyle w:val="Hyperlink"/>
          </w:rPr>
          <w:t xml:space="preserve">[17]</w:t>
        </w:r>
      </w:hyperlink>
      <w:r>
        <w:t xml:space="preserve">.</w:t>
      </w:r>
    </w:p>
    <w:p>
      <w:pPr>
        <w:pStyle w:val="FirstParagraph"/>
      </w:pPr>
      <w:r>
        <w:rPr>
          <w:b/>
          <w:bCs/>
        </w:rPr>
        <w:t xml:space="preserve">Scientific Premise:</w:t>
      </w:r>
      <w:r>
        <w:t xml:space="preserve"> </w:t>
      </w:r>
      <w:r>
        <w:t xml:space="preserve">Our approach is informed by the “</w:t>
      </w:r>
      <w:r>
        <w:rPr>
          <w:b/>
          <w:bCs/>
        </w:rPr>
        <w:t xml:space="preserve">weathering</w:t>
      </w:r>
      <w:r>
        <w:t xml:space="preserve">” hypothesis of health disparities – the idea that chronic stressors in marginalized communities lead to earlier health deterioration. Prolonged psychosocial stress and circadian disruption can undermine weight loss and metabolic control</w:t>
      </w:r>
      <w:hyperlink r:id="rId38">
        <w:r>
          <w:rPr>
            <w:rStyle w:val="Hyperlink"/>
          </w:rPr>
          <w:t xml:space="preserve">[18]</w:t>
        </w:r>
      </w:hyperlink>
      <w:hyperlink r:id="rId39">
        <w:r>
          <w:rPr>
            <w:rStyle w:val="Hyperlink"/>
          </w:rPr>
          <w:t xml:space="preserve">[19]</w:t>
        </w:r>
      </w:hyperlink>
      <w:r>
        <w:t xml:space="preserve">. By</w:t>
      </w:r>
      <w:r>
        <w:t xml:space="preserve"> </w:t>
      </w:r>
      <w:r>
        <w:rPr>
          <w:b/>
          <w:bCs/>
        </w:rPr>
        <w:t xml:space="preserve">making stress physiology visible and actionable</w:t>
      </w:r>
      <w:r>
        <w:t xml:space="preserve">, we hypothesize that participants and coaches can better align lifestyle changes (diet, sleep, activity) to each individual’s needs, thereby closing the gap between</w:t>
      </w:r>
      <w:r>
        <w:t xml:space="preserve"> </w:t>
      </w:r>
      <w:r>
        <w:rPr>
          <w:b/>
          <w:bCs/>
        </w:rPr>
        <w:t xml:space="preserve">intention and execution</w:t>
      </w:r>
      <w:r>
        <w:t xml:space="preserve"> </w:t>
      </w:r>
      <w:r>
        <w:t xml:space="preserve">of NDPP behaviors</w:t>
      </w:r>
      <w:hyperlink r:id="rId38">
        <w:r>
          <w:rPr>
            <w:rStyle w:val="Hyperlink"/>
          </w:rPr>
          <w:t xml:space="preserve">[18]</w:t>
        </w:r>
      </w:hyperlink>
      <w:r>
        <w:t xml:space="preserve">. Black churches provide an ideal context: they offer strong social support,</w:t>
      </w:r>
      <w:r>
        <w:t xml:space="preserve"> </w:t>
      </w:r>
      <w:r>
        <w:rPr>
          <w:b/>
          <w:bCs/>
        </w:rPr>
        <w:t xml:space="preserve">multigenerational reach, and deep trust</w:t>
      </w:r>
      <w:r>
        <w:t xml:space="preserve"> </w:t>
      </w:r>
      <w:r>
        <w:t xml:space="preserve">that can enhance program engagement</w:t>
      </w:r>
      <w:hyperlink r:id="rId40">
        <w:r>
          <w:rPr>
            <w:rStyle w:val="Hyperlink"/>
          </w:rPr>
          <w:t xml:space="preserve">[20]</w:t>
        </w:r>
      </w:hyperlink>
      <w:r>
        <w:t xml:space="preserve">. Our team is already working on a faith-adapted NDPP implementation strategy (via a companion NIH R21 project) and has developed a best-practices</w:t>
      </w:r>
      <w:r>
        <w:t xml:space="preserve"> </w:t>
      </w:r>
      <w:r>
        <w:rPr>
          <w:b/>
          <w:bCs/>
        </w:rPr>
        <w:t xml:space="preserve">wearable telemetry SOP</w:t>
      </w:r>
      <w:r>
        <w:t xml:space="preserve"> </w:t>
      </w:r>
      <w:r>
        <w:t xml:space="preserve">for church settings</w:t>
      </w:r>
      <w:hyperlink r:id="rId41">
        <w:r>
          <w:rPr>
            <w:rStyle w:val="Hyperlink"/>
          </w:rPr>
          <w:t xml:space="preserve">[21]</w:t>
        </w:r>
      </w:hyperlink>
      <w:r>
        <w:t xml:space="preserve">. We will leverage these foundations – including guidelines on voluntary data use, quality control (“data quality gates”), and privacy protections for wearables</w:t>
      </w:r>
      <w:hyperlink r:id="rId41">
        <w:r>
          <w:rPr>
            <w:rStyle w:val="Hyperlink"/>
          </w:rPr>
          <w:t xml:space="preserve">[21]</w:t>
        </w:r>
      </w:hyperlink>
      <w:r>
        <w:t xml:space="preserve"> </w:t>
      </w:r>
      <w:r>
        <w:t xml:space="preserve">– to ensure our proposed module is ethical, acceptable, and effective. In summary, this SBIR Phase I project will deliver a</w:t>
      </w:r>
      <w:r>
        <w:t xml:space="preserve"> </w:t>
      </w:r>
      <w:r>
        <w:rPr>
          <w:b/>
          <w:bCs/>
        </w:rPr>
        <w:t xml:space="preserve">culturally tailored, technology-enhanced NDPP module</w:t>
      </w:r>
      <w:r>
        <w:t xml:space="preserve"> </w:t>
      </w:r>
      <w:r>
        <w:t xml:space="preserve">that addresses multi-level barriers (individual behavior, technology integration, and system/policy requirements) to significantly improve diabetes prevention outcomes in an underserved population.</w:t>
      </w:r>
    </w:p>
    <w:bookmarkEnd w:id="42"/>
    <w:bookmarkStart w:id="47" w:name="innovation"/>
    <w:p>
      <w:pPr>
        <w:pStyle w:val="Heading2"/>
      </w:pPr>
      <w:r>
        <w:t xml:space="preserve">Innovation</w:t>
      </w:r>
    </w:p>
    <w:p>
      <w:pPr>
        <w:pStyle w:val="FirstParagraph"/>
      </w:pPr>
      <w:r>
        <w:t xml:space="preserve">Our proposal is highly innovative on several fronts, integrating community wisdom with cutting-edge technology:</w:t>
      </w:r>
    </w:p>
    <w:p>
      <w:pPr>
        <w:pStyle w:val="Compact"/>
        <w:numPr>
          <w:ilvl w:val="0"/>
          <w:numId w:val="1003"/>
        </w:numPr>
      </w:pPr>
      <w:r>
        <w:rPr>
          <w:b/>
          <w:bCs/>
        </w:rPr>
        <w:t xml:space="preserve">Community-Driven, Culturally Tailored Delivery:</w:t>
      </w:r>
      <w:r>
        <w:t xml:space="preserve"> </w:t>
      </w:r>
      <w:r>
        <w:t xml:space="preserve">We embed the intervention in Black Protestant churches – leveraging existing trust, social support, and leadership structures – rather than a clinic or commercial app silo</w:t>
      </w:r>
      <w:hyperlink r:id="rId40">
        <w:r>
          <w:rPr>
            <w:rStyle w:val="Hyperlink"/>
          </w:rPr>
          <w:t xml:space="preserve">[20]</w:t>
        </w:r>
      </w:hyperlink>
      <w:r>
        <w:t xml:space="preserve">. By co-designing with church networks and respecting cultural practices, we introduce technology in a way that is acceptable and empowering to the target population, a novel model for NDPP dissemination.</w:t>
      </w:r>
    </w:p>
    <w:p>
      <w:pPr>
        <w:pStyle w:val="Compact"/>
        <w:numPr>
          <w:ilvl w:val="0"/>
          <w:numId w:val="1003"/>
        </w:numPr>
      </w:pPr>
      <w:r>
        <w:rPr>
          <w:b/>
          <w:bCs/>
        </w:rPr>
        <w:t xml:space="preserve">Passive Wearable Integration for Personalized Guidance:</w:t>
      </w:r>
      <w:r>
        <w:t xml:space="preserve"> </w:t>
      </w:r>
      <w:r>
        <w:t xml:space="preserve">This will be one of the</w:t>
      </w:r>
      <w:r>
        <w:t xml:space="preserve"> </w:t>
      </w:r>
      <w:r>
        <w:rPr>
          <w:b/>
          <w:bCs/>
        </w:rPr>
        <w:t xml:space="preserve">first NDPP implementations to incorporate wearable-derived</w:t>
      </w:r>
      <w:r>
        <w:t xml:space="preserve"> </w:t>
      </w:r>
      <w:r>
        <w:t xml:space="preserve">physiological data (e.g. heart rate variability, sleep patterns) into program delivery. We translate these data into an</w:t>
      </w:r>
      <w:r>
        <w:t xml:space="preserve"> </w:t>
      </w:r>
      <w:r>
        <w:rPr>
          <w:b/>
          <w:bCs/>
        </w:rPr>
        <w:t xml:space="preserve">Allostatic Load Index</w:t>
      </w:r>
      <w:r>
        <w:t xml:space="preserve"> </w:t>
      </w:r>
      <w:r>
        <w:t xml:space="preserve">that coaches and participants can easily interpret, enabling real-time, personalized coaching tips. Importantly, our approach</w:t>
      </w:r>
      <w:r>
        <w:t xml:space="preserve"> </w:t>
      </w:r>
      <w:r>
        <w:rPr>
          <w:b/>
          <w:bCs/>
        </w:rPr>
        <w:t xml:space="preserve">reduces participant burden</w:t>
      </w:r>
      <w:r>
        <w:t xml:space="preserve"> </w:t>
      </w:r>
      <w:r>
        <w:t xml:space="preserve">– instead of relying on tedious self-reports (food logs, etc.), we use passive data to infer when a participant might be struggling and offer timely support</w:t>
      </w:r>
      <w:hyperlink r:id="rId43">
        <w:r>
          <w:rPr>
            <w:rStyle w:val="Hyperlink"/>
          </w:rPr>
          <w:t xml:space="preserve">[22]</w:t>
        </w:r>
      </w:hyperlink>
      <w:r>
        <w:t xml:space="preserve">. Recent advances in wearable technology make this possible (e.g., ring sensors accurately measure sleep and stress biomarkers</w:t>
      </w:r>
      <w:hyperlink r:id="rId32">
        <w:r>
          <w:rPr>
            <w:rStyle w:val="Hyperlink"/>
          </w:rPr>
          <w:t xml:space="preserve">[23]</w:t>
        </w:r>
      </w:hyperlink>
      <w:r>
        <w:t xml:space="preserve">), but such integration has not been applied to diabetes prevention programs until now.</w:t>
      </w:r>
    </w:p>
    <w:p>
      <w:pPr>
        <w:pStyle w:val="Compact"/>
        <w:numPr>
          <w:ilvl w:val="0"/>
          <w:numId w:val="1003"/>
        </w:numPr>
      </w:pPr>
      <w:r>
        <w:rPr>
          <w:b/>
          <w:bCs/>
        </w:rPr>
        <w:t xml:space="preserve">“Intelligent Abstention” and Transparent AI:</w:t>
      </w:r>
      <w:r>
        <w:t xml:space="preserve"> </w:t>
      </w:r>
      <w:r>
        <w:t xml:space="preserve">Our module’s decision algorithm is uniquely designed for</w:t>
      </w:r>
      <w:r>
        <w:t xml:space="preserve"> </w:t>
      </w:r>
      <w:r>
        <w:rPr>
          <w:b/>
          <w:bCs/>
        </w:rPr>
        <w:t xml:space="preserve">safety and trust</w:t>
      </w:r>
      <w:r>
        <w:t xml:space="preserve">. Unlike typical digital health apps that push generic advice, our system will</w:t>
      </w:r>
      <w:r>
        <w:t xml:space="preserve"> </w:t>
      </w:r>
      <w:r>
        <w:rPr>
          <w:b/>
          <w:bCs/>
        </w:rPr>
        <w:t xml:space="preserve">withhold recommendations (“stay neutral”) when data are outside expected ranges or uncertainty is high</w:t>
      </w:r>
      <w:hyperlink r:id="rId34">
        <w:r>
          <w:rPr>
            <w:rStyle w:val="Hyperlink"/>
            <w:b/>
            <w:bCs/>
          </w:rPr>
          <w:t xml:space="preserve">[14]</w:t>
        </w:r>
      </w:hyperlink>
      <w:r>
        <w:t xml:space="preserve">. This</w:t>
      </w:r>
      <w:r>
        <w:t xml:space="preserve"> </w:t>
      </w:r>
      <w:r>
        <w:rPr>
          <w:b/>
          <w:bCs/>
        </w:rPr>
        <w:t xml:space="preserve">uncertainty-aware approach</w:t>
      </w:r>
      <w:r>
        <w:t xml:space="preserve"> </w:t>
      </w:r>
      <w:r>
        <w:t xml:space="preserve">is cutting-edge in the AI field and ensures we</w:t>
      </w:r>
      <w:r>
        <w:t xml:space="preserve"> </w:t>
      </w:r>
      <w:r>
        <w:rPr>
          <w:b/>
          <w:bCs/>
        </w:rPr>
        <w:t xml:space="preserve">do no harm</w:t>
      </w:r>
      <w:r>
        <w:t xml:space="preserve"> </w:t>
      </w:r>
      <w:r>
        <w:t xml:space="preserve">by avoiding false guidance. When guidance is given, it comes with a brief, stable explanation the coach and participant can understand (e.g. “Your wearable indicates low recovery last week, so let’s review your sleep habits”) – an uncommon level of transparency for health algorithms. We will rigorously validate explanation fidelity and consistency, and we will audit model performance across subgroups for fairness (by sex, age, etc.), mitigating any detected bias</w:t>
      </w:r>
      <w:hyperlink r:id="rId44">
        <w:r>
          <w:rPr>
            <w:rStyle w:val="Hyperlink"/>
          </w:rPr>
          <w:t xml:space="preserve">[24]</w:t>
        </w:r>
      </w:hyperlink>
      <w:r>
        <w:t xml:space="preserve">. Such</w:t>
      </w:r>
      <w:r>
        <w:t xml:space="preserve"> </w:t>
      </w:r>
      <w:r>
        <w:rPr>
          <w:b/>
          <w:bCs/>
        </w:rPr>
        <w:t xml:space="preserve">audit-ready, explainable AI</w:t>
      </w:r>
      <w:r>
        <w:t xml:space="preserve"> </w:t>
      </w:r>
      <w:r>
        <w:t xml:space="preserve">integration in a lifestyle intervention is highly novel.</w:t>
      </w:r>
    </w:p>
    <w:p>
      <w:pPr>
        <w:pStyle w:val="Compact"/>
        <w:numPr>
          <w:ilvl w:val="0"/>
          <w:numId w:val="1003"/>
        </w:numPr>
      </w:pPr>
      <w:r>
        <w:rPr>
          <w:b/>
          <w:bCs/>
        </w:rPr>
        <w:t xml:space="preserve">Interoperability and Turnkey Scalability:</w:t>
      </w:r>
      <w:r>
        <w:t xml:space="preserve"> </w:t>
      </w:r>
      <w:r>
        <w:t xml:space="preserve">Rather than building a standalone app, we deliver a</w:t>
      </w:r>
      <w:r>
        <w:t xml:space="preserve"> </w:t>
      </w:r>
      <w:r>
        <w:rPr>
          <w:b/>
          <w:bCs/>
        </w:rPr>
        <w:t xml:space="preserve">vendor-neutral SDK/API</w:t>
      </w:r>
      <w:r>
        <w:t xml:space="preserve"> </w:t>
      </w:r>
      <w:r>
        <w:t xml:space="preserve">that can plug into</w:t>
      </w:r>
      <w:r>
        <w:t xml:space="preserve"> </w:t>
      </w:r>
      <w:r>
        <w:rPr>
          <w:i/>
          <w:iCs/>
        </w:rPr>
        <w:t xml:space="preserve">existing</w:t>
      </w:r>
      <w:r>
        <w:t xml:space="preserve"> </w:t>
      </w:r>
      <w:r>
        <w:t xml:space="preserve">NDPP platforms and electronic health records</w:t>
      </w:r>
      <w:hyperlink r:id="rId31">
        <w:r>
          <w:rPr>
            <w:rStyle w:val="Hyperlink"/>
          </w:rPr>
          <w:t xml:space="preserve">[11]</w:t>
        </w:r>
      </w:hyperlink>
      <w:r>
        <w:t xml:space="preserve">. This plug-and-play design is innovative in the implementation space – it dramatically lowers the barrier for community organizations to try the module, since it works with their current systems (much like a “universal adapter” for NDPP data). We pair the tech with a comprehensive</w:t>
      </w:r>
      <w:r>
        <w:t xml:space="preserve"> </w:t>
      </w:r>
      <w:r>
        <w:rPr>
          <w:b/>
          <w:bCs/>
        </w:rPr>
        <w:t xml:space="preserve">purchaser kit</w:t>
      </w:r>
      <w:r>
        <w:t xml:space="preserve"> </w:t>
      </w:r>
      <w:r>
        <w:t xml:space="preserve">(contracts, data templates, etc.), which is an</w:t>
      </w:r>
      <w:r>
        <w:t xml:space="preserve"> </w:t>
      </w:r>
      <w:r>
        <w:rPr>
          <w:b/>
          <w:bCs/>
        </w:rPr>
        <w:t xml:space="preserve">innovative commercialization strategy</w:t>
      </w:r>
      <w:r>
        <w:t xml:space="preserve"> </w:t>
      </w:r>
      <w:r>
        <w:t xml:space="preserve">to speed adoption. By addressing not just the intervention efficacy but also the</w:t>
      </w:r>
      <w:r>
        <w:t xml:space="preserve"> </w:t>
      </w:r>
      <w:r>
        <w:rPr>
          <w:b/>
          <w:bCs/>
        </w:rPr>
        <w:t xml:space="preserve">packaging and business model (e.g. blended per-member/per-cohort pricing)</w:t>
      </w:r>
      <w:hyperlink r:id="rId45">
        <w:r>
          <w:rPr>
            <w:rStyle w:val="Hyperlink"/>
            <w:b/>
            <w:bCs/>
          </w:rPr>
          <w:t xml:space="preserve">[25]</w:t>
        </w:r>
      </w:hyperlink>
      <w:r>
        <w:t xml:space="preserve">, we innovate in the often-neglected arena of how to sustain and scale evidence-based interventions in the real world. Few Phase I projects deliver this breadth of product readiness for diverse stakeholders (community sites, payers, IT vendors) as we propose.</w:t>
      </w:r>
    </w:p>
    <w:p>
      <w:pPr>
        <w:pStyle w:val="Compact"/>
        <w:numPr>
          <w:ilvl w:val="0"/>
          <w:numId w:val="1003"/>
        </w:numPr>
      </w:pPr>
      <w:r>
        <w:rPr>
          <w:b/>
          <w:bCs/>
        </w:rPr>
        <w:t xml:space="preserve">Hybrid Evaluation Framework in Phase I:</w:t>
      </w:r>
      <w:r>
        <w:t xml:space="preserve"> </w:t>
      </w:r>
      <w:r>
        <w:t xml:space="preserve">Methodologically, we innovate by conducting a</w:t>
      </w:r>
      <w:r>
        <w:t xml:space="preserve"> </w:t>
      </w:r>
      <w:r>
        <w:rPr>
          <w:b/>
          <w:bCs/>
        </w:rPr>
        <w:t xml:space="preserve">Hybrid Type 2 implementation-effectiveness study</w:t>
      </w:r>
      <w:r>
        <w:t xml:space="preserve"> </w:t>
      </w:r>
      <w:r>
        <w:rPr>
          <w:i/>
          <w:iCs/>
        </w:rPr>
        <w:t xml:space="preserve">within</w:t>
      </w:r>
      <w:r>
        <w:t xml:space="preserve"> </w:t>
      </w:r>
      <w:r>
        <w:t xml:space="preserve">a Phase I SBIR</w:t>
      </w:r>
      <w:hyperlink r:id="rId46">
        <w:r>
          <w:rPr>
            <w:rStyle w:val="Hyperlink"/>
          </w:rPr>
          <w:t xml:space="preserve">[26]</w:t>
        </w:r>
      </w:hyperlink>
      <w:r>
        <w:t xml:space="preserve">. We are not waiting for Phase II to evaluate real-world impact; instead, we will generate rigorous data on reach, fidelity, and outcomes now, in a pragmatic cluster-randomized trial. We couple quantitative evaluation with qualitative CFIR-guided inquiry – a fusion of implementation science and R&amp;D that is uncommon in small business grants. This approach ensures that by the end of Phase I, we will have both a proven</w:t>
      </w:r>
      <w:r>
        <w:t xml:space="preserve"> </w:t>
      </w:r>
      <w:r>
        <w:rPr>
          <w:b/>
          <w:bCs/>
        </w:rPr>
        <w:t xml:space="preserve">prototype</w:t>
      </w:r>
      <w:r>
        <w:t xml:space="preserve"> </w:t>
      </w:r>
      <w:r>
        <w:t xml:space="preserve">and evidence of its</w:t>
      </w:r>
      <w:r>
        <w:t xml:space="preserve"> </w:t>
      </w:r>
      <w:r>
        <w:rPr>
          <w:b/>
          <w:bCs/>
        </w:rPr>
        <w:t xml:space="preserve">feasibility and value to customers</w:t>
      </w:r>
      <w:r>
        <w:t xml:space="preserve">, positioning us strongly for Phase II scale-up and commercialization.</w:t>
      </w:r>
    </w:p>
    <w:bookmarkEnd w:id="47"/>
    <w:bookmarkStart w:id="89" w:name="approach"/>
    <w:p>
      <w:pPr>
        <w:pStyle w:val="Heading2"/>
      </w:pPr>
      <w:r>
        <w:t xml:space="preserve">Approach</w:t>
      </w:r>
    </w:p>
    <w:p>
      <w:pPr>
        <w:pStyle w:val="FirstParagraph"/>
      </w:pPr>
      <w:r>
        <w:rPr>
          <w:b/>
          <w:bCs/>
        </w:rPr>
        <w:t xml:space="preserve">Overview:</w:t>
      </w:r>
      <w:r>
        <w:t xml:space="preserve"> </w:t>
      </w:r>
      <w:r>
        <w:t xml:space="preserve">We will execute three Specific Aims to achieve our Phase I objectives.</w:t>
      </w:r>
      <w:r>
        <w:t xml:space="preserve"> </w:t>
      </w:r>
      <w:r>
        <w:rPr>
          <w:b/>
          <w:bCs/>
        </w:rPr>
        <w:t xml:space="preserve">Aim 1</w:t>
      </w:r>
      <w:r>
        <w:t xml:space="preserve"> </w:t>
      </w:r>
      <w:r>
        <w:t xml:space="preserve">focuses on developing and hardening the</w:t>
      </w:r>
      <w:r>
        <w:t xml:space="preserve"> </w:t>
      </w:r>
      <w:r>
        <w:rPr>
          <w:b/>
          <w:bCs/>
        </w:rPr>
        <w:t xml:space="preserve">implementation module</w:t>
      </w:r>
      <w:r>
        <w:t xml:space="preserve"> </w:t>
      </w:r>
      <w:r>
        <w:t xml:space="preserve">(technology and content).</w:t>
      </w:r>
      <w:r>
        <w:t xml:space="preserve"> </w:t>
      </w:r>
      <w:r>
        <w:rPr>
          <w:b/>
          <w:bCs/>
        </w:rPr>
        <w:t xml:space="preserve">Aim 2</w:t>
      </w:r>
      <w:r>
        <w:t xml:space="preserve"> </w:t>
      </w:r>
      <w:r>
        <w:t xml:space="preserve">entails a</w:t>
      </w:r>
      <w:r>
        <w:t xml:space="preserve"> </w:t>
      </w:r>
      <w:r>
        <w:rPr>
          <w:b/>
          <w:bCs/>
        </w:rPr>
        <w:t xml:space="preserve">pragmatic cluster-randomized trial</w:t>
      </w:r>
      <w:r>
        <w:t xml:space="preserve"> </w:t>
      </w:r>
      <w:r>
        <w:t xml:space="preserve">embedded in a Hybrid Type 2 implementation study to test the module in real-world church and clinic settings.</w:t>
      </w:r>
      <w:r>
        <w:t xml:space="preserve"> </w:t>
      </w:r>
      <w:r>
        <w:rPr>
          <w:b/>
          <w:bCs/>
        </w:rPr>
        <w:t xml:space="preserve">Aim 3</w:t>
      </w:r>
      <w:r>
        <w:t xml:space="preserve"> </w:t>
      </w:r>
      <w:r>
        <w:t xml:space="preserve">involves an</w:t>
      </w:r>
      <w:r>
        <w:t xml:space="preserve"> </w:t>
      </w:r>
      <w:r>
        <w:rPr>
          <w:b/>
          <w:bCs/>
        </w:rPr>
        <w:t xml:space="preserve">economic evaluation and commercialization prep</w:t>
      </w:r>
      <w:r>
        <w:t xml:space="preserve">, producing data and materials to attract adopters and investors. Our study design and outcomes draw from the RE-AIM framework for public health impact</w:t>
      </w:r>
      <w:hyperlink r:id="rId48">
        <w:r>
          <w:rPr>
            <w:rStyle w:val="Hyperlink"/>
          </w:rPr>
          <w:t xml:space="preserve">[27]</w:t>
        </w:r>
      </w:hyperlink>
      <w:r>
        <w:t xml:space="preserve"> </w:t>
      </w:r>
      <w:r>
        <w:t xml:space="preserve">and established implementation outcomes</w:t>
      </w:r>
      <w:hyperlink r:id="rId49">
        <w:r>
          <w:rPr>
            <w:rStyle w:val="Hyperlink"/>
          </w:rPr>
          <w:t xml:space="preserve">[28]</w:t>
        </w:r>
      </w:hyperlink>
      <w:r>
        <w:t xml:space="preserve">, ensuring we address Reach, Effectiveness (proximal outcomes), Adoption, Implementation fidelity/cost, and Maintenance. The trial component is designated</w:t>
      </w:r>
      <w:r>
        <w:t xml:space="preserve"> </w:t>
      </w:r>
      <w:r>
        <w:rPr>
          <w:b/>
          <w:bCs/>
        </w:rPr>
        <w:t xml:space="preserve">“clinical trial optional”</w:t>
      </w:r>
      <w:r>
        <w:t xml:space="preserve"> </w:t>
      </w:r>
      <w:r>
        <w:t xml:space="preserve">per the SBIR FOA (we will include a detailed human subjects section), and all human subjects procedures will be approved by a single IRB overseeing all sites</w:t>
      </w:r>
      <w:hyperlink r:id="rId50">
        <w:r>
          <w:rPr>
            <w:rStyle w:val="Hyperlink"/>
          </w:rPr>
          <w:t xml:space="preserve">[29]</w:t>
        </w:r>
      </w:hyperlink>
      <w:r>
        <w:t xml:space="preserve">. Below, we detail the approach by aim.</w:t>
      </w:r>
    </w:p>
    <w:bookmarkStart w:id="62" w:name="X5444ed4e4d820dd5af4f1b3e06bfb7317c30267"/>
    <w:p>
      <w:pPr>
        <w:pStyle w:val="Heading3"/>
      </w:pPr>
      <w:r>
        <w:t xml:space="preserve">Aim 1: Build and Harden a Deployable Implementation Module (Integration SDK, Calibrated Guidance, Governance Controls)</w:t>
      </w:r>
    </w:p>
    <w:p>
      <w:pPr>
        <w:pStyle w:val="FirstParagraph"/>
      </w:pPr>
      <w:r>
        <w:rPr>
          <w:b/>
          <w:bCs/>
        </w:rPr>
        <w:t xml:space="preserve">Technical Development:</w:t>
      </w:r>
      <w:r>
        <w:t xml:space="preserve"> </w:t>
      </w:r>
      <w:r>
        <w:t xml:space="preserve">We will use an agile, user-centered development process to create a production-grade module that meets the needs of church-based NDPP programs. Key development steps include:</w:t>
      </w:r>
    </w:p>
    <w:p>
      <w:pPr>
        <w:numPr>
          <w:ilvl w:val="0"/>
          <w:numId w:val="1004"/>
        </w:numPr>
      </w:pPr>
      <w:r>
        <w:rPr>
          <w:b/>
          <w:bCs/>
        </w:rPr>
        <w:t xml:space="preserve">Data Ingestion &amp; Schema Harmonization:</w:t>
      </w:r>
      <w:r>
        <w:t xml:space="preserve"> </w:t>
      </w:r>
      <w:r>
        <w:t xml:space="preserve">We will design a</w:t>
      </w:r>
      <w:r>
        <w:t xml:space="preserve"> </w:t>
      </w:r>
      <w:r>
        <w:rPr>
          <w:b/>
          <w:bCs/>
        </w:rPr>
        <w:t xml:space="preserve">physiology-first data pipeline</w:t>
      </w:r>
      <w:r>
        <w:t xml:space="preserve"> </w:t>
      </w:r>
      <w:r>
        <w:t xml:space="preserve">that maps raw wearable sensor streams into a canonical format. For example, heart rate and inter-beat interval data will be converted into standard heart rate variability metrics (RMSSD, high-frequency power), raw sleep stage data into sleep regularity/stability indices, step counts into activity volatility measures, etc.</w:t>
      </w:r>
      <w:hyperlink r:id="rId51">
        <w:r>
          <w:rPr>
            <w:rStyle w:val="Hyperlink"/>
          </w:rPr>
          <w:t xml:space="preserve">[30]</w:t>
        </w:r>
      </w:hyperlink>
      <w:r>
        <w:t xml:space="preserve">. We will implement this as an open SDK with a defined schema, so that data from different wearable brands (e.g. Oura, Fitbit) are normalized to comparable physiological units. This ensures</w:t>
      </w:r>
      <w:r>
        <w:t xml:space="preserve"> </w:t>
      </w:r>
      <w:r>
        <w:rPr>
          <w:b/>
          <w:bCs/>
        </w:rPr>
        <w:t xml:space="preserve">device-agnosticism</w:t>
      </w:r>
      <w:r>
        <w:t xml:space="preserve"> </w:t>
      </w:r>
      <w:r>
        <w:t xml:space="preserve">– a novel feature allowing users to bring any device of their choice.</w:t>
      </w:r>
      <w:r>
        <w:t xml:space="preserve"> </w:t>
      </w:r>
      <w:r>
        <w:rPr>
          <w:i/>
          <w:iCs/>
        </w:rPr>
        <w:t xml:space="preserve">Milestone:</w:t>
      </w:r>
      <w:r>
        <w:t xml:space="preserve"> </w:t>
      </w:r>
      <w:r>
        <w:t xml:space="preserve">Completion of a schema and library that can intake data from at least two major wearable types and output unified features, with unit tests covering &gt;99% of transformations</w:t>
      </w:r>
      <w:hyperlink r:id="rId52">
        <w:r>
          <w:rPr>
            <w:rStyle w:val="Hyperlink"/>
          </w:rPr>
          <w:t xml:space="preserve">[31]</w:t>
        </w:r>
      </w:hyperlink>
      <w:r>
        <w:t xml:space="preserve">.</w:t>
      </w:r>
    </w:p>
    <w:p>
      <w:pPr>
        <w:numPr>
          <w:ilvl w:val="0"/>
          <w:numId w:val="1004"/>
        </w:numPr>
      </w:pPr>
      <w:r>
        <w:rPr>
          <w:b/>
          <w:bCs/>
        </w:rPr>
        <w:t xml:space="preserve">Machine Learning Guidance Engine:</w:t>
      </w:r>
      <w:r>
        <w:t xml:space="preserve"> </w:t>
      </w:r>
      <w:r>
        <w:t xml:space="preserve">Using the processed data, we will train models to generate the</w:t>
      </w:r>
      <w:r>
        <w:t xml:space="preserve"> </w:t>
      </w:r>
      <w:r>
        <w:rPr>
          <w:b/>
          <w:bCs/>
        </w:rPr>
        <w:t xml:space="preserve">“need-for-guidance” score</w:t>
      </w:r>
      <w:r>
        <w:t xml:space="preserve"> </w:t>
      </w:r>
      <w:r>
        <w:t xml:space="preserve">each day for each participant. This score is essentially an individualized flag indicating if the person may need extra help (e.g. if their ALI indicates high stress or poor recovery trends). Model training will leverage our team’s preliminary ALI definitions and data from both existing literature and any available pilot data. Crucially, we will enforce</w:t>
      </w:r>
      <w:r>
        <w:t xml:space="preserve"> </w:t>
      </w:r>
      <w:r>
        <w:rPr>
          <w:b/>
          <w:bCs/>
        </w:rPr>
        <w:t xml:space="preserve">calibration and robustness</w:t>
      </w:r>
      <w:r>
        <w:t xml:space="preserve"> </w:t>
      </w:r>
      <w:r>
        <w:t xml:space="preserve">in model development: training and validation will use a leave-device-out approach to ensure the model performs well across different wearable devices and firmware versions</w:t>
      </w:r>
      <w:hyperlink r:id="rId53">
        <w:r>
          <w:rPr>
            <w:rStyle w:val="Hyperlink"/>
          </w:rPr>
          <w:t xml:space="preserve">[32]</w:t>
        </w:r>
      </w:hyperlink>
      <w:r>
        <w:t xml:space="preserve">. We will apply techniques like domain adaptation to remove device-specific biases and monitor model drift when device updates occur.</w:t>
      </w:r>
      <w:r>
        <w:t xml:space="preserve"> </w:t>
      </w:r>
      <w:r>
        <w:rPr>
          <w:i/>
          <w:iCs/>
        </w:rPr>
        <w:t xml:space="preserve">Milestone:</w:t>
      </w:r>
      <w:r>
        <w:t xml:space="preserve"> </w:t>
      </w:r>
      <w:r>
        <w:t xml:space="preserve">Achieve consistent accuracy and calibration (e.g. area under ROC curves and precision-recall within a preset margin across device types, expected calibration error below 0.03) in cross-validation</w:t>
      </w:r>
      <w:hyperlink r:id="rId54">
        <w:r>
          <w:rPr>
            <w:rStyle w:val="Hyperlink"/>
          </w:rPr>
          <w:t xml:space="preserve">[33]</w:t>
        </w:r>
      </w:hyperlink>
      <w:hyperlink r:id="rId55">
        <w:r>
          <w:rPr>
            <w:rStyle w:val="Hyperlink"/>
          </w:rPr>
          <w:t xml:space="preserve">[34]</w:t>
        </w:r>
      </w:hyperlink>
      <w:r>
        <w:t xml:space="preserve">. We will also simulate firmware or data shifts to confirm the model remains stable (with automated drift alerts if performance deviates).</w:t>
      </w:r>
    </w:p>
    <w:p>
      <w:pPr>
        <w:numPr>
          <w:ilvl w:val="0"/>
          <w:numId w:val="1004"/>
        </w:numPr>
      </w:pPr>
      <w:r>
        <w:rPr>
          <w:b/>
          <w:bCs/>
        </w:rPr>
        <w:t xml:space="preserve">Uncertainty-Aware Recommendation Logic:</w:t>
      </w:r>
      <w:r>
        <w:t xml:space="preserve"> </w:t>
      </w:r>
      <w:r>
        <w:t xml:space="preserve">We will move beyond prediction to actionable guidance by implementing</w:t>
      </w:r>
      <w:r>
        <w:t xml:space="preserve"> </w:t>
      </w:r>
      <w:r>
        <w:rPr>
          <w:b/>
          <w:bCs/>
        </w:rPr>
        <w:t xml:space="preserve">uncertainty-aware decision rules</w:t>
      </w:r>
      <w:r>
        <w:t xml:space="preserve">. Specifically, the system will recommend low-burden behavior tweaks (like “increase tonight’s sleep by 30 minutes” or “take a stress reduction pause today”) when the model confidence is high, but</w:t>
      </w:r>
      <w:r>
        <w:t xml:space="preserve"> </w:t>
      </w:r>
      <w:r>
        <w:rPr>
          <w:b/>
          <w:bCs/>
        </w:rPr>
        <w:t xml:space="preserve">default to no recommendation (neutral)</w:t>
      </w:r>
      <w:r>
        <w:t xml:space="preserve"> </w:t>
      </w:r>
      <w:r>
        <w:t xml:space="preserve">when confidence is low or data are missing</w:t>
      </w:r>
      <w:hyperlink r:id="rId56">
        <w:r>
          <w:rPr>
            <w:rStyle w:val="Hyperlink"/>
          </w:rPr>
          <w:t xml:space="preserve">[35]</w:t>
        </w:r>
      </w:hyperlink>
      <w:r>
        <w:t xml:space="preserve">. This will be achieved using modern techniques such as conformal prediction intervals or Bayesian uncertainty estimation to set thresholds for abstention. We will document explicit criteria for when the algorithm abstains (e.g. if data for a given day are &lt;50% complete or out-of-distribution relative to training).</w:t>
      </w:r>
      <w:r>
        <w:t xml:space="preserve"> </w:t>
      </w:r>
      <w:r>
        <w:rPr>
          <w:i/>
          <w:iCs/>
        </w:rPr>
        <w:t xml:space="preserve">Milestone:</w:t>
      </w:r>
      <w:r>
        <w:t xml:space="preserve"> </w:t>
      </w:r>
      <w:r>
        <w:t xml:space="preserve">Define and validate abstention logic that yields a substantial reduction in unwarranted advice – targeting &lt;5% false-positive advice rate in bench tests – and document the trade-off between sensitivity and specificity of recommendations</w:t>
      </w:r>
      <w:hyperlink r:id="rId57">
        <w:r>
          <w:rPr>
            <w:rStyle w:val="Hyperlink"/>
          </w:rPr>
          <w:t xml:space="preserve">[36]</w:t>
        </w:r>
      </w:hyperlink>
      <w:r>
        <w:t xml:space="preserve">. In a controlled “digital twin” test (simulating participant data and comparing module advice vs. standard NDPP logging advice), we aim to show</w:t>
      </w:r>
      <w:r>
        <w:t xml:space="preserve"> </w:t>
      </w:r>
      <w:r>
        <w:rPr>
          <w:b/>
          <w:bCs/>
        </w:rPr>
        <w:t xml:space="preserve">non-inferior short-term outcomes</w:t>
      </w:r>
      <w:r>
        <w:t xml:space="preserve"> </w:t>
      </w:r>
      <w:r>
        <w:t xml:space="preserve">(e.g. early weight trajectory) with significantly less burden</w:t>
      </w:r>
      <w:hyperlink r:id="rId57">
        <w:r>
          <w:rPr>
            <w:rStyle w:val="Hyperlink"/>
          </w:rPr>
          <w:t xml:space="preserve">[37]</w:t>
        </w:r>
      </w:hyperlink>
      <w:r>
        <w:t xml:space="preserve">.</w:t>
      </w:r>
    </w:p>
    <w:p>
      <w:pPr>
        <w:numPr>
          <w:ilvl w:val="0"/>
          <w:numId w:val="1004"/>
        </w:numPr>
      </w:pPr>
      <w:r>
        <w:rPr>
          <w:b/>
          <w:bCs/>
        </w:rPr>
        <w:t xml:space="preserve">Explainability, Safety, and Fairness:</w:t>
      </w:r>
      <w:r>
        <w:t xml:space="preserve"> </w:t>
      </w:r>
      <w:r>
        <w:t xml:space="preserve">Every guidance provided will be accompanied by a concise rationale (one or two sentences) so that coaches and participants understand</w:t>
      </w:r>
      <w:r>
        <w:t xml:space="preserve"> </w:t>
      </w:r>
      <w:r>
        <w:rPr>
          <w:i/>
          <w:iCs/>
        </w:rPr>
        <w:t xml:space="preserve">why</w:t>
      </w:r>
      <w:r>
        <w:t xml:space="preserve"> </w:t>
      </w:r>
      <w:r>
        <w:t xml:space="preserve">it’s suggested. We will enforce constraints on these explanations to ensure they are</w:t>
      </w:r>
      <w:r>
        <w:t xml:space="preserve"> </w:t>
      </w:r>
      <w:r>
        <w:rPr>
          <w:b/>
          <w:bCs/>
        </w:rPr>
        <w:t xml:space="preserve">faithful to the model’s actual reasoning and stable</w:t>
      </w:r>
      <w:r>
        <w:t xml:space="preserve"> </w:t>
      </w:r>
      <w:r>
        <w:t xml:space="preserve">against trivial input perturbations</w:t>
      </w:r>
      <w:hyperlink r:id="rId58">
        <w:r>
          <w:rPr>
            <w:rStyle w:val="Hyperlink"/>
          </w:rPr>
          <w:t xml:space="preserve">[38]</w:t>
        </w:r>
      </w:hyperlink>
      <w:r>
        <w:t xml:space="preserve">. For example, we will test that if a participant’s data input changes in a way that shouldn’t matter (like units or negligible noise), the explanation doesn’t wildly change. We will quantify explanation stability (variance) and set a threshold for acceptable variation</w:t>
      </w:r>
      <w:hyperlink r:id="rId59">
        <w:r>
          <w:rPr>
            <w:rStyle w:val="Hyperlink"/>
          </w:rPr>
          <w:t xml:space="preserve">[39]</w:t>
        </w:r>
      </w:hyperlink>
      <w:r>
        <w:t xml:space="preserve">. Additionally, we will conduct</w:t>
      </w:r>
      <w:r>
        <w:t xml:space="preserve"> </w:t>
      </w:r>
      <w:r>
        <w:rPr>
          <w:b/>
          <w:bCs/>
        </w:rPr>
        <w:t xml:space="preserve">algorithmic bias audits</w:t>
      </w:r>
      <w:r>
        <w:t xml:space="preserve">: evaluating error rates and calibration across sex, age, and baseline risk subgroups (and if data allow, by race or congregation)</w:t>
      </w:r>
      <w:hyperlink r:id="rId44">
        <w:r>
          <w:rPr>
            <w:rStyle w:val="Hyperlink"/>
          </w:rPr>
          <w:t xml:space="preserve">[24]</w:t>
        </w:r>
      </w:hyperlink>
      <w:r>
        <w:t xml:space="preserve">. If we find gaps (e.g. the model under-predicts guidance need for older participants), we will implement mitigation (such as recalibration on subgroup data or including fairness constraints in training). We will also generate</w:t>
      </w:r>
      <w:r>
        <w:t xml:space="preserve"> </w:t>
      </w:r>
      <w:r>
        <w:rPr>
          <w:b/>
          <w:bCs/>
        </w:rPr>
        <w:t xml:space="preserve">model cards and fact sheets</w:t>
      </w:r>
      <w:r>
        <w:t xml:space="preserve"> </w:t>
      </w:r>
      <w:r>
        <w:t xml:space="preserve">documenting the model’s intended use, performance, and bias evaluation – these will be part of our governance toolkit for end-users</w:t>
      </w:r>
      <w:hyperlink r:id="rId37">
        <w:r>
          <w:rPr>
            <w:rStyle w:val="Hyperlink"/>
          </w:rPr>
          <w:t xml:space="preserve">[17]</w:t>
        </w:r>
      </w:hyperlink>
      <w:r>
        <w:t xml:space="preserve">.</w:t>
      </w:r>
      <w:r>
        <w:t xml:space="preserve"> </w:t>
      </w:r>
      <w:r>
        <w:rPr>
          <w:i/>
          <w:iCs/>
        </w:rPr>
        <w:t xml:space="preserve">Milestone:</w:t>
      </w:r>
      <w:r>
        <w:t xml:space="preserve"> </w:t>
      </w:r>
      <w:r>
        <w:t xml:space="preserve">Explanations meet predefined</w:t>
      </w:r>
      <w:r>
        <w:t xml:space="preserve"> </w:t>
      </w:r>
      <w:r>
        <w:rPr>
          <w:b/>
          <w:bCs/>
        </w:rPr>
        <w:t xml:space="preserve">fidelity and stability criteria</w:t>
      </w:r>
      <w:r>
        <w:t xml:space="preserve"> </w:t>
      </w:r>
      <w:r>
        <w:t xml:space="preserve">(e.g. &gt;90% of explanations accurately reflect the top model features, and variability remains within bounds in simulation tests</w:t>
      </w:r>
      <w:hyperlink r:id="rId59">
        <w:r>
          <w:rPr>
            <w:rStyle w:val="Hyperlink"/>
          </w:rPr>
          <w:t xml:space="preserve">[39]</w:t>
        </w:r>
      </w:hyperlink>
      <w:r>
        <w:t xml:space="preserve">), and</w:t>
      </w:r>
      <w:r>
        <w:t xml:space="preserve"> </w:t>
      </w:r>
      <w:r>
        <w:rPr>
          <w:b/>
          <w:bCs/>
        </w:rPr>
        <w:t xml:space="preserve">parity metrics</w:t>
      </w:r>
      <w:r>
        <w:t xml:space="preserve"> </w:t>
      </w:r>
      <w:r>
        <w:t xml:space="preserve">(error/calibration differences) between subgroups are within a tolerable range (no more than a few percentage points difference, or else mitigations applied)</w:t>
      </w:r>
      <w:hyperlink r:id="rId44">
        <w:r>
          <w:rPr>
            <w:rStyle w:val="Hyperlink"/>
          </w:rPr>
          <w:t xml:space="preserve">[24]</w:t>
        </w:r>
      </w:hyperlink>
      <w:r>
        <w:t xml:space="preserve">.</w:t>
      </w:r>
    </w:p>
    <w:p>
      <w:pPr>
        <w:numPr>
          <w:ilvl w:val="0"/>
          <w:numId w:val="1004"/>
        </w:numPr>
      </w:pPr>
      <w:r>
        <w:rPr>
          <w:b/>
          <w:bCs/>
        </w:rPr>
        <w:t xml:space="preserve">Integration &amp; Testing:</w:t>
      </w:r>
      <w:r>
        <w:t xml:space="preserve"> </w:t>
      </w:r>
      <w:r>
        <w:t xml:space="preserve">Once the module (data pipeline + ML engine + interface) is developed, we will integrate it with at least</w:t>
      </w:r>
      <w:r>
        <w:t xml:space="preserve"> </w:t>
      </w:r>
      <w:r>
        <w:rPr>
          <w:b/>
          <w:bCs/>
        </w:rPr>
        <w:t xml:space="preserve">two real-world systems</w:t>
      </w:r>
      <w:r>
        <w:t xml:space="preserve">. One will be a church-based NDPP delivery platform (for example, if our church partners use a particular app for tracking NDPP classes, we will integrate with that via its API). The second integration could be with a clinic’s patient portal or a widely used lifestyle intervention platform that has agreed to pilot with us. These integrations will test the</w:t>
      </w:r>
      <w:r>
        <w:t xml:space="preserve"> </w:t>
      </w:r>
      <w:r>
        <w:rPr>
          <w:b/>
          <w:bCs/>
        </w:rPr>
        <w:t xml:space="preserve">interoperability</w:t>
      </w:r>
      <w:r>
        <w:t xml:space="preserve"> </w:t>
      </w:r>
      <w:r>
        <w:t xml:space="preserve">of our SDK/API. We will run the module in these environments for an extended test period to ensure reliability. We set strict performance goals:</w:t>
      </w:r>
      <w:r>
        <w:t xml:space="preserve"> </w:t>
      </w:r>
      <w:r>
        <w:rPr>
          <w:b/>
          <w:bCs/>
        </w:rPr>
        <w:t xml:space="preserve">median API response latency ≤500 ms</w:t>
      </w:r>
      <w:r>
        <w:t xml:space="preserve"> </w:t>
      </w:r>
      <w:r>
        <w:t xml:space="preserve">and</w:t>
      </w:r>
      <w:r>
        <w:t xml:space="preserve"> </w:t>
      </w:r>
      <w:r>
        <w:rPr>
          <w:b/>
          <w:bCs/>
        </w:rPr>
        <w:t xml:space="preserve">≥99.9% uptime</w:t>
      </w:r>
      <w:r>
        <w:t xml:space="preserve"> </w:t>
      </w:r>
      <w:r>
        <w:t xml:space="preserve">over 30 consecutive days in a test environment</w:t>
      </w:r>
      <w:hyperlink r:id="rId60">
        <w:r>
          <w:rPr>
            <w:rStyle w:val="Hyperlink"/>
          </w:rPr>
          <w:t xml:space="preserve">[40]</w:t>
        </w:r>
      </w:hyperlink>
      <w:r>
        <w:t xml:space="preserve">. We will use automated monitoring to log downtime and latency during this period. We will also conduct security and privacy reviews in collaboration with the partner IT departments – evaluating data encryption, authentication, and compliance with HIPAA. Any identified vulnerabilities will be fixed, and the final package will include a security report.</w:t>
      </w:r>
      <w:r>
        <w:t xml:space="preserve"> </w:t>
      </w:r>
      <w:r>
        <w:rPr>
          <w:i/>
          <w:iCs/>
        </w:rPr>
        <w:t xml:space="preserve">Milestones:</w:t>
      </w:r>
      <w:r>
        <w:t xml:space="preserve"> </w:t>
      </w:r>
      <w:r>
        <w:t xml:space="preserve">Successful data exchange in two live integration settings (confirmed by end-to-end tests), and meeting or exceeding the latency/uptime targets in a continuous monitoring period</w:t>
      </w:r>
      <w:hyperlink r:id="rId60">
        <w:r>
          <w:rPr>
            <w:rStyle w:val="Hyperlink"/>
          </w:rPr>
          <w:t xml:space="preserve">[40]</w:t>
        </w:r>
      </w:hyperlink>
      <w:r>
        <w:t xml:space="preserve">. Additionally, passing a</w:t>
      </w:r>
      <w:r>
        <w:t xml:space="preserve"> </w:t>
      </w:r>
      <w:r>
        <w:rPr>
          <w:b/>
          <w:bCs/>
        </w:rPr>
        <w:t xml:space="preserve">partner security review</w:t>
      </w:r>
      <w:r>
        <w:t xml:space="preserve"> </w:t>
      </w:r>
      <w:r>
        <w:t xml:space="preserve">(e.g. meeting an FQHC’s IT requirements) and delivering an</w:t>
      </w:r>
      <w:r>
        <w:t xml:space="preserve"> </w:t>
      </w:r>
      <w:r>
        <w:rPr>
          <w:b/>
          <w:bCs/>
        </w:rPr>
        <w:t xml:space="preserve">Implementer’s Guide v1.0</w:t>
      </w:r>
      <w:r>
        <w:t xml:space="preserve"> </w:t>
      </w:r>
      <w:r>
        <w:t xml:space="preserve">that documents how to deploy the module, data flows, user roles, and a DPRP reporting checklist</w:t>
      </w:r>
      <w:hyperlink r:id="rId61">
        <w:r>
          <w:rPr>
            <w:rStyle w:val="Hyperlink"/>
          </w:rPr>
          <w:t xml:space="preserve">[41]</w:t>
        </w:r>
      </w:hyperlink>
      <w:r>
        <w:t xml:space="preserve">.</w:t>
      </w:r>
    </w:p>
    <w:p>
      <w:pPr>
        <w:pStyle w:val="FirstParagraph"/>
      </w:pPr>
      <w:r>
        <w:t xml:space="preserve">Collectively, Aim 1 produces a</w:t>
      </w:r>
      <w:r>
        <w:t xml:space="preserve"> </w:t>
      </w:r>
      <w:r>
        <w:rPr>
          <w:b/>
          <w:bCs/>
        </w:rPr>
        <w:t xml:space="preserve">fully functional, validated prototype</w:t>
      </w:r>
      <w:r>
        <w:t xml:space="preserve"> </w:t>
      </w:r>
      <w:r>
        <w:t xml:space="preserve">of the implementation module. By the end of Aim 1, we will have a deployable SDK/API, with evidence of technical performance and safety, ready to be evaluated in practice through Aim 2.</w:t>
      </w:r>
    </w:p>
    <w:bookmarkEnd w:id="62"/>
    <w:bookmarkStart w:id="74" w:name="X7d81d85cf36d454079534cda04bda4308f7d512"/>
    <w:p>
      <w:pPr>
        <w:pStyle w:val="Heading3"/>
      </w:pPr>
      <w:r>
        <w:t xml:space="preserve">Aim 2: Demonstrate Implementation Value via a Hybrid Type 2 Evaluation with a Pragmatic Cluster-Randomized Trial</w:t>
      </w:r>
    </w:p>
    <w:p>
      <w:pPr>
        <w:pStyle w:val="FirstParagraph"/>
      </w:pPr>
      <w:r>
        <w:rPr>
          <w:b/>
          <w:bCs/>
        </w:rPr>
        <w:t xml:space="preserve">Study Design:</w:t>
      </w:r>
      <w:r>
        <w:t xml:space="preserve"> </w:t>
      </w:r>
      <w:r>
        <w:t xml:space="preserve">We will embed a pragmatic trial within real-world program delivery to evaluate the module’s impact. Our design is a</w:t>
      </w:r>
      <w:r>
        <w:t xml:space="preserve"> </w:t>
      </w:r>
      <w:r>
        <w:rPr>
          <w:b/>
          <w:bCs/>
        </w:rPr>
        <w:t xml:space="preserve">cluster-randomized trial</w:t>
      </w:r>
      <w:r>
        <w:t xml:space="preserve">, where the unit of randomization is an</w:t>
      </w:r>
      <w:r>
        <w:t xml:space="preserve"> </w:t>
      </w:r>
      <w:r>
        <w:rPr>
          <w:b/>
          <w:bCs/>
        </w:rPr>
        <w:t xml:space="preserve">NDPP cohort within a site</w:t>
      </w:r>
      <w:r>
        <w:t xml:space="preserve"> </w:t>
      </w:r>
      <w:r>
        <w:t xml:space="preserve">(church network or clinic). We partner with</w:t>
      </w:r>
      <w:r>
        <w:t xml:space="preserve"> </w:t>
      </w:r>
      <w:r>
        <w:rPr>
          <w:b/>
          <w:bCs/>
        </w:rPr>
        <w:t xml:space="preserve">two church networks and one Federally Qualified Health Center (FQHC)</w:t>
      </w:r>
      <w:r>
        <w:t xml:space="preserve"> </w:t>
      </w:r>
      <w:r>
        <w:t xml:space="preserve">that collectively serve diverse Black communities (urban and rural) in the South. Over the Phase I project period, each site will start multiple NDPP class cohorts on a rolling basis.</w:t>
      </w:r>
      <w:r>
        <w:t xml:space="preserve"> </w:t>
      </w:r>
      <w:r>
        <w:rPr>
          <w:b/>
          <w:bCs/>
        </w:rPr>
        <w:t xml:space="preserve">We will randomize approximately 12 cohorts (total)</w:t>
      </w:r>
      <w:r>
        <w:t xml:space="preserve"> </w:t>
      </w:r>
      <w:r>
        <w:t xml:space="preserve">– ~4 cohorts per site, with 1:1 allocation to</w:t>
      </w:r>
      <w:r>
        <w:t xml:space="preserve"> </w:t>
      </w:r>
      <w:r>
        <w:rPr>
          <w:b/>
          <w:bCs/>
        </w:rPr>
        <w:t xml:space="preserve">Module-Enhanced NDPP (intervention)</w:t>
      </w:r>
      <w:r>
        <w:t xml:space="preserve"> </w:t>
      </w:r>
      <w:r>
        <w:t xml:space="preserve">or</w:t>
      </w:r>
      <w:r>
        <w:t xml:space="preserve"> </w:t>
      </w:r>
      <w:r>
        <w:rPr>
          <w:b/>
          <w:bCs/>
        </w:rPr>
        <w:t xml:space="preserve">Standard NDPP (control)</w:t>
      </w:r>
      <w:hyperlink r:id="rId46">
        <w:r>
          <w:rPr>
            <w:rStyle w:val="Hyperlink"/>
          </w:rPr>
          <w:t xml:space="preserve">[26]</w:t>
        </w:r>
      </w:hyperlink>
      <w:hyperlink r:id="rId63">
        <w:r>
          <w:rPr>
            <w:rStyle w:val="Hyperlink"/>
          </w:rPr>
          <w:t xml:space="preserve">[42]</w:t>
        </w:r>
      </w:hyperlink>
      <w:r>
        <w:t xml:space="preserve">. Randomization will be stratified by site and scheduled in waves as each new cohort begins, to ensure practical implementation (churches typically run a few NDPP classes per year on their own schedule). Each cohort will enroll about</w:t>
      </w:r>
      <w:r>
        <w:t xml:space="preserve"> </w:t>
      </w:r>
      <w:r>
        <w:rPr>
          <w:b/>
          <w:bCs/>
        </w:rPr>
        <w:t xml:space="preserve">15–20 participants</w:t>
      </w:r>
      <w:r>
        <w:t xml:space="preserve">, yielding an estimated</w:t>
      </w:r>
      <w:r>
        <w:t xml:space="preserve"> </w:t>
      </w:r>
      <w:r>
        <w:rPr>
          <w:b/>
          <w:bCs/>
        </w:rPr>
        <w:t xml:space="preserve">N=180-200 individuals</w:t>
      </w:r>
      <w:r>
        <w:t xml:space="preserve"> </w:t>
      </w:r>
      <w:r>
        <w:t xml:space="preserve">(with ~90-100 in module arm, ~90-100 in control arm). This sample size is achievable given our networks (each church network can recruit from multiple congregations, and the FQHC will recruit patients) and is powered for key outcomes (discussed below).</w:t>
      </w:r>
    </w:p>
    <w:p>
      <w:pPr>
        <w:pStyle w:val="BodyText"/>
      </w:pPr>
      <w:r>
        <w:t xml:space="preserve">All participants meet standard</w:t>
      </w:r>
      <w:r>
        <w:t xml:space="preserve"> </w:t>
      </w:r>
      <w:r>
        <w:rPr>
          <w:b/>
          <w:bCs/>
        </w:rPr>
        <w:t xml:space="preserve">NDPP eligibility</w:t>
      </w:r>
      <w:r>
        <w:t xml:space="preserve"> </w:t>
      </w:r>
      <w:r>
        <w:t xml:space="preserve">(e.g. prediabetes by blood test or qualifying risk score).</w:t>
      </w:r>
      <w:r>
        <w:t xml:space="preserve"> </w:t>
      </w:r>
      <w:r>
        <w:rPr>
          <w:b/>
          <w:bCs/>
        </w:rPr>
        <w:t xml:space="preserve">Importantly, no individual is denied an intervention</w:t>
      </w:r>
      <w:r>
        <w:t xml:space="preserve"> </w:t>
      </w:r>
      <w:r>
        <w:t xml:space="preserve">– control group participants still get the full NDPP, just without our module’s extra features. This ensures ethical equipoise and community acceptability. Both arms will be delivered by the</w:t>
      </w:r>
      <w:r>
        <w:t xml:space="preserve"> </w:t>
      </w:r>
      <w:r>
        <w:rPr>
          <w:b/>
          <w:bCs/>
        </w:rPr>
        <w:t xml:space="preserve">usual facilitators/coaches</w:t>
      </w:r>
      <w:r>
        <w:t xml:space="preserve"> </w:t>
      </w:r>
      <w:r>
        <w:t xml:space="preserve">at each site (church lay health leaders or FQHC diabetes educators) to maximize real-world relevance. Coaches at intervention cohorts will receive a brief training on how to use the module (interpreting the guidance dashboard, etc.), but otherwise will conduct NDPP classes as normal. We will instruct coaches not to deviate from NDPP core curriculum in either arm; the module is meant to assist</w:t>
      </w:r>
      <w:r>
        <w:t xml:space="preserve"> </w:t>
      </w:r>
      <w:r>
        <w:rPr>
          <w:i/>
          <w:iCs/>
        </w:rPr>
        <w:t xml:space="preserve">between</w:t>
      </w:r>
      <w:r>
        <w:t xml:space="preserve"> </w:t>
      </w:r>
      <w:r>
        <w:t xml:space="preserve">sessions (e.g., prompting outreach if someone is struggling), not to replace any NDPP content.</w:t>
      </w:r>
    </w:p>
    <w:p>
      <w:pPr>
        <w:pStyle w:val="BodyText"/>
      </w:pPr>
      <w:r>
        <w:rPr>
          <w:b/>
          <w:bCs/>
        </w:rPr>
        <w:t xml:space="preserve">Outcomes and Measurements:</w:t>
      </w:r>
      <w:r>
        <w:t xml:space="preserve"> </w:t>
      </w:r>
      <w:r>
        <w:t xml:space="preserve">Given our focus on implementation, our</w:t>
      </w:r>
      <w:r>
        <w:t xml:space="preserve"> </w:t>
      </w:r>
      <w:r>
        <w:rPr>
          <w:b/>
          <w:bCs/>
        </w:rPr>
        <w:t xml:space="preserve">primary endpoints</w:t>
      </w:r>
      <w:r>
        <w:t xml:space="preserve"> </w:t>
      </w:r>
      <w:r>
        <w:t xml:space="preserve">are five key</w:t>
      </w:r>
      <w:r>
        <w:t xml:space="preserve"> </w:t>
      </w:r>
      <w:r>
        <w:rPr>
          <w:b/>
          <w:bCs/>
        </w:rPr>
        <w:t xml:space="preserve">implementation outcomes</w:t>
      </w:r>
      <w:r>
        <w:t xml:space="preserve"> </w:t>
      </w:r>
      <w:r>
        <w:t xml:space="preserve">based on the RE-AIM framework and implementation science literature</w:t>
      </w:r>
      <w:hyperlink r:id="rId64">
        <w:r>
          <w:rPr>
            <w:rStyle w:val="Hyperlink"/>
          </w:rPr>
          <w:t xml:space="preserve">[43]</w:t>
        </w:r>
      </w:hyperlink>
      <w:hyperlink r:id="rId49">
        <w:r>
          <w:rPr>
            <w:rStyle w:val="Hyperlink"/>
          </w:rPr>
          <w:t xml:space="preserve">[28]</w:t>
        </w:r>
      </w:hyperlink>
      <w:r>
        <w:t xml:space="preserve">:</w:t>
      </w:r>
    </w:p>
    <w:p>
      <w:pPr>
        <w:pStyle w:val="Compact"/>
        <w:numPr>
          <w:ilvl w:val="0"/>
          <w:numId w:val="1005"/>
        </w:numPr>
      </w:pPr>
      <w:r>
        <w:rPr>
          <w:b/>
          <w:bCs/>
        </w:rPr>
        <w:t xml:space="preserve">Reach:</w:t>
      </w:r>
      <w:r>
        <w:t xml:space="preserve"> </w:t>
      </w:r>
      <w:r>
        <w:t xml:space="preserve">The proportion of eligible individuals who enroll in NDPP.</w:t>
      </w:r>
      <w:r>
        <w:t xml:space="preserve"> </w:t>
      </w:r>
      <w:r>
        <w:rPr>
          <w:i/>
          <w:iCs/>
        </w:rPr>
        <w:t xml:space="preserve">Operationalization:</w:t>
      </w:r>
      <w:r>
        <w:t xml:space="preserve"> </w:t>
      </w:r>
      <w:r>
        <w:t xml:space="preserve">Each site will maintain a log of how many people are referred or invited vs. how many actually start the program. We hypothesize the module will improve reach by lowering barriers (e.g. more enthusiasm due to tech engagement, or better recruitment using wearable incentives).</w:t>
      </w:r>
    </w:p>
    <w:p>
      <w:pPr>
        <w:pStyle w:val="Compact"/>
        <w:numPr>
          <w:ilvl w:val="0"/>
          <w:numId w:val="1005"/>
        </w:numPr>
      </w:pPr>
      <w:r>
        <w:rPr>
          <w:b/>
          <w:bCs/>
        </w:rPr>
        <w:t xml:space="preserve">Adoption:</w:t>
      </w:r>
      <w:r>
        <w:t xml:space="preserve"> </w:t>
      </w:r>
      <w:r>
        <w:t xml:space="preserve">The uptake of the module at the organization level.</w:t>
      </w:r>
      <w:r>
        <w:t xml:space="preserve"> </w:t>
      </w:r>
      <w:r>
        <w:rPr>
          <w:i/>
          <w:iCs/>
        </w:rPr>
        <w:t xml:space="preserve">Operationalization:</w:t>
      </w:r>
      <w:r>
        <w:t xml:space="preserve"> </w:t>
      </w:r>
      <w:r>
        <w:t xml:space="preserve">Since sites are actively partnering, we expect 100% of our partner sites to attempt using the module. We will document what fraction of</w:t>
      </w:r>
      <w:r>
        <w:t xml:space="preserve"> </w:t>
      </w:r>
      <w:r>
        <w:rPr>
          <w:i/>
          <w:iCs/>
        </w:rPr>
        <w:t xml:space="preserve">individual congregations</w:t>
      </w:r>
      <w:r>
        <w:t xml:space="preserve"> </w:t>
      </w:r>
      <w:r>
        <w:t xml:space="preserve">within the church networks choose to participate, and whether facilitators consistently use the module tools. Essentially, adoption will be measured as the number of cohorts/sites that successfully implement the module out of those offered. We also consider continued use as part of adoption (see Maintenance).</w:t>
      </w:r>
    </w:p>
    <w:p>
      <w:pPr>
        <w:pStyle w:val="Compact"/>
        <w:numPr>
          <w:ilvl w:val="0"/>
          <w:numId w:val="1005"/>
        </w:numPr>
      </w:pPr>
      <w:r>
        <w:rPr>
          <w:b/>
          <w:bCs/>
        </w:rPr>
        <w:t xml:space="preserve">Fidelity:</w:t>
      </w:r>
      <w:r>
        <w:t xml:space="preserve"> </w:t>
      </w:r>
      <w:r>
        <w:t xml:space="preserve">The degree to which the core elements of NDPP are delivered as intended</w:t>
      </w:r>
      <w:r>
        <w:t xml:space="preserve"> </w:t>
      </w:r>
      <w:r>
        <w:rPr>
          <w:i/>
          <w:iCs/>
        </w:rPr>
        <w:t xml:space="preserve">and</w:t>
      </w:r>
      <w:r>
        <w:t xml:space="preserve"> </w:t>
      </w:r>
      <w:r>
        <w:t xml:space="preserve">the module’s tools are used properly.</w:t>
      </w:r>
      <w:r>
        <w:t xml:space="preserve"> </w:t>
      </w:r>
      <w:r>
        <w:rPr>
          <w:i/>
          <w:iCs/>
        </w:rPr>
        <w:t xml:space="preserve">Operationalization:</w:t>
      </w:r>
      <w:r>
        <w:t xml:space="preserve"> </w:t>
      </w:r>
      <w:r>
        <w:t xml:space="preserve">We will use the CDC DPRP standards to check fidelity (e.g. did participants attend the minimum 9 sessions, was the curriculum covered?). We’ll compare intervention vs. control for any difference in NDPP delivery (our goal is no dilution of fidelity in either arm). Additionally, in intervention cohorts we’ll measure fidelity to the</w:t>
      </w:r>
      <w:r>
        <w:t xml:space="preserve"> </w:t>
      </w:r>
      <w:r>
        <w:rPr>
          <w:i/>
          <w:iCs/>
        </w:rPr>
        <w:t xml:space="preserve">module</w:t>
      </w:r>
      <w:r>
        <w:t xml:space="preserve"> </w:t>
      </w:r>
      <w:r>
        <w:t xml:space="preserve">usage: e.g., proportion of weeks coaches actually check the module dashboard, proportion of module-generated alerts that get a response. High module fidelity indicates feasibility. We will ensure that</w:t>
      </w:r>
      <w:r>
        <w:t xml:space="preserve"> </w:t>
      </w:r>
      <w:r>
        <w:rPr>
          <w:b/>
          <w:bCs/>
        </w:rPr>
        <w:t xml:space="preserve">fidelity remains above DPRP thresholds</w:t>
      </w:r>
      <w:r>
        <w:t xml:space="preserve"> </w:t>
      </w:r>
      <w:r>
        <w:t xml:space="preserve">in both arms as a success criterion</w:t>
      </w:r>
      <w:hyperlink r:id="rId65">
        <w:r>
          <w:rPr>
            <w:rStyle w:val="Hyperlink"/>
          </w:rPr>
          <w:t xml:space="preserve">[44]</w:t>
        </w:r>
      </w:hyperlink>
      <w:r>
        <w:t xml:space="preserve">.</w:t>
      </w:r>
    </w:p>
    <w:p>
      <w:pPr>
        <w:pStyle w:val="Compact"/>
        <w:numPr>
          <w:ilvl w:val="0"/>
          <w:numId w:val="1005"/>
        </w:numPr>
      </w:pPr>
      <w:r>
        <w:rPr>
          <w:b/>
          <w:bCs/>
        </w:rPr>
        <w:t xml:space="preserve">Implementation Cost:</w:t>
      </w:r>
      <w:r>
        <w:t xml:space="preserve"> </w:t>
      </w:r>
      <w:r>
        <w:t xml:space="preserve">The resources required to deliver NDPP under each condition.</w:t>
      </w:r>
      <w:r>
        <w:t xml:space="preserve"> </w:t>
      </w:r>
      <w:r>
        <w:rPr>
          <w:i/>
          <w:iCs/>
        </w:rPr>
        <w:t xml:space="preserve">Operationalization:</w:t>
      </w:r>
      <w:r>
        <w:t xml:space="preserve"> </w:t>
      </w:r>
      <w:r>
        <w:t xml:space="preserve">We will perform detailed micro-costing (overlapping with Aim 3) – tracking staff hours (coach and support staff time per participant), volunteer time, equipment costs (wearables provided or BYOD support), etc. We’ll compute the average cost per participant and per cohort for intervention vs. control. We expect a</w:t>
      </w:r>
      <w:r>
        <w:t xml:space="preserve"> </w:t>
      </w:r>
      <w:r>
        <w:rPr>
          <w:b/>
          <w:bCs/>
        </w:rPr>
        <w:t xml:space="preserve">reduction in coach burden</w:t>
      </w:r>
      <w:r>
        <w:t xml:space="preserve"> </w:t>
      </w:r>
      <w:r>
        <w:t xml:space="preserve">(time spent per participant) in the intervention arm due to automation, which should translate to lower implementation cost. For example, we will compare the number of “touchpoints” (manual contacts or log reviews) coaches perform – we target at least a 25–40% reduction with the module</w:t>
      </w:r>
      <w:hyperlink r:id="rId66">
        <w:r>
          <w:rPr>
            <w:rStyle w:val="Hyperlink"/>
          </w:rPr>
          <w:t xml:space="preserve">[45]</w:t>
        </w:r>
      </w:hyperlink>
      <w:r>
        <w:t xml:space="preserve">. These cost data will feed into Aim 3 analyses.</w:t>
      </w:r>
    </w:p>
    <w:p>
      <w:pPr>
        <w:pStyle w:val="Compact"/>
        <w:numPr>
          <w:ilvl w:val="0"/>
          <w:numId w:val="1005"/>
        </w:numPr>
      </w:pPr>
      <w:r>
        <w:rPr>
          <w:b/>
          <w:bCs/>
        </w:rPr>
        <w:t xml:space="preserve">Maintenance:</w:t>
      </w:r>
      <w:r>
        <w:t xml:space="preserve"> </w:t>
      </w:r>
      <w:r>
        <w:t xml:space="preserve">The likelihood of sustained program use after the study.</w:t>
      </w:r>
      <w:r>
        <w:t xml:space="preserve"> </w:t>
      </w:r>
      <w:r>
        <w:rPr>
          <w:i/>
          <w:iCs/>
        </w:rPr>
        <w:t xml:space="preserve">Operationalization:</w:t>
      </w:r>
      <w:r>
        <w:t xml:space="preserve"> </w:t>
      </w:r>
      <w:r>
        <w:t xml:space="preserve">A key indicator will be whether each site initiates</w:t>
      </w:r>
      <w:r>
        <w:t xml:space="preserve"> </w:t>
      </w:r>
      <w:r>
        <w:rPr>
          <w:b/>
          <w:bCs/>
        </w:rPr>
        <w:t xml:space="preserve">a new NDPP cohort on its own within 6–12 months after their first cohort completes</w:t>
      </w:r>
      <w:r>
        <w:t xml:space="preserve"> </w:t>
      </w:r>
      <w:r>
        <w:t xml:space="preserve">(for churches, this might mean starting another class the next year; for the FQHC, continuing offering new classes)</w:t>
      </w:r>
      <w:hyperlink r:id="rId67">
        <w:r>
          <w:rPr>
            <w:rStyle w:val="Hyperlink"/>
          </w:rPr>
          <w:t xml:space="preserve">[46]</w:t>
        </w:r>
      </w:hyperlink>
      <w:r>
        <w:t xml:space="preserve">. We will track this as a yes/no per site by the project end. We anticipate that sites with the module will be</w:t>
      </w:r>
      <w:r>
        <w:t xml:space="preserve"> </w:t>
      </w:r>
      <w:r>
        <w:rPr>
          <w:i/>
          <w:iCs/>
        </w:rPr>
        <w:t xml:space="preserve">more willing</w:t>
      </w:r>
      <w:r>
        <w:t xml:space="preserve"> </w:t>
      </w:r>
      <w:r>
        <w:t xml:space="preserve">to continue (due to positive experience), but even one site continuing would meet our Phase I goal of demonstrating maintenance potential</w:t>
      </w:r>
      <w:hyperlink r:id="rId67">
        <w:r>
          <w:rPr>
            <w:rStyle w:val="Hyperlink"/>
          </w:rPr>
          <w:t xml:space="preserve">[47]</w:t>
        </w:r>
      </w:hyperlink>
      <w:r>
        <w:t xml:space="preserve">. We will also gather qualitative feedback on sites’ intent to continue and what resources would be needed.</w:t>
      </w:r>
    </w:p>
    <w:p>
      <w:pPr>
        <w:pStyle w:val="FirstParagraph"/>
      </w:pPr>
      <w:r>
        <w:t xml:space="preserve">Our</w:t>
      </w:r>
      <w:r>
        <w:t xml:space="preserve"> </w:t>
      </w:r>
      <w:r>
        <w:rPr>
          <w:b/>
          <w:bCs/>
        </w:rPr>
        <w:t xml:space="preserve">secondary outcomes</w:t>
      </w:r>
      <w:r>
        <w:t xml:space="preserve"> </w:t>
      </w:r>
      <w:r>
        <w:t xml:space="preserve">are</w:t>
      </w:r>
      <w:r>
        <w:t xml:space="preserve"> </w:t>
      </w:r>
      <w:r>
        <w:rPr>
          <w:b/>
          <w:bCs/>
        </w:rPr>
        <w:t xml:space="preserve">pragmatic health and behavioral outcomes</w:t>
      </w:r>
      <w:r>
        <w:t xml:space="preserve"> </w:t>
      </w:r>
      <w:r>
        <w:t xml:space="preserve">to ensure the module doesn’t compromise (and ideally improves) NDPP effectiveness:</w:t>
      </w:r>
    </w:p>
    <w:p>
      <w:pPr>
        <w:pStyle w:val="Compact"/>
        <w:numPr>
          <w:ilvl w:val="0"/>
          <w:numId w:val="1006"/>
        </w:numPr>
      </w:pPr>
      <w:r>
        <w:rPr>
          <w:b/>
          <w:bCs/>
        </w:rPr>
        <w:t xml:space="preserve">6-month Completion Rate:</w:t>
      </w:r>
      <w:r>
        <w:t xml:space="preserve"> </w:t>
      </w:r>
      <w:r>
        <w:t xml:space="preserve">The percentage of participants who attend at least 9 of the 16 core sessions in 6 months (the CDC DPRP interim completion metric). This is a critical program success indicator. Baseline completion in such community settings is ~45-50%</w:t>
      </w:r>
      <w:hyperlink r:id="rId63">
        <w:r>
          <w:rPr>
            <w:rStyle w:val="Hyperlink"/>
          </w:rPr>
          <w:t xml:space="preserve">[42]</w:t>
        </w:r>
      </w:hyperlink>
      <w:r>
        <w:t xml:space="preserve">. We aim to improve this by ≥10 percentage points with the module, by engaging participants more consistently (through personalized nudges and reduced burden)</w:t>
      </w:r>
      <w:hyperlink r:id="rId66">
        <w:r>
          <w:rPr>
            <w:rStyle w:val="Hyperlink"/>
          </w:rPr>
          <w:t xml:space="preserve">[45]</w:t>
        </w:r>
      </w:hyperlink>
      <w:r>
        <w:t xml:space="preserve">.</w:t>
      </w:r>
    </w:p>
    <w:p>
      <w:pPr>
        <w:pStyle w:val="Compact"/>
        <w:numPr>
          <w:ilvl w:val="0"/>
          <w:numId w:val="1006"/>
        </w:numPr>
      </w:pPr>
      <w:r>
        <w:rPr>
          <w:b/>
          <w:bCs/>
        </w:rPr>
        <w:t xml:space="preserve">Weight Change:</w:t>
      </w:r>
      <w:r>
        <w:t xml:space="preserve"> </w:t>
      </w:r>
      <w:r>
        <w:t xml:space="preserve">Mean percent body weight change at 6 months. Weight loss is the primary mechanism by which NDPP prevents diabetes. We will record weight at baseline and 6 months for all participants (weights are taken at each session as per NDPP protocol). While Phase I isn’t powered for small weight differences, we will check if the intervention arm trends better (hypothesizing that ALI-guided coaching could lead to slightly greater weight loss or at least no detriment compared to control). Achieving a ≥5% weight loss in a higher fraction of participants in the module arm would be an encouraging sign.</w:t>
      </w:r>
    </w:p>
    <w:p>
      <w:pPr>
        <w:pStyle w:val="Compact"/>
        <w:numPr>
          <w:ilvl w:val="0"/>
          <w:numId w:val="1006"/>
        </w:numPr>
      </w:pPr>
      <w:r>
        <w:rPr>
          <w:b/>
          <w:bCs/>
        </w:rPr>
        <w:t xml:space="preserve">HbA1c (Glycemic Control):</w:t>
      </w:r>
      <w:r>
        <w:t xml:space="preserve"> </w:t>
      </w:r>
      <w:r>
        <w:t xml:space="preserve">For any participants who have recent hemoglobin A1c lab values available (the FQHC can provide these from medical records; churches may encourage participants to get tested), we will note changes over 6-12 months. We do</w:t>
      </w:r>
      <w:r>
        <w:t xml:space="preserve"> </w:t>
      </w:r>
      <w:r>
        <w:rPr>
          <w:b/>
          <w:bCs/>
        </w:rPr>
        <w:t xml:space="preserve">not expect significant A1c differences in Phase I</w:t>
      </w:r>
      <w:r>
        <w:t xml:space="preserve"> </w:t>
      </w:r>
      <w:r>
        <w:t xml:space="preserve">due to limited sample and timeframe, but tracking this provides context for clinical impact. We emphasize to reviewers that the trial is</w:t>
      </w:r>
      <w:r>
        <w:t xml:space="preserve"> </w:t>
      </w:r>
      <w:r>
        <w:rPr>
          <w:b/>
          <w:bCs/>
        </w:rPr>
        <w:t xml:space="preserve">not claiming definitive clinical efficacy</w:t>
      </w:r>
      <w:r>
        <w:t xml:space="preserve"> </w:t>
      </w:r>
      <w:r>
        <w:t xml:space="preserve">– rather, we look at weight and A1c in a hypothesis-generating way to ensure no harm and potential benefit</w:t>
      </w:r>
      <w:hyperlink r:id="rId68">
        <w:r>
          <w:rPr>
            <w:rStyle w:val="Hyperlink"/>
          </w:rPr>
          <w:t xml:space="preserve">[48]</w:t>
        </w:r>
      </w:hyperlink>
      <w:r>
        <w:t xml:space="preserve">.</w:t>
      </w:r>
    </w:p>
    <w:p>
      <w:pPr>
        <w:pStyle w:val="FirstParagraph"/>
      </w:pPr>
      <w:r>
        <w:rPr>
          <w:b/>
          <w:bCs/>
        </w:rPr>
        <w:t xml:space="preserve">Analytic Plan:</w:t>
      </w:r>
      <w:r>
        <w:t xml:space="preserve"> </w:t>
      </w:r>
      <w:r>
        <w:t xml:space="preserve">For quantitative outcomes, we will use intention-to-treat analysis at the cohort level. Our primary analysis will be a</w:t>
      </w:r>
      <w:r>
        <w:t xml:space="preserve"> </w:t>
      </w:r>
      <w:r>
        <w:rPr>
          <w:b/>
          <w:bCs/>
        </w:rPr>
        <w:t xml:space="preserve">mixed-effects regression</w:t>
      </w:r>
      <w:r>
        <w:t xml:space="preserve"> </w:t>
      </w:r>
      <w:r>
        <w:t xml:space="preserve">for each outcome (linear or logistic depending on the measure) with a fixed effect for intervention vs. control and random effects to account for clustering by site (and cohort nested in site, if needed)</w:t>
      </w:r>
      <w:hyperlink r:id="rId68">
        <w:r>
          <w:rPr>
            <w:rStyle w:val="Hyperlink"/>
          </w:rPr>
          <w:t xml:space="preserve">[48]</w:t>
        </w:r>
      </w:hyperlink>
      <w:r>
        <w:t xml:space="preserve">. This will properly adjust for the non-independence of participants within cohorts. We will include pre-specified covariates such as participant age, sex, and baseline BMI (and possibly baseline ALI if available) to improve precision. For reach and adoption (which are more site-level or cohort-level metrics), we will primarily use descriptive statistics and compare proportions via generalized linear mixed models or Fisher’s exact test as appropriate, given the small number of clusters. We will calculate</w:t>
      </w:r>
      <w:r>
        <w:t xml:space="preserve"> </w:t>
      </w:r>
      <w:r>
        <w:rPr>
          <w:b/>
          <w:bCs/>
        </w:rPr>
        <w:t xml:space="preserve">between-arm differences with 95% confidence intervals</w:t>
      </w:r>
      <w:r>
        <w:t xml:space="preserve">; one of our go/no-go criteria is seeing a ≥10 percentage-point improvement in reach or completion with confidence intervals excluding zero</w:t>
      </w:r>
      <w:hyperlink r:id="rId69">
        <w:r>
          <w:rPr>
            <w:rStyle w:val="Hyperlink"/>
          </w:rPr>
          <w:t xml:space="preserve">[49]</w:t>
        </w:r>
      </w:hyperlink>
      <w:hyperlink r:id="rId65">
        <w:r>
          <w:rPr>
            <w:rStyle w:val="Hyperlink"/>
          </w:rPr>
          <w:t xml:space="preserve">[44]</w:t>
        </w:r>
      </w:hyperlink>
      <w:r>
        <w:t xml:space="preserve">. While Phase I is not large, our power calculation (below) suggests we can detect meaningful effects. We will also conduct subgroup analyses (exploratory) to see if outcomes differ by sex or site type (church vs clinic), although we expect the intervention benefit to be broadly similar.</w:t>
      </w:r>
    </w:p>
    <w:p>
      <w:pPr>
        <w:pStyle w:val="BodyText"/>
      </w:pPr>
      <w:r>
        <w:rPr>
          <w:b/>
          <w:bCs/>
        </w:rPr>
        <w:t xml:space="preserve">Sample Size and Power:</w:t>
      </w:r>
      <w:r>
        <w:t xml:space="preserve"> </w:t>
      </w:r>
      <w:r>
        <w:t xml:space="preserve">With 12 clusters (~6 per arm) and ~15 participants per cluster on average, our effective sample for analysis of participant-level outcomes is ~180. Accounting for clustering (intraclass correlation ~0.03 based on similar church-based interventions), we have ~80% power to detect an</w:t>
      </w:r>
      <w:r>
        <w:t xml:space="preserve"> </w:t>
      </w:r>
      <w:r>
        <w:rPr>
          <w:b/>
          <w:bCs/>
        </w:rPr>
        <w:t xml:space="preserve">absolute difference of ~12-15% in 6-month completion rates</w:t>
      </w:r>
      <w:r>
        <w:t xml:space="preserve"> </w:t>
      </w:r>
      <w:r>
        <w:t xml:space="preserve">between arms at alpha 0.05</w:t>
      </w:r>
      <w:hyperlink r:id="rId63">
        <w:r>
          <w:rPr>
            <w:rStyle w:val="Hyperlink"/>
          </w:rPr>
          <w:t xml:space="preserve">[42]</w:t>
        </w:r>
      </w:hyperlink>
      <w:r>
        <w:t xml:space="preserve">. This corresponds to improving completion from ~50% to ~62-65%, which stakeholders consider significant. Similarly, for reach (enrollment rates), if control reach is ~50%, we can detect a ~10% increase (to ~60%) with ~80% power. For continuous outcomes like weight loss, we are only powered to see a fairly large effect (on the order of 3-4 percentage points difference in weight loss), which we do not anticipate in Phase I. Thus weight and A1c analyses will be descriptive. The trial will be listed on ClinicalTrials.gov and run under a</w:t>
      </w:r>
      <w:r>
        <w:t xml:space="preserve"> </w:t>
      </w:r>
      <w:r>
        <w:rPr>
          <w:b/>
          <w:bCs/>
        </w:rPr>
        <w:t xml:space="preserve">single IRB</w:t>
      </w:r>
      <w:r>
        <w:t xml:space="preserve"> </w:t>
      </w:r>
      <w:r>
        <w:t xml:space="preserve">to streamline oversight across sites</w:t>
      </w:r>
      <w:hyperlink r:id="rId50">
        <w:r>
          <w:rPr>
            <w:rStyle w:val="Hyperlink"/>
          </w:rPr>
          <w:t xml:space="preserve">[29]</w:t>
        </w:r>
      </w:hyperlink>
      <w:r>
        <w:t xml:space="preserve">. A tailored Data and Safety Monitoring Plan (DSMP) will be in place – given the minimal risks, the PI and an independent expert advisor (see below) will conduct periodic reviews of any adverse events, protocol adherence, and data quality.</w:t>
      </w:r>
    </w:p>
    <w:p>
      <w:pPr>
        <w:pStyle w:val="BodyText"/>
      </w:pPr>
      <w:r>
        <w:rPr>
          <w:b/>
          <w:bCs/>
        </w:rPr>
        <w:t xml:space="preserve">Qualitative Evaluation:</w:t>
      </w:r>
      <w:r>
        <w:t xml:space="preserve"> </w:t>
      </w:r>
      <w:r>
        <w:t xml:space="preserve">To complement quantitative results, we will perform a</w:t>
      </w:r>
      <w:r>
        <w:t xml:space="preserve"> </w:t>
      </w:r>
      <w:r>
        <w:rPr>
          <w:b/>
          <w:bCs/>
        </w:rPr>
        <w:t xml:space="preserve">process evaluation using CFIR (Consolidated Framework for Implementation Research)</w:t>
      </w:r>
      <w:hyperlink r:id="rId70">
        <w:r>
          <w:rPr>
            <w:rStyle w:val="Hyperlink"/>
          </w:rPr>
          <w:t xml:space="preserve">[50]</w:t>
        </w:r>
      </w:hyperlink>
      <w:hyperlink r:id="rId71">
        <w:r>
          <w:rPr>
            <w:rStyle w:val="Hyperlink"/>
          </w:rPr>
          <w:t xml:space="preserve">[51]</w:t>
        </w:r>
      </w:hyperlink>
      <w:r>
        <w:t xml:space="preserve">. We will purposively sample ~15-20 stakeholders for interviews, including: NDPP coaches/facilitators in both arms, church pastors or health ministry leaders, a sample of participants from intervention cohorts (to gather user feedback on the module), and organizational decision-makers (e.g. a network director or the FQHC’s program manager). Interviews will occur near trial end, using a semi-structured guide mapping to CFIR domains: characteristics of the intervention (e.g. ease of use of module), outer setting (community needs, church context), inner setting (organizational readiness, leadership support), characteristics of individuals (participant engagement, tech comfort), and process (training, execution, reflection). We will specifically probe why some sites or coaches used the module more than others, barriers encountered (e.g. technical issues, skepticism), and suggestions for improvement. Interviews will be recorded, transcribed, and coded using qualitative analysis software. We will employ a combined deductive (CFIR-driven codebook) and inductive approach to capture emergent themes. The analysis will identify which factors facilitated or hindered successful implementation and how they relate to the quantitative outcomes. For example, CFIR analysis may explain why one network achieved higher reach (perhaps due to better leadership engagement or fit of the module with their existing workflow). These insights will guide refinements to our module and implementation strategy for Phase II. The integration of qualitative and quantitative (a mixed-methods Hybrid design) strengthens our evaluation considerably, allowing us to not only</w:t>
      </w:r>
      <w:r>
        <w:t xml:space="preserve"> </w:t>
      </w:r>
      <w:r>
        <w:rPr>
          <w:b/>
          <w:bCs/>
        </w:rPr>
        <w:t xml:space="preserve">measure outcomes</w:t>
      </w:r>
      <w:r>
        <w:t xml:space="preserve"> </w:t>
      </w:r>
      <w:r>
        <w:t xml:space="preserve">but</w:t>
      </w:r>
      <w:r>
        <w:t xml:space="preserve"> </w:t>
      </w:r>
      <w:r>
        <w:rPr>
          <w:b/>
          <w:bCs/>
        </w:rPr>
        <w:t xml:space="preserve">understand the “why” behind them</w:t>
      </w:r>
      <w:r>
        <w:t xml:space="preserve">, which is critical for scaling in diverse settings</w:t>
      </w:r>
      <w:hyperlink r:id="rId70">
        <w:r>
          <w:rPr>
            <w:rStyle w:val="Hyperlink"/>
          </w:rPr>
          <w:t xml:space="preserve">[50]</w:t>
        </w:r>
      </w:hyperlink>
      <w:r>
        <w:t xml:space="preserve">.</w:t>
      </w:r>
    </w:p>
    <w:p>
      <w:pPr>
        <w:pStyle w:val="BodyText"/>
      </w:pPr>
      <w:r>
        <w:rPr>
          <w:b/>
          <w:bCs/>
        </w:rPr>
        <w:t xml:space="preserve">Retention and Inclusion Strategies:</w:t>
      </w:r>
      <w:r>
        <w:t xml:space="preserve"> </w:t>
      </w:r>
      <w:r>
        <w:t xml:space="preserve">Recognizing known challenges in community-based trials, we have built in supports to maximize participant retention and diversity. We will offer</w:t>
      </w:r>
      <w:r>
        <w:t xml:space="preserve"> </w:t>
      </w:r>
      <w:r>
        <w:rPr>
          <w:b/>
          <w:bCs/>
        </w:rPr>
        <w:t xml:space="preserve">transportation assistance and childcare stipends</w:t>
      </w:r>
      <w:r>
        <w:t xml:space="preserve"> </w:t>
      </w:r>
      <w:r>
        <w:t xml:space="preserve">to participants who need them (budget permitting) to attend sessions – directly addressing common barriers to NDPP attendance</w:t>
      </w:r>
      <w:hyperlink r:id="rId26">
        <w:r>
          <w:rPr>
            <w:rStyle w:val="Hyperlink"/>
          </w:rPr>
          <w:t xml:space="preserve">[6]</w:t>
        </w:r>
      </w:hyperlink>
      <w:r>
        <w:t xml:space="preserve">. We will also provide technical support for those using wearables (e.g. help with device setup, data syncing) to minimize frustration. Regular engagement will be maintained via low-burden communications (text reminders, church bulletin announcements of class schedules). We will track recruitment and outcomes by sex, age, and rural vs urban residence</w:t>
      </w:r>
      <w:hyperlink r:id="rId72">
        <w:r>
          <w:rPr>
            <w:rStyle w:val="Hyperlink"/>
          </w:rPr>
          <w:t xml:space="preserve">[52]</w:t>
        </w:r>
      </w:hyperlink>
      <w:r>
        <w:t xml:space="preserve">. In particular, we will make extra efforts to recruit</w:t>
      </w:r>
      <w:r>
        <w:t xml:space="preserve"> </w:t>
      </w:r>
      <w:r>
        <w:rPr>
          <w:b/>
          <w:bCs/>
        </w:rPr>
        <w:t xml:space="preserve">Black men and younger adults</w:t>
      </w:r>
      <w:r>
        <w:t xml:space="preserve">, who are often underrepresented in such programs</w:t>
      </w:r>
      <w:hyperlink r:id="rId73">
        <w:r>
          <w:rPr>
            <w:rStyle w:val="Hyperlink"/>
          </w:rPr>
          <w:t xml:space="preserve">[53]</w:t>
        </w:r>
      </w:hyperlink>
      <w:r>
        <w:t xml:space="preserve">. This includes engaging male church leaders to champion the program and offering session times friendly to working adults (e.g. evenings, weekends</w:t>
      </w:r>
      <w:hyperlink r:id="rId73">
        <w:r>
          <w:rPr>
            <w:rStyle w:val="Hyperlink"/>
          </w:rPr>
          <w:t xml:space="preserve">[53]</w:t>
        </w:r>
      </w:hyperlink>
      <w:r>
        <w:t xml:space="preserve">). If we identify any group lagging in enrollment early on, we will adapt outreach (for instance, adjusting messaging or asking peers to do targeted invites). These measures aim for an inclusive sample that reflects the community’s diversity, enhancing the generalizability of our results.</w:t>
      </w:r>
    </w:p>
    <w:bookmarkEnd w:id="74"/>
    <w:bookmarkStart w:id="88" w:name="Xa605391c09cd342fa4e3199ac73ab8b29352faa"/>
    <w:p>
      <w:pPr>
        <w:pStyle w:val="Heading3"/>
      </w:pPr>
      <w:r>
        <w:t xml:space="preserve">Aim 3: Produce Payer-Facing Economic Evidence and a Turnkey Purchaser Kit to Enable Immediate Contracting and Scale</w:t>
      </w:r>
    </w:p>
    <w:p>
      <w:pPr>
        <w:pStyle w:val="FirstParagraph"/>
      </w:pPr>
      <w:r>
        <w:t xml:space="preserve">Even a highly effective intervention can fail to scale without a compelling business case and easy adoption path. Aim 3 ensures that by the end of Phase I, we have both the</w:t>
      </w:r>
      <w:r>
        <w:t xml:space="preserve"> </w:t>
      </w:r>
      <w:r>
        <w:rPr>
          <w:b/>
          <w:bCs/>
        </w:rPr>
        <w:t xml:space="preserve">economic data</w:t>
      </w:r>
      <w:r>
        <w:t xml:space="preserve"> </w:t>
      </w:r>
      <w:r>
        <w:t xml:space="preserve">and the</w:t>
      </w:r>
      <w:r>
        <w:t xml:space="preserve"> </w:t>
      </w:r>
      <w:r>
        <w:rPr>
          <w:b/>
          <w:bCs/>
        </w:rPr>
        <w:t xml:space="preserve">practical materials</w:t>
      </w:r>
      <w:r>
        <w:t xml:space="preserve"> </w:t>
      </w:r>
      <w:r>
        <w:t xml:space="preserve">to drive real-world uptake of our module.</w:t>
      </w:r>
    </w:p>
    <w:p>
      <w:pPr>
        <w:pStyle w:val="BodyText"/>
      </w:pPr>
      <w:r>
        <w:rPr>
          <w:b/>
          <w:bCs/>
        </w:rPr>
        <w:t xml:space="preserve">Micro-Costing and Cost-Effectiveness:</w:t>
      </w:r>
      <w:r>
        <w:t xml:space="preserve"> </w:t>
      </w:r>
      <w:r>
        <w:t xml:space="preserve">Throughout the trial (Aim 2), we will gather detailed cost data from each site, as outlined under Implementation Cost. Using established health economics methods</w:t>
      </w:r>
      <w:hyperlink r:id="rId75">
        <w:r>
          <w:rPr>
            <w:rStyle w:val="Hyperlink"/>
          </w:rPr>
          <w:t xml:space="preserve">[54]</w:t>
        </w:r>
      </w:hyperlink>
      <w:r>
        <w:t xml:space="preserve">, we will calculate: (a)</w:t>
      </w:r>
      <w:r>
        <w:t xml:space="preserve"> </w:t>
      </w:r>
      <w:r>
        <w:rPr>
          <w:b/>
          <w:bCs/>
        </w:rPr>
        <w:t xml:space="preserve">Cost per participant</w:t>
      </w:r>
      <w:r>
        <w:t xml:space="preserve"> </w:t>
      </w:r>
      <w:r>
        <w:t xml:space="preserve">in each arm (including fixed costs prorated and variable costs) and (b)</w:t>
      </w:r>
      <w:r>
        <w:t xml:space="preserve"> </w:t>
      </w:r>
      <w:r>
        <w:rPr>
          <w:b/>
          <w:bCs/>
        </w:rPr>
        <w:t xml:space="preserve">Cost per successful outcome</w:t>
      </w:r>
      <w:r>
        <w:t xml:space="preserve">. One meaningful outcome for NDPP is a participant achieving ≥5% weight loss by 6 months (since that is tied to diabetes risk reduction). We will compute the</w:t>
      </w:r>
      <w:r>
        <w:t xml:space="preserve"> </w:t>
      </w:r>
      <w:r>
        <w:rPr>
          <w:b/>
          <w:bCs/>
        </w:rPr>
        <w:t xml:space="preserve">incremental cost-effectiveness ratio (ICER)</w:t>
      </w:r>
      <w:r>
        <w:t xml:space="preserve"> </w:t>
      </w:r>
      <w:r>
        <w:t xml:space="preserve">of the module: e.g. the additional cost per additional 5%-weight-loss achiever, comparing module vs. control</w:t>
      </w:r>
      <w:hyperlink r:id="rId76">
        <w:r>
          <w:rPr>
            <w:rStyle w:val="Hyperlink"/>
          </w:rPr>
          <w:t xml:space="preserve">[55]</w:t>
        </w:r>
      </w:hyperlink>
      <w:r>
        <w:t xml:space="preserve">. If the module leads to more completions and weight loss, it may show a favorable ICER, potentially even cost savings if it substantially improves efficiency. We will also consider</w:t>
      </w:r>
      <w:r>
        <w:t xml:space="preserve"> </w:t>
      </w:r>
      <w:r>
        <w:rPr>
          <w:b/>
          <w:bCs/>
        </w:rPr>
        <w:t xml:space="preserve">quality-adjusted life year (QALY)</w:t>
      </w:r>
      <w:r>
        <w:t xml:space="preserve"> </w:t>
      </w:r>
      <w:r>
        <w:t xml:space="preserve">projections using known relationships (e.g. 5% weight loss translates to X reduction in diabetes incidence, which yields Y QALYs gained), although a full QALY analysis is beyond Phase I scope. Our goal is to demonstrate that the module is within a</w:t>
      </w:r>
      <w:r>
        <w:t xml:space="preserve"> </w:t>
      </w:r>
      <w:r>
        <w:rPr>
          <w:b/>
          <w:bCs/>
        </w:rPr>
        <w:t xml:space="preserve">payer-relevant willingness-to-pay threshold</w:t>
      </w:r>
      <w:r>
        <w:t xml:space="preserve"> </w:t>
      </w:r>
      <w:r>
        <w:t xml:space="preserve">for health outcomes – for instance, if the ICER is below ~$50,000 per QALY or if cost per additional successful participant is reasonable compared to the cost of diabetes care</w:t>
      </w:r>
      <w:hyperlink r:id="rId69">
        <w:r>
          <w:rPr>
            <w:rStyle w:val="Hyperlink"/>
          </w:rPr>
          <w:t xml:space="preserve">[49]</w:t>
        </w:r>
      </w:hyperlink>
      <w:r>
        <w:t xml:space="preserve">. A key milestone is that the ICER falls in a range acceptable to payers (or the module is cost-neutral or cost-saving in short term) to justify adoption</w:t>
      </w:r>
      <w:hyperlink r:id="rId69">
        <w:r>
          <w:rPr>
            <w:rStyle w:val="Hyperlink"/>
          </w:rPr>
          <w:t xml:space="preserve">[49]</w:t>
        </w:r>
      </w:hyperlink>
      <w:r>
        <w:t xml:space="preserve">.</w:t>
      </w:r>
    </w:p>
    <w:p>
      <w:pPr>
        <w:pStyle w:val="BodyText"/>
      </w:pPr>
      <w:r>
        <w:rPr>
          <w:b/>
          <w:bCs/>
        </w:rPr>
        <w:t xml:space="preserve">Budget Impact Analysis:</w:t>
      </w:r>
      <w:r>
        <w:t xml:space="preserve"> </w:t>
      </w:r>
      <w:r>
        <w:t xml:space="preserve">We will develop a 2-year</w:t>
      </w:r>
      <w:r>
        <w:t xml:space="preserve"> </w:t>
      </w:r>
      <w:r>
        <w:rPr>
          <w:b/>
          <w:bCs/>
        </w:rPr>
        <w:t xml:space="preserve">budget impact model</w:t>
      </w:r>
      <w:r>
        <w:t xml:space="preserve"> </w:t>
      </w:r>
      <w:r>
        <w:t xml:space="preserve">from two perspectives:</w:t>
      </w:r>
      <w:r>
        <w:t xml:space="preserve"> </w:t>
      </w:r>
      <w:r>
        <w:rPr>
          <w:b/>
          <w:bCs/>
        </w:rPr>
        <w:t xml:space="preserve">(1) a representative Medicaid health plan</w:t>
      </w:r>
      <w:r>
        <w:t xml:space="preserve">, and</w:t>
      </w:r>
      <w:r>
        <w:t xml:space="preserve"> </w:t>
      </w:r>
      <w:r>
        <w:rPr>
          <w:b/>
          <w:bCs/>
        </w:rPr>
        <w:t xml:space="preserve">(2) an MDPP provider organization (e.g., a large church network or healthcare system)</w:t>
      </w:r>
      <w:hyperlink r:id="rId76">
        <w:r>
          <w:rPr>
            <w:rStyle w:val="Hyperlink"/>
          </w:rPr>
          <w:t xml:space="preserve">[55]</w:t>
        </w:r>
      </w:hyperlink>
      <w:r>
        <w:t xml:space="preserve">. Using data from our trial (on reach, completion, and costs) and literature (on medical cost offsets of diabetes prevention), we will simulate scenarios of implementing the module at scale. For the Medicaid scenario, we estimate how many members would be eligible and enroll if the program is rolled out (focusing on African American populations in the region), and project the costs of the program versus healthcare savings from diabetes cases prevented. For the MDPP supplier scenario, we take the viewpoint of an organization delivering NDPP and getting reimbursed by Medicare: we’ll assess how the module might improve their financial sustainability (e.g. by increasing completion rates, they get more outcome payments from Medicare, and by reducing staff time, they lower expenses). Our model will test a range of adoption levels (percentage of eligible sites adopting, participant uptake) and see under what conditions the module yields</w:t>
      </w:r>
      <w:r>
        <w:t xml:space="preserve"> </w:t>
      </w:r>
      <w:r>
        <w:rPr>
          <w:b/>
          <w:bCs/>
        </w:rPr>
        <w:t xml:space="preserve">neutral or positive budget impact</w:t>
      </w:r>
      <w:r>
        <w:t xml:space="preserve"> </w:t>
      </w:r>
      <w:r>
        <w:t xml:space="preserve">within 2 years</w:t>
      </w:r>
      <w:hyperlink r:id="rId77">
        <w:r>
          <w:rPr>
            <w:rStyle w:val="Hyperlink"/>
          </w:rPr>
          <w:t xml:space="preserve">[56]</w:t>
        </w:r>
      </w:hyperlink>
      <w:r>
        <w:t xml:space="preserve">.</w:t>
      </w:r>
      <w:r>
        <w:t xml:space="preserve"> </w:t>
      </w:r>
      <w:r>
        <w:rPr>
          <w:i/>
          <w:iCs/>
        </w:rPr>
        <w:t xml:space="preserve">Milestone:</w:t>
      </w:r>
      <w:r>
        <w:t xml:space="preserve"> </w:t>
      </w:r>
      <w:r>
        <w:t xml:space="preserve">Show at least one realistic scenario where implementing the module is</w:t>
      </w:r>
      <w:r>
        <w:t xml:space="preserve"> </w:t>
      </w:r>
      <w:r>
        <w:rPr>
          <w:b/>
          <w:bCs/>
        </w:rPr>
        <w:t xml:space="preserve">budget-neutral or saves money</w:t>
      </w:r>
      <w:r>
        <w:t xml:space="preserve"> </w:t>
      </w:r>
      <w:r>
        <w:t xml:space="preserve">over two years for a payer or provider</w:t>
      </w:r>
      <w:hyperlink r:id="rId77">
        <w:r>
          <w:rPr>
            <w:rStyle w:val="Hyperlink"/>
          </w:rPr>
          <w:t xml:space="preserve">[56]</w:t>
        </w:r>
      </w:hyperlink>
      <w:r>
        <w:t xml:space="preserve">. For example, if our trial suggests +10% completion and modest weight loss gains, does that reduction in diabetes incidence pay back the program cost? We will identify break-even points (e.g. if at least 50 participants use the module, the cost is offset by avoided diabetes cases). These analyses will be packaged in an accessible way (graphs, one-page summaries) for non-technical stakeholders.</w:t>
      </w:r>
    </w:p>
    <w:p>
      <w:pPr>
        <w:pStyle w:val="BodyText"/>
      </w:pPr>
      <w:r>
        <w:rPr>
          <w:b/>
          <w:bCs/>
        </w:rPr>
        <w:t xml:space="preserve">Pricing and Business Model Validation:</w:t>
      </w:r>
      <w:r>
        <w:t xml:space="preserve"> </w:t>
      </w:r>
      <w:r>
        <w:t xml:space="preserve">As a small business, we need a viable revenue model that also ensures the product’s affordability (per RFA guidelines). We propose a</w:t>
      </w:r>
      <w:r>
        <w:t xml:space="preserve"> </w:t>
      </w:r>
      <w:r>
        <w:rPr>
          <w:b/>
          <w:bCs/>
        </w:rPr>
        <w:t xml:space="preserve">hybrid pricing model</w:t>
      </w:r>
      <w:r>
        <w:t xml:space="preserve"> </w:t>
      </w:r>
      <w:r>
        <w:t xml:space="preserve">– a mix of per-member-per-month (PMPM) fees and per-cohort or site license fees</w:t>
      </w:r>
      <w:hyperlink r:id="rId45">
        <w:r>
          <w:rPr>
            <w:rStyle w:val="Hyperlink"/>
          </w:rPr>
          <w:t xml:space="preserve">[25]</w:t>
        </w:r>
      </w:hyperlink>
      <w:r>
        <w:t xml:space="preserve">. For example, a church could pay a small fee per participant enrolled (PMPM) plus a flat fee per NDPP cohort to use the module, whereas a larger healthcare system might opt for an enterprise license. During Phase I, we will conduct at least</w:t>
      </w:r>
      <w:r>
        <w:t xml:space="preserve"> </w:t>
      </w:r>
      <w:r>
        <w:rPr>
          <w:b/>
          <w:bCs/>
        </w:rPr>
        <w:t xml:space="preserve">10 structured interviews with potential customers and payers</w:t>
      </w:r>
      <w:r>
        <w:t xml:space="preserve"> </w:t>
      </w:r>
      <w:r>
        <w:t xml:space="preserve">(distinct from our trial sites, to get broader market input). This will include: one or more NDPP</w:t>
      </w:r>
      <w:r>
        <w:t xml:space="preserve"> </w:t>
      </w:r>
      <w:r>
        <w:rPr>
          <w:b/>
          <w:bCs/>
        </w:rPr>
        <w:t xml:space="preserve">technology vendors</w:t>
      </w:r>
      <w:r>
        <w:t xml:space="preserve"> </w:t>
      </w:r>
      <w:r>
        <w:t xml:space="preserve">(who might integrate our SDK into their product), leaders from at least one</w:t>
      </w:r>
      <w:r>
        <w:t xml:space="preserve"> </w:t>
      </w:r>
      <w:r>
        <w:rPr>
          <w:b/>
          <w:bCs/>
        </w:rPr>
        <w:t xml:space="preserve">denominational church network</w:t>
      </w:r>
      <w:r>
        <w:t xml:space="preserve"> </w:t>
      </w:r>
      <w:r>
        <w:t xml:space="preserve">beyond our trial (to gauge willingness to pay and deployment support needed), an FQHC or community health center administrator, and a representative from a</w:t>
      </w:r>
      <w:r>
        <w:t xml:space="preserve"> </w:t>
      </w:r>
      <w:r>
        <w:rPr>
          <w:b/>
          <w:bCs/>
        </w:rPr>
        <w:t xml:space="preserve">Medicaid managed care organization</w:t>
      </w:r>
      <w:r>
        <w:t xml:space="preserve"> </w:t>
      </w:r>
      <w:r>
        <w:t xml:space="preserve">or insurer covering our population. We will present them with our value proposition and draft pricing ideas to solicit feedback. This</w:t>
      </w:r>
      <w:r>
        <w:t xml:space="preserve"> </w:t>
      </w:r>
      <w:r>
        <w:rPr>
          <w:b/>
          <w:bCs/>
        </w:rPr>
        <w:t xml:space="preserve">customer discovery</w:t>
      </w:r>
      <w:r>
        <w:t xml:space="preserve"> </w:t>
      </w:r>
      <w:r>
        <w:t xml:space="preserve">process, following NSF I-Corps style methodology, will allow us to refine our pricing strategy (e.g., do payers prefer outcomes-based payments? do community orgs prefer flat fees to budget easily?). We will also explore interest in alternate revenue streams, such as corporate wellness sponsorships or grant subsidies, if raised by stakeholders. The outcome will be a Phase II commercialization plan that is grounded in real market feedback. We expect by the end of Phase I to have letters of interest from at least a</w:t>
      </w:r>
      <w:r>
        <w:t xml:space="preserve"> </w:t>
      </w:r>
      <w:r>
        <w:rPr>
          <w:b/>
          <w:bCs/>
        </w:rPr>
        <w:t xml:space="preserve">payer, a vendor, a church network, and an FQHC</w:t>
      </w:r>
      <w:r>
        <w:t xml:space="preserve"> </w:t>
      </w:r>
      <w:r>
        <w:t xml:space="preserve">as mentioned, which will include preliminary discussions of pricing models that they find acceptable</w:t>
      </w:r>
      <w:hyperlink r:id="rId78">
        <w:r>
          <w:rPr>
            <w:rStyle w:val="Hyperlink"/>
          </w:rPr>
          <w:t xml:space="preserve">[57]</w:t>
        </w:r>
      </w:hyperlink>
      <w:r>
        <w:t xml:space="preserve">.</w:t>
      </w:r>
    </w:p>
    <w:p>
      <w:pPr>
        <w:pStyle w:val="BodyText"/>
      </w:pPr>
      <w:r>
        <w:rPr>
          <w:b/>
          <w:bCs/>
        </w:rPr>
        <w:t xml:space="preserve">Turnkey Purchaser Kit:</w:t>
      </w:r>
      <w:r>
        <w:t xml:space="preserve"> </w:t>
      </w:r>
      <w:r>
        <w:t xml:space="preserve">To accelerate uptake, we will compile all deliverables into a</w:t>
      </w:r>
      <w:r>
        <w:t xml:space="preserve"> </w:t>
      </w:r>
      <w:r>
        <w:rPr>
          <w:b/>
          <w:bCs/>
        </w:rPr>
        <w:t xml:space="preserve">“plug-and-play” kit for adopters</w:t>
      </w:r>
      <w:r>
        <w:t xml:space="preserve">. This kit will be provided to our Phase II partners and early customers. It includes:</w:t>
      </w:r>
    </w:p>
    <w:p>
      <w:pPr>
        <w:pStyle w:val="Compact"/>
        <w:numPr>
          <w:ilvl w:val="0"/>
          <w:numId w:val="1007"/>
        </w:numPr>
      </w:pPr>
      <w:r>
        <w:rPr>
          <w:b/>
          <w:bCs/>
        </w:rPr>
        <w:t xml:space="preserve">Technical Integration Guide:</w:t>
      </w:r>
      <w:r>
        <w:t xml:space="preserve"> </w:t>
      </w:r>
      <w:r>
        <w:t xml:space="preserve">Documentation for IT teams on how to plug the SDK/API into their system, with example code and security protocols.</w:t>
      </w:r>
    </w:p>
    <w:p>
      <w:pPr>
        <w:pStyle w:val="Compact"/>
        <w:numPr>
          <w:ilvl w:val="0"/>
          <w:numId w:val="1007"/>
        </w:numPr>
      </w:pPr>
      <w:r>
        <w:rPr>
          <w:b/>
          <w:bCs/>
        </w:rPr>
        <w:t xml:space="preserve">DPRP Reporting Template:</w:t>
      </w:r>
      <w:r>
        <w:t xml:space="preserve"> </w:t>
      </w:r>
      <w:r>
        <w:t xml:space="preserve">An export function within the module (and instructions) to generate the required CSV/XLSX for CDC DPRP submissions</w:t>
      </w:r>
      <w:hyperlink r:id="rId36">
        <w:r>
          <w:rPr>
            <w:rStyle w:val="Hyperlink"/>
          </w:rPr>
          <w:t xml:space="preserve">[16]</w:t>
        </w:r>
      </w:hyperlink>
      <w:r>
        <w:t xml:space="preserve">, simplifying data reporting for recognition – a major pain point for new programs.</w:t>
      </w:r>
    </w:p>
    <w:p>
      <w:pPr>
        <w:pStyle w:val="Compact"/>
        <w:numPr>
          <w:ilvl w:val="0"/>
          <w:numId w:val="1007"/>
        </w:numPr>
      </w:pPr>
      <w:r>
        <w:rPr>
          <w:b/>
          <w:bCs/>
        </w:rPr>
        <w:t xml:space="preserve">MDPP Onboarding Packet:</w:t>
      </w:r>
      <w:r>
        <w:t xml:space="preserve"> </w:t>
      </w:r>
      <w:r>
        <w:t xml:space="preserve">A set of materials to help an organization enroll as a Medicare DPP supplier (if not already). We will include template curriculum vitae and organizational descriptions needed for MDPP applications, instructions on Medicare billing for NDPP, and how our module aligns with MDPP guidelines (so they can justify it to CMS if needed, using data from our trial).</w:t>
      </w:r>
    </w:p>
    <w:p>
      <w:pPr>
        <w:pStyle w:val="Compact"/>
        <w:numPr>
          <w:ilvl w:val="0"/>
          <w:numId w:val="1007"/>
        </w:numPr>
      </w:pPr>
      <w:r>
        <w:rPr>
          <w:b/>
          <w:bCs/>
        </w:rPr>
        <w:t xml:space="preserve">Data Governance &amp; Compliance Resources:</w:t>
      </w:r>
      <w:r>
        <w:t xml:space="preserve"> </w:t>
      </w:r>
      <w:r>
        <w:t xml:space="preserve">Copies of our</w:t>
      </w:r>
      <w:r>
        <w:t xml:space="preserve"> </w:t>
      </w:r>
      <w:r>
        <w:rPr>
          <w:b/>
          <w:bCs/>
        </w:rPr>
        <w:t xml:space="preserve">HIPAA-compliant security overview</w:t>
      </w:r>
      <w:r>
        <w:t xml:space="preserve">, a template Business Associate Agreement (BAA) for engaging with us as a tech vendor</w:t>
      </w:r>
      <w:hyperlink r:id="rId79">
        <w:r>
          <w:rPr>
            <w:rStyle w:val="Hyperlink"/>
          </w:rPr>
          <w:t xml:space="preserve">[58]</w:t>
        </w:r>
      </w:hyperlink>
      <w:r>
        <w:t xml:space="preserve">, and a church-specific data use agreement that outlines data ownership and sharing (we drafted this with input from church leaders during our R21). We also provide an</w:t>
      </w:r>
      <w:r>
        <w:t xml:space="preserve"> </w:t>
      </w:r>
      <w:r>
        <w:rPr>
          <w:b/>
          <w:bCs/>
        </w:rPr>
        <w:t xml:space="preserve">audit log</w:t>
      </w:r>
      <w:r>
        <w:t xml:space="preserve"> </w:t>
      </w:r>
      <w:r>
        <w:t xml:space="preserve">example and model transparency report (so organizations can respond to any participant or auditor questions about how decisions were made by the module).</w:t>
      </w:r>
    </w:p>
    <w:p>
      <w:pPr>
        <w:pStyle w:val="Compact"/>
        <w:numPr>
          <w:ilvl w:val="0"/>
          <w:numId w:val="1007"/>
        </w:numPr>
      </w:pPr>
      <w:r>
        <w:rPr>
          <w:b/>
          <w:bCs/>
        </w:rPr>
        <w:t xml:space="preserve">Contract Templates:</w:t>
      </w:r>
      <w:r>
        <w:t xml:space="preserve"> </w:t>
      </w:r>
      <w:r>
        <w:t xml:space="preserve">A sample contract or Memorandum of Understanding that an implementing organization can use to fast-track an agreement with us or other providers. It will cover roles/responsibilities, cost structure, data privacy, and termination clauses. By providing this, small churches or clinics without legal departments can more easily formalize adoption.</w:t>
      </w:r>
    </w:p>
    <w:p>
      <w:pPr>
        <w:pStyle w:val="Compact"/>
        <w:numPr>
          <w:ilvl w:val="0"/>
          <w:numId w:val="1007"/>
        </w:numPr>
      </w:pPr>
      <w:r>
        <w:rPr>
          <w:b/>
          <w:bCs/>
        </w:rPr>
        <w:t xml:space="preserve">Training and Support Plan:</w:t>
      </w:r>
      <w:r>
        <w:t xml:space="preserve"> </w:t>
      </w:r>
      <w:r>
        <w:t xml:space="preserve">Outline of the training required for coaches (which is minimal, but we provide a short module user guide) and the tech support we offer. This manages expectations on both sides and helps purchasers plan for any staff development needed.</w:t>
      </w:r>
    </w:p>
    <w:p>
      <w:pPr>
        <w:pStyle w:val="FirstParagraph"/>
      </w:pPr>
      <w:r>
        <w:t xml:space="preserve">By making the</w:t>
      </w:r>
      <w:r>
        <w:t xml:space="preserve"> </w:t>
      </w:r>
      <w:r>
        <w:rPr>
          <w:b/>
          <w:bCs/>
        </w:rPr>
        <w:t xml:space="preserve">implementation as turnkey as possible</w:t>
      </w:r>
      <w:r>
        <w:t xml:space="preserve">, we lower the threshold for organizations to say “yes” to trying the innovation. This strategy directly addresses the RFA’s call for solutions that can be adopted in resource-limited settings – we give them the</w:t>
      </w:r>
      <w:r>
        <w:t xml:space="preserve"> </w:t>
      </w:r>
      <w:r>
        <w:rPr>
          <w:b/>
          <w:bCs/>
        </w:rPr>
        <w:t xml:space="preserve">tools and evidence</w:t>
      </w:r>
      <w:r>
        <w:t xml:space="preserve"> </w:t>
      </w:r>
      <w:r>
        <w:t xml:space="preserve">needed to proceed confidently.</w:t>
      </w:r>
    </w:p>
    <w:p>
      <w:pPr>
        <w:pStyle w:val="BodyText"/>
      </w:pPr>
      <w:r>
        <w:rPr>
          <w:b/>
          <w:bCs/>
        </w:rPr>
        <w:t xml:space="preserve">Phase I Milestones &amp; Future Directions:</w:t>
      </w:r>
      <w:r>
        <w:t xml:space="preserve"> </w:t>
      </w:r>
      <w:r>
        <w:t xml:space="preserve">We have set clear, quantitative milestones for Phase I that will be used as go/no-go criteria for proceeding to Phase II. These include technical benchmarks (latency, uptime, calibration) from Aim 1, improvement thresholds for Reach or completion (≥10% improvement with CI not crossing 0) and burden reduction (≥25-40% less coach time) from Aim 2</w:t>
      </w:r>
      <w:hyperlink r:id="rId66">
        <w:r>
          <w:rPr>
            <w:rStyle w:val="Hyperlink"/>
          </w:rPr>
          <w:t xml:space="preserve">[45]</w:t>
        </w:r>
      </w:hyperlink>
      <w:r>
        <w:t xml:space="preserve">, and economic viability metrics (ICER within acceptable range, budget impact not adverse) plus stakeholder commitments from Aim 3</w:t>
      </w:r>
      <w:hyperlink r:id="rId69">
        <w:r>
          <w:rPr>
            <w:rStyle w:val="Hyperlink"/>
          </w:rPr>
          <w:t xml:space="preserve">[59]</w:t>
        </w:r>
      </w:hyperlink>
      <w:r>
        <w:t xml:space="preserve">. Hitting these milestones will indicate that our approach is not only</w:t>
      </w:r>
      <w:r>
        <w:t xml:space="preserve"> </w:t>
      </w:r>
      <w:r>
        <w:rPr>
          <w:b/>
          <w:bCs/>
        </w:rPr>
        <w:t xml:space="preserve">feasible</w:t>
      </w:r>
      <w:r>
        <w:t xml:space="preserve"> </w:t>
      </w:r>
      <w:r>
        <w:t xml:space="preserve">but</w:t>
      </w:r>
      <w:r>
        <w:t xml:space="preserve"> </w:t>
      </w:r>
      <w:r>
        <w:rPr>
          <w:b/>
          <w:bCs/>
        </w:rPr>
        <w:t xml:space="preserve">effective and desired</w:t>
      </w:r>
      <w:r>
        <w:t xml:space="preserve"> </w:t>
      </w:r>
      <w:r>
        <w:t xml:space="preserve">in the real world.</w:t>
      </w:r>
    </w:p>
    <w:p>
      <w:pPr>
        <w:pStyle w:val="BodyText"/>
      </w:pPr>
      <w:r>
        <w:t xml:space="preserve">Upon completion of Phase I, we anticipate a strong case for Phase II funding. In Phase II, we would scale up to a larger trial (e.g., more church networks in other regions), incorporate any improvements identified (perhaps additional language translations or integration with more wearables), and actively prepare for commercialization (regulatory clearances if needed, manufacturing of any physical kits, etc.). By delivering a</w:t>
      </w:r>
      <w:r>
        <w:t xml:space="preserve"> </w:t>
      </w:r>
      <w:r>
        <w:rPr>
          <w:b/>
          <w:bCs/>
        </w:rPr>
        <w:t xml:space="preserve">hardened integration module, a small but adequately powered pragmatic evaluation focused on RE-AIM outcomes, and payer-ready economic data in formats stakeholders recognize</w:t>
      </w:r>
      <w:r>
        <w:t xml:space="preserve">, this Phase I will lay the groundwork for rapid expansion</w:t>
      </w:r>
      <w:hyperlink r:id="rId80">
        <w:r>
          <w:rPr>
            <w:rStyle w:val="Hyperlink"/>
          </w:rPr>
          <w:t xml:space="preserve">[60]</w:t>
        </w:r>
      </w:hyperlink>
      <w:r>
        <w:t xml:space="preserve">. Our team’s composition bridges academia, industry, and community: the small business leads the tech development and commercialization, while experts like</w:t>
      </w:r>
      <w:r>
        <w:t xml:space="preserve"> </w:t>
      </w:r>
      <w:r>
        <w:rPr>
          <w:b/>
          <w:bCs/>
        </w:rPr>
        <w:t xml:space="preserve">Dr. Shameka Powell (Tufts University)</w:t>
      </w:r>
      <w:r>
        <w:t xml:space="preserve"> </w:t>
      </w:r>
      <w:r>
        <w:t xml:space="preserve">serve as</w:t>
      </w:r>
      <w:r>
        <w:t xml:space="preserve"> </w:t>
      </w:r>
      <w:r>
        <w:rPr>
          <w:b/>
          <w:bCs/>
        </w:rPr>
        <w:t xml:space="preserve">expert advisors</w:t>
      </w:r>
      <w:r>
        <w:t xml:space="preserve"> </w:t>
      </w:r>
      <w:r>
        <w:t xml:space="preserve">to ensure scientific rigor, cultural competence, and health equity remain at the forefront. Dr. Powell, an implementation science and community health specialist, will advise on study execution and dissemination, and she will be part of our Data Safety/Monitoring advisory process. With this multidisciplinary, stakeholder-engaged approach, we aim to deliver an SBIR Phase I project that not only meets the</w:t>
      </w:r>
      <w:r>
        <w:t xml:space="preserve"> </w:t>
      </w:r>
      <w:r>
        <w:rPr>
          <w:b/>
          <w:bCs/>
        </w:rPr>
        <w:t xml:space="preserve">innovative technology</w:t>
      </w:r>
      <w:r>
        <w:t xml:space="preserve"> </w:t>
      </w:r>
      <w:r>
        <w:t xml:space="preserve">mandate of RFA-MD-24-006, but also genuinely advances the mission of</w:t>
      </w:r>
      <w:r>
        <w:t xml:space="preserve"> </w:t>
      </w:r>
      <w:r>
        <w:rPr>
          <w:b/>
          <w:bCs/>
        </w:rPr>
        <w:t xml:space="preserve">improving minority health and reducing disparities</w:t>
      </w:r>
      <w:r>
        <w:t xml:space="preserve"> </w:t>
      </w:r>
      <w:r>
        <w:t xml:space="preserve">in a tangible, sustainable way</w:t>
      </w:r>
      <w:hyperlink r:id="rId81">
        <w:r>
          <w:rPr>
            <w:rStyle w:val="Hyperlink"/>
          </w:rPr>
          <w:t xml:space="preserve">[61]</w:t>
        </w:r>
      </w:hyperlink>
      <w:r>
        <w:t xml:space="preserve">.</w:t>
      </w:r>
    </w:p>
    <w:p>
      <w:pPr>
        <w:pStyle w:val="BodyText"/>
      </w:pPr>
      <w:r>
        <w:rPr>
          <w:b/>
          <w:bCs/>
        </w:rPr>
        <w:t xml:space="preserve">References Cited</w:t>
      </w:r>
    </w:p>
    <w:p>
      <w:pPr>
        <w:pStyle w:val="Compact"/>
        <w:numPr>
          <w:ilvl w:val="0"/>
          <w:numId w:val="1008"/>
        </w:numPr>
      </w:pPr>
      <w:r>
        <w:t xml:space="preserve">Knowler W.C.</w:t>
      </w:r>
      <w:r>
        <w:t xml:space="preserve"> </w:t>
      </w:r>
      <w:r>
        <w:rPr>
          <w:i/>
          <w:iCs/>
        </w:rPr>
        <w:t xml:space="preserve">et al.</w:t>
      </w:r>
      <w:r>
        <w:t xml:space="preserve"> </w:t>
      </w:r>
      <w:r>
        <w:t xml:space="preserve">(2002). Reduction in the incidence of type 2 diabetes with lifestyle intervention or metformin.</w:t>
      </w:r>
      <w:r>
        <w:t xml:space="preserve"> </w:t>
      </w:r>
      <w:r>
        <w:rPr>
          <w:i/>
          <w:iCs/>
        </w:rPr>
        <w:t xml:space="preserve">N Engl J Med</w:t>
      </w:r>
      <w:r>
        <w:t xml:space="preserve">,</w:t>
      </w:r>
      <w:r>
        <w:t xml:space="preserve"> </w:t>
      </w:r>
      <w:r>
        <w:rPr>
          <w:b/>
          <w:bCs/>
        </w:rPr>
        <w:t xml:space="preserve">346</w:t>
      </w:r>
      <w:r>
        <w:t xml:space="preserve">(6):393–403</w:t>
      </w:r>
      <w:hyperlink r:id="rId82">
        <w:r>
          <w:rPr>
            <w:rStyle w:val="Hyperlink"/>
          </w:rPr>
          <w:t xml:space="preserve">[62]</w:t>
        </w:r>
      </w:hyperlink>
      <w:hyperlink r:id="rId22">
        <w:r>
          <w:rPr>
            <w:rStyle w:val="Hyperlink"/>
          </w:rPr>
          <w:t xml:space="preserve">[2]</w:t>
        </w:r>
      </w:hyperlink>
      <w:r>
        <w:t xml:space="preserve">.</w:t>
      </w:r>
    </w:p>
    <w:p>
      <w:pPr>
        <w:pStyle w:val="Compact"/>
        <w:numPr>
          <w:ilvl w:val="0"/>
          <w:numId w:val="1008"/>
        </w:numPr>
      </w:pPr>
      <w:r>
        <w:t xml:space="preserve">CDC (2021).</w:t>
      </w:r>
      <w:r>
        <w:t xml:space="preserve"> </w:t>
      </w:r>
      <w:r>
        <w:rPr>
          <w:i/>
          <w:iCs/>
        </w:rPr>
        <w:t xml:space="preserve">Diabetes Prevention Recognition Program Standards and Operating Procedures</w:t>
      </w:r>
      <w:hyperlink r:id="rId23">
        <w:r>
          <w:rPr>
            <w:rStyle w:val="Hyperlink"/>
          </w:rPr>
          <w:t xml:space="preserve">[63]</w:t>
        </w:r>
      </w:hyperlink>
      <w:r>
        <w:t xml:space="preserve">.</w:t>
      </w:r>
    </w:p>
    <w:p>
      <w:pPr>
        <w:pStyle w:val="Compact"/>
        <w:numPr>
          <w:ilvl w:val="0"/>
          <w:numId w:val="1008"/>
        </w:numPr>
      </w:pPr>
      <w:r>
        <w:t xml:space="preserve">Glasgow R.E.</w:t>
      </w:r>
      <w:r>
        <w:t xml:space="preserve"> </w:t>
      </w:r>
      <w:r>
        <w:rPr>
          <w:i/>
          <w:iCs/>
        </w:rPr>
        <w:t xml:space="preserve">et al.</w:t>
      </w:r>
      <w:r>
        <w:t xml:space="preserve"> </w:t>
      </w:r>
      <w:r>
        <w:t xml:space="preserve">(1999). Evaluating the public health impact of health promotion interventions: the RE-AIM framework.</w:t>
      </w:r>
      <w:r>
        <w:t xml:space="preserve"> </w:t>
      </w:r>
      <w:r>
        <w:rPr>
          <w:i/>
          <w:iCs/>
        </w:rPr>
        <w:t xml:space="preserve">Am J Public Health</w:t>
      </w:r>
      <w:r>
        <w:t xml:space="preserve">,</w:t>
      </w:r>
      <w:r>
        <w:t xml:space="preserve"> </w:t>
      </w:r>
      <w:r>
        <w:rPr>
          <w:b/>
          <w:bCs/>
        </w:rPr>
        <w:t xml:space="preserve">89</w:t>
      </w:r>
      <w:r>
        <w:t xml:space="preserve">(9):1322–1327</w:t>
      </w:r>
      <w:hyperlink r:id="rId48">
        <w:r>
          <w:rPr>
            <w:rStyle w:val="Hyperlink"/>
          </w:rPr>
          <w:t xml:space="preserve">[64]</w:t>
        </w:r>
      </w:hyperlink>
      <w:r>
        <w:t xml:space="preserve">.</w:t>
      </w:r>
    </w:p>
    <w:p>
      <w:pPr>
        <w:pStyle w:val="Compact"/>
        <w:numPr>
          <w:ilvl w:val="0"/>
          <w:numId w:val="1008"/>
        </w:numPr>
      </w:pPr>
      <w:r>
        <w:t xml:space="preserve">Damschroder L.J.</w:t>
      </w:r>
      <w:r>
        <w:t xml:space="preserve"> </w:t>
      </w:r>
      <w:r>
        <w:rPr>
          <w:i/>
          <w:iCs/>
        </w:rPr>
        <w:t xml:space="preserve">et al.</w:t>
      </w:r>
      <w:r>
        <w:t xml:space="preserve"> </w:t>
      </w:r>
      <w:r>
        <w:t xml:space="preserve">(2009). Fostering implementation of health services research findings into practice: a consolidated framework for advancing implementation science.</w:t>
      </w:r>
      <w:r>
        <w:t xml:space="preserve"> </w:t>
      </w:r>
      <w:r>
        <w:rPr>
          <w:i/>
          <w:iCs/>
        </w:rPr>
        <w:t xml:space="preserve">Implement Sci</w:t>
      </w:r>
      <w:r>
        <w:t xml:space="preserve">,</w:t>
      </w:r>
      <w:r>
        <w:t xml:space="preserve"> </w:t>
      </w:r>
      <w:r>
        <w:rPr>
          <w:b/>
          <w:bCs/>
        </w:rPr>
        <w:t xml:space="preserve">4</w:t>
      </w:r>
      <w:r>
        <w:t xml:space="preserve">:50</w:t>
      </w:r>
      <w:hyperlink r:id="rId71">
        <w:r>
          <w:rPr>
            <w:rStyle w:val="Hyperlink"/>
          </w:rPr>
          <w:t xml:space="preserve">[51]</w:t>
        </w:r>
      </w:hyperlink>
      <w:r>
        <w:t xml:space="preserve">.</w:t>
      </w:r>
    </w:p>
    <w:p>
      <w:pPr>
        <w:pStyle w:val="Compact"/>
        <w:numPr>
          <w:ilvl w:val="0"/>
          <w:numId w:val="1008"/>
        </w:numPr>
      </w:pPr>
      <w:r>
        <w:t xml:space="preserve">Penfold R.B. &amp; Zhang F. (2013). Use of interrupted time series analysis in evaluating health care quality improvements.</w:t>
      </w:r>
      <w:r>
        <w:t xml:space="preserve"> </w:t>
      </w:r>
      <w:r>
        <w:rPr>
          <w:i/>
          <w:iCs/>
        </w:rPr>
        <w:t xml:space="preserve">BMJ Qual Saf</w:t>
      </w:r>
      <w:r>
        <w:t xml:space="preserve">,</w:t>
      </w:r>
      <w:r>
        <w:t xml:space="preserve"> </w:t>
      </w:r>
      <w:r>
        <w:rPr>
          <w:b/>
          <w:bCs/>
        </w:rPr>
        <w:t xml:space="preserve">22</w:t>
      </w:r>
      <w:r>
        <w:t xml:space="preserve">(9):699–706</w:t>
      </w:r>
      <w:hyperlink r:id="rId83">
        <w:r>
          <w:rPr>
            <w:rStyle w:val="Hyperlink"/>
          </w:rPr>
          <w:t xml:space="preserve">[65]</w:t>
        </w:r>
      </w:hyperlink>
      <w:r>
        <w:t xml:space="preserve">.</w:t>
      </w:r>
    </w:p>
    <w:p>
      <w:pPr>
        <w:pStyle w:val="Compact"/>
        <w:numPr>
          <w:ilvl w:val="0"/>
          <w:numId w:val="1008"/>
        </w:numPr>
      </w:pPr>
      <w:r>
        <w:t xml:space="preserve">Wing C.</w:t>
      </w:r>
      <w:r>
        <w:t xml:space="preserve"> </w:t>
      </w:r>
      <w:r>
        <w:rPr>
          <w:i/>
          <w:iCs/>
        </w:rPr>
        <w:t xml:space="preserve">et al.</w:t>
      </w:r>
      <w:r>
        <w:t xml:space="preserve"> </w:t>
      </w:r>
      <w:r>
        <w:t xml:space="preserve">(2018). Designing difference-in-differences studies: best practices for public health policy research.</w:t>
      </w:r>
      <w:r>
        <w:t xml:space="preserve"> </w:t>
      </w:r>
      <w:r>
        <w:rPr>
          <w:i/>
          <w:iCs/>
        </w:rPr>
        <w:t xml:space="preserve">Annu Rev Public Health</w:t>
      </w:r>
      <w:r>
        <w:t xml:space="preserve">,</w:t>
      </w:r>
      <w:r>
        <w:t xml:space="preserve"> </w:t>
      </w:r>
      <w:r>
        <w:rPr>
          <w:b/>
          <w:bCs/>
        </w:rPr>
        <w:t xml:space="preserve">39</w:t>
      </w:r>
      <w:r>
        <w:t xml:space="preserve">:453–469</w:t>
      </w:r>
      <w:hyperlink r:id="rId84">
        <w:r>
          <w:rPr>
            <w:rStyle w:val="Hyperlink"/>
          </w:rPr>
          <w:t xml:space="preserve">[66]</w:t>
        </w:r>
      </w:hyperlink>
      <w:r>
        <w:t xml:space="preserve">.</w:t>
      </w:r>
    </w:p>
    <w:p>
      <w:pPr>
        <w:pStyle w:val="Compact"/>
        <w:numPr>
          <w:ilvl w:val="0"/>
          <w:numId w:val="1008"/>
        </w:numPr>
      </w:pPr>
      <w:r>
        <w:t xml:space="preserve">Proctor E.K.</w:t>
      </w:r>
      <w:r>
        <w:t xml:space="preserve"> </w:t>
      </w:r>
      <w:r>
        <w:rPr>
          <w:i/>
          <w:iCs/>
        </w:rPr>
        <w:t xml:space="preserve">et al.</w:t>
      </w:r>
      <w:r>
        <w:t xml:space="preserve"> </w:t>
      </w:r>
      <w:r>
        <w:t xml:space="preserve">(2011). Outcomes for implementation research: conceptual distinctions, measurement challenges, and research agenda.</w:t>
      </w:r>
      <w:r>
        <w:t xml:space="preserve"> </w:t>
      </w:r>
      <w:r>
        <w:rPr>
          <w:i/>
          <w:iCs/>
        </w:rPr>
        <w:t xml:space="preserve">Implement Sci</w:t>
      </w:r>
      <w:r>
        <w:t xml:space="preserve">,</w:t>
      </w:r>
      <w:r>
        <w:t xml:space="preserve"> </w:t>
      </w:r>
      <w:r>
        <w:rPr>
          <w:b/>
          <w:bCs/>
        </w:rPr>
        <w:t xml:space="preserve">6</w:t>
      </w:r>
      <w:r>
        <w:t xml:space="preserve">:119</w:t>
      </w:r>
      <w:hyperlink r:id="rId49">
        <w:r>
          <w:rPr>
            <w:rStyle w:val="Hyperlink"/>
          </w:rPr>
          <w:t xml:space="preserve">[28]</w:t>
        </w:r>
      </w:hyperlink>
      <w:r>
        <w:t xml:space="preserve">.</w:t>
      </w:r>
    </w:p>
    <w:p>
      <w:pPr>
        <w:pStyle w:val="Compact"/>
        <w:numPr>
          <w:ilvl w:val="0"/>
          <w:numId w:val="1008"/>
        </w:numPr>
      </w:pPr>
      <w:r>
        <w:t xml:space="preserve">Weiner B.J.</w:t>
      </w:r>
      <w:r>
        <w:t xml:space="preserve"> </w:t>
      </w:r>
      <w:r>
        <w:rPr>
          <w:i/>
          <w:iCs/>
        </w:rPr>
        <w:t xml:space="preserve">et al.</w:t>
      </w:r>
      <w:r>
        <w:t xml:space="preserve"> </w:t>
      </w:r>
      <w:r>
        <w:t xml:space="preserve">(2017). Psychometric assessment of three new implementation outcome measures: AIM, IAM, and FIM.</w:t>
      </w:r>
      <w:r>
        <w:t xml:space="preserve"> </w:t>
      </w:r>
      <w:r>
        <w:rPr>
          <w:i/>
          <w:iCs/>
        </w:rPr>
        <w:t xml:space="preserve">Implement Sci</w:t>
      </w:r>
      <w:r>
        <w:t xml:space="preserve">,</w:t>
      </w:r>
      <w:r>
        <w:t xml:space="preserve"> </w:t>
      </w:r>
      <w:r>
        <w:rPr>
          <w:b/>
          <w:bCs/>
        </w:rPr>
        <w:t xml:space="preserve">12</w:t>
      </w:r>
      <w:r>
        <w:t xml:space="preserve">:108</w:t>
      </w:r>
      <w:hyperlink r:id="rId85">
        <w:r>
          <w:rPr>
            <w:rStyle w:val="Hyperlink"/>
          </w:rPr>
          <w:t xml:space="preserve">[67]</w:t>
        </w:r>
      </w:hyperlink>
      <w:r>
        <w:t xml:space="preserve">.</w:t>
      </w:r>
    </w:p>
    <w:p>
      <w:pPr>
        <w:pStyle w:val="Compact"/>
        <w:numPr>
          <w:ilvl w:val="0"/>
          <w:numId w:val="1008"/>
        </w:numPr>
      </w:pPr>
      <w:r>
        <w:t xml:space="preserve">Yearwood K.H.K.</w:t>
      </w:r>
      <w:r>
        <w:t xml:space="preserve"> </w:t>
      </w:r>
      <w:r>
        <w:rPr>
          <w:i/>
          <w:iCs/>
        </w:rPr>
        <w:t xml:space="preserve">et al.</w:t>
      </w:r>
      <w:r>
        <w:t xml:space="preserve"> </w:t>
      </w:r>
      <w:r>
        <w:t xml:space="preserve">(2020). Implementation costs of a community health worker–delivered weight loss intervention in Black churches.</w:t>
      </w:r>
      <w:r>
        <w:t xml:space="preserve"> </w:t>
      </w:r>
      <w:r>
        <w:rPr>
          <w:i/>
          <w:iCs/>
        </w:rPr>
        <w:t xml:space="preserve">Prev Med Rep</w:t>
      </w:r>
      <w:r>
        <w:t xml:space="preserve">,</w:t>
      </w:r>
      <w:r>
        <w:t xml:space="preserve"> </w:t>
      </w:r>
      <w:r>
        <w:rPr>
          <w:b/>
          <w:bCs/>
        </w:rPr>
        <w:t xml:space="preserve">18</w:t>
      </w:r>
      <w:r>
        <w:t xml:space="preserve">:101084</w:t>
      </w:r>
      <w:hyperlink r:id="rId86">
        <w:r>
          <w:rPr>
            <w:rStyle w:val="Hyperlink"/>
          </w:rPr>
          <w:t xml:space="preserve">[68]</w:t>
        </w:r>
      </w:hyperlink>
      <w:r>
        <w:t xml:space="preserve">.</w:t>
      </w:r>
    </w:p>
    <w:p>
      <w:pPr>
        <w:pStyle w:val="Compact"/>
        <w:numPr>
          <w:ilvl w:val="0"/>
          <w:numId w:val="1008"/>
        </w:numPr>
      </w:pPr>
      <w:r>
        <w:t xml:space="preserve">Kompala T.</w:t>
      </w:r>
      <w:r>
        <w:t xml:space="preserve"> </w:t>
      </w:r>
      <w:r>
        <w:rPr>
          <w:i/>
          <w:iCs/>
        </w:rPr>
        <w:t xml:space="preserve">et al.</w:t>
      </w:r>
      <w:r>
        <w:t xml:space="preserve"> </w:t>
      </w:r>
      <w:r>
        <w:t xml:space="preserve">(2019). Medicare Diabetes Prevention Program: challenges and opportunities for sustainability.</w:t>
      </w:r>
      <w:r>
        <w:t xml:space="preserve"> </w:t>
      </w:r>
      <w:r>
        <w:rPr>
          <w:i/>
          <w:iCs/>
        </w:rPr>
        <w:t xml:space="preserve">Health Aff (Millwood)</w:t>
      </w:r>
      <w:r>
        <w:t xml:space="preserve">,</w:t>
      </w:r>
      <w:r>
        <w:t xml:space="preserve"> </w:t>
      </w:r>
      <w:r>
        <w:rPr>
          <w:b/>
          <w:bCs/>
        </w:rPr>
        <w:t xml:space="preserve">38</w:t>
      </w:r>
      <w:r>
        <w:t xml:space="preserve">(10):1691–1698</w:t>
      </w:r>
      <w:hyperlink r:id="rId24">
        <w:r>
          <w:rPr>
            <w:rStyle w:val="Hyperlink"/>
          </w:rPr>
          <w:t xml:space="preserve">[4]</w:t>
        </w:r>
      </w:hyperlink>
      <w:r>
        <w:t xml:space="preserve">.</w:t>
      </w:r>
    </w:p>
    <w:p>
      <w:pPr>
        <w:pStyle w:val="Compact"/>
        <w:numPr>
          <w:ilvl w:val="0"/>
          <w:numId w:val="1008"/>
        </w:numPr>
      </w:pPr>
      <w:r>
        <w:t xml:space="preserve">de Zambotti M.</w:t>
      </w:r>
      <w:r>
        <w:t xml:space="preserve"> </w:t>
      </w:r>
      <w:r>
        <w:rPr>
          <w:i/>
          <w:iCs/>
        </w:rPr>
        <w:t xml:space="preserve">et al.</w:t>
      </w:r>
      <w:r>
        <w:t xml:space="preserve"> </w:t>
      </w:r>
      <w:r>
        <w:t xml:space="preserve">(2019). Wearable Oura ring and polysomnography in adults: validation of sleep and circadian metrics.</w:t>
      </w:r>
      <w:r>
        <w:t xml:space="preserve"> </w:t>
      </w:r>
      <w:r>
        <w:rPr>
          <w:i/>
          <w:iCs/>
        </w:rPr>
        <w:t xml:space="preserve">Behav Sleep Med</w:t>
      </w:r>
      <w:r>
        <w:t xml:space="preserve">,</w:t>
      </w:r>
      <w:r>
        <w:t xml:space="preserve"> </w:t>
      </w:r>
      <w:r>
        <w:rPr>
          <w:b/>
          <w:bCs/>
        </w:rPr>
        <w:t xml:space="preserve">17</w:t>
      </w:r>
      <w:r>
        <w:t xml:space="preserve">(2):124–136</w:t>
      </w:r>
      <w:hyperlink r:id="rId32">
        <w:r>
          <w:rPr>
            <w:rStyle w:val="Hyperlink"/>
          </w:rPr>
          <w:t xml:space="preserve">[69]</w:t>
        </w:r>
      </w:hyperlink>
      <w:r>
        <w:t xml:space="preserve">.</w:t>
      </w:r>
    </w:p>
    <w:p>
      <w:pPr>
        <w:pStyle w:val="Compact"/>
        <w:numPr>
          <w:ilvl w:val="0"/>
          <w:numId w:val="1008"/>
        </w:numPr>
      </w:pPr>
      <w:r>
        <w:t xml:space="preserve">Kinnunen H.</w:t>
      </w:r>
      <w:r>
        <w:t xml:space="preserve"> </w:t>
      </w:r>
      <w:r>
        <w:rPr>
          <w:i/>
          <w:iCs/>
        </w:rPr>
        <w:t xml:space="preserve">et al.</w:t>
      </w:r>
      <w:r>
        <w:t xml:space="preserve"> </w:t>
      </w:r>
      <w:r>
        <w:t xml:space="preserve">(2020). Feasible assessment of nighttime heart rate variability with the Oura ring.</w:t>
      </w:r>
      <w:r>
        <w:t xml:space="preserve"> </w:t>
      </w:r>
      <w:r>
        <w:rPr>
          <w:i/>
          <w:iCs/>
        </w:rPr>
        <w:t xml:space="preserve">Sensors (Basel)</w:t>
      </w:r>
      <w:r>
        <w:t xml:space="preserve">,</w:t>
      </w:r>
      <w:r>
        <w:t xml:space="preserve"> </w:t>
      </w:r>
      <w:r>
        <w:rPr>
          <w:b/>
          <w:bCs/>
        </w:rPr>
        <w:t xml:space="preserve">20</w:t>
      </w:r>
      <w:r>
        <w:t xml:space="preserve">(21):6438</w:t>
      </w:r>
      <w:hyperlink r:id="rId32">
        <w:r>
          <w:rPr>
            <w:rStyle w:val="Hyperlink"/>
          </w:rPr>
          <w:t xml:space="preserve">[23]</w:t>
        </w:r>
      </w:hyperlink>
      <w:r>
        <w:t xml:space="preserve">.</w:t>
      </w:r>
    </w:p>
    <w:p>
      <w:pPr>
        <w:pStyle w:val="Compact"/>
        <w:numPr>
          <w:ilvl w:val="0"/>
          <w:numId w:val="1008"/>
        </w:numPr>
      </w:pPr>
      <w:r>
        <w:t xml:space="preserve">Chaput J.P.</w:t>
      </w:r>
      <w:r>
        <w:t xml:space="preserve"> </w:t>
      </w:r>
      <w:r>
        <w:rPr>
          <w:i/>
          <w:iCs/>
        </w:rPr>
        <w:t xml:space="preserve">et al.</w:t>
      </w:r>
      <w:r>
        <w:t xml:space="preserve"> </w:t>
      </w:r>
      <w:r>
        <w:t xml:space="preserve">(2023). The role of insufficient sleep and circadian misalignment in obesity.</w:t>
      </w:r>
      <w:r>
        <w:t xml:space="preserve"> </w:t>
      </w:r>
      <w:r>
        <w:rPr>
          <w:i/>
          <w:iCs/>
        </w:rPr>
        <w:t xml:space="preserve">Nat Rev Endocrinol</w:t>
      </w:r>
      <w:r>
        <w:t xml:space="preserve">,</w:t>
      </w:r>
      <w:r>
        <w:t xml:space="preserve"> </w:t>
      </w:r>
      <w:r>
        <w:rPr>
          <w:b/>
          <w:bCs/>
        </w:rPr>
        <w:t xml:space="preserve">19</w:t>
      </w:r>
      <w:r>
        <w:t xml:space="preserve">(2):82–97</w:t>
      </w:r>
      <w:hyperlink r:id="rId39">
        <w:r>
          <w:rPr>
            <w:rStyle w:val="Hyperlink"/>
          </w:rPr>
          <w:t xml:space="preserve">[19]</w:t>
        </w:r>
      </w:hyperlink>
      <w:r>
        <w:t xml:space="preserve">.</w:t>
      </w:r>
    </w:p>
    <w:p>
      <w:pPr>
        <w:pStyle w:val="Compact"/>
        <w:numPr>
          <w:ilvl w:val="0"/>
          <w:numId w:val="1008"/>
        </w:numPr>
      </w:pPr>
      <w:r>
        <w:rPr>
          <w:b/>
          <w:bCs/>
        </w:rPr>
        <w:t xml:space="preserve">NIH RFA-MD-24-006 (NIMHD SBIR)</w:t>
      </w:r>
      <w:r>
        <w:t xml:space="preserve"> </w:t>
      </w:r>
      <w:r>
        <w:t xml:space="preserve">–</w:t>
      </w:r>
      <w:r>
        <w:t xml:space="preserve"> </w:t>
      </w:r>
      <w:r>
        <w:rPr>
          <w:i/>
          <w:iCs/>
        </w:rPr>
        <w:t xml:space="preserve">Innovations for Healthy Living – Improving Minority Health and Eliminating Health Disparities</w:t>
      </w:r>
      <w:r>
        <w:t xml:space="preserve">. Notice of Funding Opportunity Description</w:t>
      </w:r>
      <w:hyperlink r:id="rId28">
        <w:r>
          <w:rPr>
            <w:rStyle w:val="Hyperlink"/>
          </w:rPr>
          <w:t xml:space="preserve">[8]</w:t>
        </w:r>
      </w:hyperlink>
      <w:hyperlink r:id="rId87">
        <w:r>
          <w:rPr>
            <w:rStyle w:val="Hyperlink"/>
          </w:rPr>
          <w:t xml:space="preserve">[70]</w:t>
        </w:r>
      </w:hyperlink>
      <w:r>
        <w:t xml:space="preserve">. (Used to align proposal with RFA goals.)</w:t>
      </w:r>
    </w:p>
    <w:bookmarkEnd w:id="88"/>
    <w:bookmarkEnd w:id="89"/>
    <w:bookmarkEnd w:id="90"/>
    <w:bookmarkEnd w:id="91"/>
    <w:p>
      <w:r>
        <w:pict>
          <v:rect style="width:0;height:1.5pt" o:hralign="center" o:hrstd="t" o:hr="t"/>
        </w:pict>
      </w:r>
    </w:p>
    <w:bookmarkStart w:id="9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32">
        <w:r>
          <w:rPr>
            <w:rStyle w:val="Hyperlink"/>
          </w:rPr>
          <w:t xml:space="preserve">[23]</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69">
        <w:r>
          <w:rPr>
            <w:rStyle w:val="Hyperlink"/>
          </w:rPr>
          <w:t xml:space="preserve">[59]</w:t>
        </w:r>
      </w:hyperlink>
      <w:r>
        <w:t xml:space="preserve"> </w:t>
      </w:r>
      <w:hyperlink r:id="rId80">
        <w:r>
          <w:rPr>
            <w:rStyle w:val="Hyperlink"/>
          </w:rPr>
          <w:t xml:space="preserve">[60]</w:t>
        </w:r>
      </w:hyperlink>
      <w:r>
        <w:t xml:space="preserve"> </w:t>
      </w:r>
      <w:hyperlink r:id="rId82">
        <w:r>
          <w:rPr>
            <w:rStyle w:val="Hyperlink"/>
          </w:rPr>
          <w:t xml:space="preserve">[62]</w:t>
        </w:r>
      </w:hyperlink>
      <w:r>
        <w:t xml:space="preserve"> </w:t>
      </w:r>
      <w:hyperlink r:id="rId23">
        <w:r>
          <w:rPr>
            <w:rStyle w:val="Hyperlink"/>
          </w:rPr>
          <w:t xml:space="preserve">[63]</w:t>
        </w:r>
      </w:hyperlink>
      <w:r>
        <w:t xml:space="preserve"> </w:t>
      </w:r>
      <w:hyperlink r:id="rId48">
        <w:r>
          <w:rPr>
            <w:rStyle w:val="Hyperlink"/>
          </w:rPr>
          <w:t xml:space="preserve">[64]</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hyperlink r:id="rId85">
        <w:r>
          <w:rPr>
            <w:rStyle w:val="Hyperlink"/>
          </w:rPr>
          <w:t xml:space="preserve">[67]</w:t>
        </w:r>
      </w:hyperlink>
      <w:r>
        <w:t xml:space="preserve"> </w:t>
      </w:r>
      <w:hyperlink r:id="rId86">
        <w:r>
          <w:rPr>
            <w:rStyle w:val="Hyperlink"/>
          </w:rPr>
          <w:t xml:space="preserve">[68]</w:t>
        </w:r>
      </w:hyperlink>
      <w:r>
        <w:t xml:space="preserve"> </w:t>
      </w:r>
      <w:hyperlink r:id="rId32">
        <w:r>
          <w:rPr>
            <w:rStyle w:val="Hyperlink"/>
          </w:rPr>
          <w:t xml:space="preserve">[69]</w:t>
        </w:r>
      </w:hyperlink>
      <w:r>
        <w:t xml:space="preserve"> </w:t>
      </w:r>
      <w:r>
        <w:t xml:space="preserve">ESG_RFA-MD-24-006.pdf</w:t>
      </w:r>
    </w:p>
    <w:p>
      <w:pPr>
        <w:pStyle w:val="BodyText"/>
      </w:pPr>
      <w:hyperlink r:id="rId92">
        <w:r>
          <w:rPr>
            <w:rStyle w:val="Hyperlink"/>
          </w:rPr>
          <w:t xml:space="preserve">file://file_0000000077fc722f9d6492a1988ae67a</w:t>
        </w:r>
      </w:hyperlink>
    </w:p>
    <w:p>
      <w:pPr>
        <w:pStyle w:val="BodyText"/>
      </w:pPr>
      <w:hyperlink r:id="rId22">
        <w:r>
          <w:rPr>
            <w:rStyle w:val="Hyperlink"/>
          </w:rPr>
          <w:t xml:space="preserve">[2]</w:t>
        </w:r>
      </w:hyperlink>
      <w:r>
        <w:t xml:space="preserve"> </w:t>
      </w:r>
      <w:r>
        <w:t xml:space="preserve">Reduction in the incidence of type 2 diabetes with lifestyle ... - PubMed</w:t>
      </w:r>
    </w:p>
    <w:p>
      <w:pPr>
        <w:pStyle w:val="BodyText"/>
      </w:pPr>
      <w:hyperlink r:id="rId93">
        <w:r>
          <w:rPr>
            <w:rStyle w:val="Hyperlink"/>
          </w:rPr>
          <w:t xml:space="preserve">https://pubmed.ncbi.nlm.nih.gov/11832527/</w:t>
        </w:r>
      </w:hyperlink>
    </w:p>
    <w:p>
      <w:pPr>
        <w:pStyle w:val="BodyText"/>
      </w:pPr>
      <w:hyperlink r:id="rId26">
        <w:r>
          <w:rPr>
            <w:rStyle w:val="Hyperlink"/>
          </w:rPr>
          <w:t xml:space="preserve">[6]</w:t>
        </w:r>
      </w:hyperlink>
      <w:r>
        <w:t xml:space="preserve"> </w:t>
      </w:r>
      <w:r>
        <w:t xml:space="preserve">Facilitators and barriers to implementing the Diabetes Prevention ...</w:t>
      </w:r>
    </w:p>
    <w:p>
      <w:pPr>
        <w:pStyle w:val="BodyText"/>
      </w:pPr>
      <w:hyperlink r:id="rId94">
        <w:r>
          <w:rPr>
            <w:rStyle w:val="Hyperlink"/>
          </w:rPr>
          <w:t xml:space="preserve">https://pmc.ncbi.nlm.nih.gov/articles/PMC11950418/</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81">
        <w:r>
          <w:rPr>
            <w:rStyle w:val="Hyperlink"/>
          </w:rPr>
          <w:t xml:space="preserve">[61]</w:t>
        </w:r>
      </w:hyperlink>
      <w:r>
        <w:t xml:space="preserve"> </w:t>
      </w:r>
      <w:hyperlink r:id="rId87">
        <w:r>
          <w:rPr>
            <w:rStyle w:val="Hyperlink"/>
          </w:rPr>
          <w:t xml:space="preserve">[70]</w:t>
        </w:r>
      </w:hyperlink>
      <w:r>
        <w:t xml:space="preserve"> </w:t>
      </w:r>
      <w:r>
        <w:t xml:space="preserve">RFA-MD-24-006: Innovations for Healthy Living - Improving Minority Health and Eliminating Health Disparities (R43/R44 - Clinical Trial Optional)</w:t>
      </w:r>
    </w:p>
    <w:p>
      <w:pPr>
        <w:pStyle w:val="BodyText"/>
      </w:pPr>
      <w:hyperlink r:id="rId95">
        <w:r>
          <w:rPr>
            <w:rStyle w:val="Hyperlink"/>
          </w:rPr>
          <w:t xml:space="preserve">https://grants.nih.gov/grants/guide/rfa-files/RFA-MD-24-006.html</w:t>
        </w:r>
      </w:hyperlink>
    </w:p>
    <w:p>
      <w:pPr>
        <w:pStyle w:val="BodyText"/>
      </w:pPr>
      <w:hyperlink r:id="rId33">
        <w:r>
          <w:rPr>
            <w:rStyle w:val="Hyperlink"/>
          </w:rPr>
          <w:t xml:space="preserve">[13]</w:t>
        </w:r>
      </w:hyperlink>
      <w:r>
        <w:t xml:space="preserve"> </w:t>
      </w:r>
      <w:hyperlink r:id="rId38">
        <w:r>
          <w:rPr>
            <w:rStyle w:val="Hyperlink"/>
          </w:rPr>
          <w:t xml:space="preserve">[18]</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[24]</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r>
        <w:t xml:space="preserve">ESG_POR.pdf</w:t>
      </w:r>
    </w:p>
    <w:p>
      <w:pPr>
        <w:pStyle w:val="BodyText"/>
      </w:pPr>
      <w:hyperlink r:id="rId96">
        <w:r>
          <w:rPr>
            <w:rStyle w:val="Hyperlink"/>
          </w:rPr>
          <w:t xml:space="preserve">file://file_00000000aa5c71f59b6222006452ac36</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file://file_0000000077fc722f9d6492a1988ae67a" TargetMode="External" /><Relationship Type="http://schemas.openxmlformats.org/officeDocument/2006/relationships/hyperlink" Id="rId31" Target="file://file_0000000077fc722f9d6492a1988ae67a#:~:text=%EE%80%B0e%20will%20engineer%20a%20production,export%20map%2C%20and%20a%20HIPAA" TargetMode="External" /><Relationship Type="http://schemas.openxmlformats.org/officeDocument/2006/relationships/hyperlink" Id="rId75" Target="file://file_0000000077fc722f9d6492a1988ae67a#:~:text=%EE%80%B0e%20will%20perform%20micro,A" TargetMode="External" /><Relationship Type="http://schemas.openxmlformats.org/officeDocument/2006/relationships/hyperlink" Id="rId39" Target="file://file_0000000077fc722f9d6492a1988ae67a#:~:text=%EE%81%AAariabilit%EE%81%AF%20with%20the%20Oura%20ring,2020%3B20%2821%29%3A6438" TargetMode="External" /><Relationship Type="http://schemas.openxmlformats.org/officeDocument/2006/relationships/hyperlink" Id="rId60" Target="file://file_0000000077fc722f9d6492a1988ae67a#:~:text=,NDPP%20platforms%20or%20clinic%20portals" TargetMode="External" /><Relationship Type="http://schemas.openxmlformats.org/officeDocument/2006/relationships/hyperlink" Id="rId69" Target="file://file_0000000077fc722f9d6492a1988ae67a#:~:text=,fa%EE%81%AAorable%20under%20at%20least%20one" TargetMode="External" /><Relationship Type="http://schemas.openxmlformats.org/officeDocument/2006/relationships/hyperlink" Id="rId66" Target="file://file_0000000077fc722f9d6492a1988ae67a#:~:text=,module" TargetMode="External" /><Relationship Type="http://schemas.openxmlformats.org/officeDocument/2006/relationships/hyperlink" Id="rId59" Target="file://file_0000000077fc722f9d6492a1988ae67a#:~:text=,out%20feeds%3B%20explanation" TargetMode="External" /><Relationship Type="http://schemas.openxmlformats.org/officeDocument/2006/relationships/hyperlink" Id="rId67" Target="file://file_0000000077fc722f9d6492a1988ae67a#:~:text=,successi%EE%81%AAe%20cohort%20within%206%E2%80%9312%20months" TargetMode="External" /><Relationship Type="http://schemas.openxmlformats.org/officeDocument/2006/relationships/hyperlink" Id="rId82" Target="file://file_0000000077fc722f9d6492a1988ae67a#:~:text=1,go%EE%81%AA" TargetMode="External" /><Relationship Type="http://schemas.openxmlformats.org/officeDocument/2006/relationships/hyperlink" Id="rId70" Target="file://file_0000000077fc722f9d6492a1988ae67a#:~:text=10%5D.%20Mixed,Black%20men%20and%20shift%20%EE%81%ACorkers" TargetMode="External" /><Relationship Type="http://schemas.openxmlformats.org/officeDocument/2006/relationships/hyperlink" Id="rId24" Target="file://file_0000000077fc722f9d6492a1988ae67a#:~:text=11,2019%3B38%2810%29%3A1691%E2%80%931698" TargetMode="External" /><Relationship Type="http://schemas.openxmlformats.org/officeDocument/2006/relationships/hyperlink" Id="rId32" Target="file://file_0000000077fc722f9d6492a1988ae67a#:~:text=12,2019%3B17%282%29%3A124%E2%80%93136" TargetMode="External" /><Relationship Type="http://schemas.openxmlformats.org/officeDocument/2006/relationships/hyperlink" Id="rId23" Target="file://file_0000000077fc722f9d6492a1988ae67a#:~:text=2,CDC%3B%202021" TargetMode="External" /><Relationship Type="http://schemas.openxmlformats.org/officeDocument/2006/relationships/hyperlink" Id="rId84" Target="file://file_0000000077fc722f9d6492a1988ae67a#:~:text=2013%3B22%289%29%3A699%E2%80%93706" TargetMode="External" /><Relationship Type="http://schemas.openxmlformats.org/officeDocument/2006/relationships/hyperlink" Id="rId48" Target="file://file_0000000077fc722f9d6492a1988ae67a#:~:text=3,1999%3B89%289%29%3A1322%E2%80%931327" TargetMode="External" /><Relationship Type="http://schemas.openxmlformats.org/officeDocument/2006/relationships/hyperlink" Id="rId83" Target="file://file_0000000077fc722f9d6492a1988ae67a#:~:text=5,2013%3B22%289%29%3A699%E2%80%93706" TargetMode="External" /><Relationship Type="http://schemas.openxmlformats.org/officeDocument/2006/relationships/hyperlink" Id="rId49" Target="file://file_0000000077fc722f9d6492a1988ae67a#:~:text=7,2011%3B6%3A119" TargetMode="External" /><Relationship Type="http://schemas.openxmlformats.org/officeDocument/2006/relationships/hyperlink" Id="rId85" Target="file://file_0000000077fc722f9d6492a1988ae67a#:~:text=8,2017%3B12%3A108" TargetMode="External" /><Relationship Type="http://schemas.openxmlformats.org/officeDocument/2006/relationships/hyperlink" Id="rId86" Target="file://file_0000000077fc722f9d6492a1988ae67a#:~:text=9,Pre%EE%81%AA%20Med%20Rep" TargetMode="External" /><Relationship Type="http://schemas.openxmlformats.org/officeDocument/2006/relationships/hyperlink" Id="rId80" Target="file://file_0000000077fc722f9d6492a1988ae67a#:~:text=B%EE%81%AF%20deli%EE%81%AAering%20a%20hardened%20integration,2%2C3%E2%80%934%2C9%E2%80%93%2010" TargetMode="External" /><Relationship Type="http://schemas.openxmlformats.org/officeDocument/2006/relationships/hyperlink" Id="rId71" Target="file://file_0000000077fc722f9d6492a1988ae67a#:~:text=Health" TargetMode="External" /><Relationship Type="http://schemas.openxmlformats.org/officeDocument/2006/relationships/hyperlink" Id="rId34" Target="file://file_0000000077fc722f9d6492a1988ae67a#:~:text=Incoming%20%EE%81%ACearable%20signals%20will%20be,aligned%20securit%EE%81%AF%20posture%20%5B2%2C7" TargetMode="External" /><Relationship Type="http://schemas.openxmlformats.org/officeDocument/2006/relationships/hyperlink" Id="rId77" Target="file://file_0000000077fc722f9d6492a1988ae67a#:~:text=Phase%20I%20milestones%20%28binar%EE%81%AF%2C%20Go%2FNo,fa%EE%81%AAorable%20under%20at%20least%20one" TargetMode="External" /><Relationship Type="http://schemas.openxmlformats.org/officeDocument/2006/relationships/hyperlink" Id="rId65" Target="file://file_0000000077fc722f9d6492a1988ae67a#:~:text=Phase%20I%20milestones%20%28binar%EE%81%AF%2C%20Go%2FNo,module" TargetMode="External" /><Relationship Type="http://schemas.openxmlformats.org/officeDocument/2006/relationships/hyperlink" Id="rId64" Target="file://file_0000000077fc722f9d6492a1988ae67a#:~:text=Primar%EE%81%AF%20endpoints%20emphasize%20implementation%3A%20Reach,month%20completion%20per%20CDC" TargetMode="External" /><Relationship Type="http://schemas.openxmlformats.org/officeDocument/2006/relationships/hyperlink" Id="rId63" Target="file://file_0000000077fc722f9d6492a1988ae67a#:~:text=T%EE%81%ACel%EE%81%AAe%20cohorts%20total%20across%20t%EE%81%ACo,detect%20an%20absolute%2012%E2%80%9315%20percentage" TargetMode="External" /><Relationship Type="http://schemas.openxmlformats.org/officeDocument/2006/relationships/hyperlink" Id="rId21" Target="file://file_0000000077fc722f9d6492a1988ae67a#:~:text=The%20National%20Diabetes%20Pre%EE%81%AAention%20Program,documentation%20for%20Centers%20for%20Disease" TargetMode="External" /><Relationship Type="http://schemas.openxmlformats.org/officeDocument/2006/relationships/hyperlink" Id="rId35" Target="file://file_0000000077fc722f9d6492a1988ae67a#:~:text=and%20REST%20API%20that%20expose,3%E2%80%936%5D.%20A%20single" TargetMode="External" /><Relationship Type="http://schemas.openxmlformats.org/officeDocument/2006/relationships/hyperlink" Id="rId76" Target="file://file_0000000077fc722f9d6492a1988ae67a#:~:text=clinic%20sites%3B%20estimate%20cost%20per,month%20and" TargetMode="External" /><Relationship Type="http://schemas.openxmlformats.org/officeDocument/2006/relationships/hyperlink" Id="rId50" Target="file://file_0000000077fc722f9d6492a1988ae67a#:~:text=cluster%20randomized%20clinical%20trial%20inside,cards%20while%20protecting%20congregational%20identit%EE%81%AF" TargetMode="External" /><Relationship Type="http://schemas.openxmlformats.org/officeDocument/2006/relationships/hyperlink" Id="rId68" Target="file://file_0000000077fc722f9d6492a1988ae67a#:~:text=definition%2C%20earl%EE%81%AF%20percent%20%EE%81%ACeight%20change%2C,Black%20men%20and%20shift%20%EE%81%ACorkers" TargetMode="External" /><Relationship Type="http://schemas.openxmlformats.org/officeDocument/2006/relationships/hyperlink" Id="rId30" Target="file://file_0000000077fc722f9d6492a1988ae67a#:~:text=deli%EE%81%AAers%20a%20church,risk%20pragmatic" TargetMode="External" /><Relationship Type="http://schemas.openxmlformats.org/officeDocument/2006/relationships/hyperlink" Id="rId61" Target="file://file_0000000077fc722f9d6492a1988ae67a#:~:text=irrele%EE%81%AAant%20perturbations" TargetMode="External" /><Relationship Type="http://schemas.openxmlformats.org/officeDocument/2006/relationships/hyperlink" Id="rId78" Target="file://file_0000000077fc722f9d6492a1988ae67a#:~:text=letters%20of%20intent%20or%20MOUs,one%20FQHC%2C%20and%20one%20pa%EE%81%AFer" TargetMode="External" /><Relationship Type="http://schemas.openxmlformats.org/officeDocument/2006/relationships/hyperlink" Id="rId79" Target="file://file_0000000077fc722f9d6492a1988ae67a#:~:text=onboarding%20materials%2C%20securit%EE%81%AF%20posture%2C%20sample,one%20FQHC%2C%20and%20one%20pa%EE%81%AFer" TargetMode="External" /><Relationship Type="http://schemas.openxmlformats.org/officeDocument/2006/relationships/hyperlink" Id="rId45" Target="file://file_0000000077fc722f9d6492a1988ae67a#:~:text=pricing%20hypothesis%20will%20be%20tested,one%20FQHC%2C%20and%20one%20pa%EE%81%AFer" TargetMode="External" /><Relationship Type="http://schemas.openxmlformats.org/officeDocument/2006/relationships/hyperlink" Id="rId25" Target="file://file_0000000077fc722f9d6492a1988ae67a#:~:text=reimbursement%20path%EE%81%ACa%EE%81%AFs%20,neutral%20SDK" TargetMode="External" /><Relationship Type="http://schemas.openxmlformats.org/officeDocument/2006/relationships/hyperlink" Id="rId37" Target="file://file_0000000077fc722f9d6492a1988ae67a#:~:text=returned%20for%20coach%20and%20participant,aligned%20securit%EE%81%AF%20posture%20%5B2%2C7" TargetMode="External" /><Relationship Type="http://schemas.openxmlformats.org/officeDocument/2006/relationships/hyperlink" Id="rId36" Target="file://file_0000000077fc722f9d6492a1988ae67a#:~:text=supplier%20under%20plausible%20adoption%20scenarios,one%20FQHC%2C%20and%20one%20pa%EE%81%AFer" TargetMode="External" /><Relationship Type="http://schemas.openxmlformats.org/officeDocument/2006/relationships/hyperlink" Id="rId46" Target="file://file_0000000077fc722f9d6492a1988ae67a#:~:text=will%20randomize%20successi%EE%81%AAe%20NDPP%20cohorts,successi%EE%81%AAe%20cohort%20b%EE%81%AF%206%E2%80%9312%20months" TargetMode="External" /><Relationship Type="http://schemas.openxmlformats.org/officeDocument/2006/relationships/hyperlink" Id="rId96" Target="file://file_00000000aa5c71f59b6222006452ac36" TargetMode="External" /><Relationship Type="http://schemas.openxmlformats.org/officeDocument/2006/relationships/hyperlink" Id="rId38" Target="file://file_00000000aa5c71f59b6222006452ac36#:~:text=%EE%80%B0eathering%20provides%20explanation%20to%20wh%EE%81%AF,making%20stress%20biolog%EE%81%AF%20visible%20and" TargetMode="External" /><Relationship Type="http://schemas.openxmlformats.org/officeDocument/2006/relationships/hyperlink" Id="rId53" Target="file://file_00000000aa5c71f59b6222006452ac36#:~:text=Achie%EE%81%AAe%20device%20in%EE%81%AAariance%20with%20strong,calibration%20and%20shift%20robustness" TargetMode="External" /><Relationship Type="http://schemas.openxmlformats.org/officeDocument/2006/relationships/hyperlink" Id="rId72" Target="file://file_00000000aa5c71f59b6222006452ac36#:~:text=Adults%20meeting%20CDC%20NDPP%20eligibilit%EE%81%AF%2C,such%20as%20Black%20men%20and" TargetMode="External" /><Relationship Type="http://schemas.openxmlformats.org/officeDocument/2006/relationships/hyperlink" Id="rId51" Target="file://file_00000000aa5c71f59b6222006452ac36#:~:text=Engineer%20a%20ph%EE%81%AFsiolog%EE%81%AF,stack%20with%20a%20canonical%20schema" TargetMode="External" /><Relationship Type="http://schemas.openxmlformats.org/officeDocument/2006/relationships/hyperlink" Id="rId58" Target="file://file_00000000aa5c71f59b6222006452ac36#:~:text=Guarantee%20safet%EE%81%AF%2C%20fairness%2C%20and%20usable,explanations%20at%20inference%20time" TargetMode="External" /><Relationship Type="http://schemas.openxmlformats.org/officeDocument/2006/relationships/hyperlink" Id="rId56" Target="file://file_00000000aa5c71f59b6222006452ac36#:~:text=Learn%20da%EE%81%AF,distribution%20inputs" TargetMode="External" /><Relationship Type="http://schemas.openxmlformats.org/officeDocument/2006/relationships/hyperlink" Id="rId57" Target="file://file_00000000aa5c71f59b6222006452ac36#:~:text=Milestones%3A%20Non,%EE%81%AAalue%20estimates%20with%20%EE%81%AAariance%20controls" TargetMode="External" /><Relationship Type="http://schemas.openxmlformats.org/officeDocument/2006/relationships/hyperlink" Id="rId43" Target="file://file_00000000aa5c71f59b6222006452ac36#:~:text=National%20Diabetes%20Pre%EE%81%AAention%20Program%20,Control%20and%20Pre%EE%81%AAention%20Diabetes%20Pre%EE%81%AAention" TargetMode="External" /><Relationship Type="http://schemas.openxmlformats.org/officeDocument/2006/relationships/hyperlink" Id="rId40" Target="file://file_00000000aa5c71f59b6222006452ac36#:~:text=National%20Diabetes%20Pre%EE%81%AAention%20Program%20,in%20digital%20nutrition%20b%EE%81%AF%20translating" TargetMode="External" /><Relationship Type="http://schemas.openxmlformats.org/officeDocument/2006/relationships/hyperlink" Id="rId41" Target="file://file_00000000aa5c71f59b6222006452ac36#:~:text=Participants%20who%20alread%EE%81%AF%20use%20a,compatible%20aggregation.%20Coaching" TargetMode="External" /><Relationship Type="http://schemas.openxmlformats.org/officeDocument/2006/relationships/hyperlink" Id="rId44" Target="file://file_00000000aa5c71f59b6222006452ac36#:~:text=Quantif%EE%81%AF%20explanation%20faithfulness%20and%20stabilit%EE%81%AF%2C,mitigation%20where%20gaps%20exceed%20thresholds" TargetMode="External" /><Relationship Type="http://schemas.openxmlformats.org/officeDocument/2006/relationships/hyperlink" Id="rId55" Target="file://file_00000000aa5c71f59b6222006452ac36#:~:text=across%20held,firm%EE%81%ACare%20shifts%3B%20automated%20drift%20alarms" TargetMode="External" /><Relationship Type="http://schemas.openxmlformats.org/officeDocument/2006/relationships/hyperlink" Id="rId73" Target="file://file_00000000aa5c71f59b6222006452ac36#:~:text=aligned%20with%20DPRP%20reporting,such%20as%20Black%20men%20and" TargetMode="External" /><Relationship Type="http://schemas.openxmlformats.org/officeDocument/2006/relationships/hyperlink" Id="rId54" Target="file://file_00000000aa5c71f59b6222006452ac36#:~:text=robustness" TargetMode="External" /><Relationship Type="http://schemas.openxmlformats.org/officeDocument/2006/relationships/hyperlink" Id="rId52" Target="file://file_00000000aa5c71f59b6222006452ac36#:~:text=them%20through%20a%20%EE%81%ACell,and%20REST%20API" TargetMode="External" /><Relationship Type="http://schemas.openxmlformats.org/officeDocument/2006/relationships/hyperlink" Id="rId33" Target="file://file_00000000aa5c71f59b6222006452ac36#:~:text=yields%20different%20outcomes%20under%20unequal,counseling%20and%20reduce%20the%20gap" TargetMode="External" /><Relationship Type="http://schemas.openxmlformats.org/officeDocument/2006/relationships/hyperlink" Id="rId95" Target="https://grants.nih.gov/grants/guide/rfa-files/RFA-MD-24-006.html" TargetMode="External" /><Relationship Type="http://schemas.openxmlformats.org/officeDocument/2006/relationships/hyperlink" Id="rId29" Target="https://grants.nih.gov/grants/guide/rfa-files/RFA-MD-24-006.html#:~:text=,language%2C%20and%20cultural%20competency%20considerations" TargetMode="External" /><Relationship Type="http://schemas.openxmlformats.org/officeDocument/2006/relationships/hyperlink" Id="rId28" Target="https://grants.nih.gov/grants/guide/rfa-files/RFA-MD-24-006.html#:~:text=The%20purpose%20of%20the%20Notice,the%20elimination%20of%20health%20disparities" TargetMode="External" /><Relationship Type="http://schemas.openxmlformats.org/officeDocument/2006/relationships/hyperlink" Id="rId27" Target="https://grants.nih.gov/grants/guide/rfa-files/RFA-MD-24-006.html#:~:text=This%20Notice%20of%20Funding%20Opportunity,effective%2C%20affordable%2C%20and%20culturally%20acceptable" TargetMode="External" /><Relationship Type="http://schemas.openxmlformats.org/officeDocument/2006/relationships/hyperlink" Id="rId87" Target="https://grants.nih.gov/grants/guide/rfa-files/RFA-MD-24-006.html#:~:text=empower%2C%20and%20motivate%20individuals%20and,In" TargetMode="External" /><Relationship Type="http://schemas.openxmlformats.org/officeDocument/2006/relationships/hyperlink" Id="rId81" Target="https://grants.nih.gov/grants/guide/rfa-files/RFA-MD-24-006.html#:~:text=empower%2C%20and%20motivate%20individuals%20and,the%20elimination%20of%20health%20disparities" TargetMode="External" /><Relationship Type="http://schemas.openxmlformats.org/officeDocument/2006/relationships/hyperlink" Id="rId94" Target="https://pmc.ncbi.nlm.nih.gov/articles/PMC11950418/" TargetMode="External" /><Relationship Type="http://schemas.openxmlformats.org/officeDocument/2006/relationships/hyperlink" Id="rId26" Target="https://pmc.ncbi.nlm.nih.gov/articles/PMC11950418/#:~:text=,program%20participants%27%20medical%20conditions" TargetMode="External" /><Relationship Type="http://schemas.openxmlformats.org/officeDocument/2006/relationships/hyperlink" Id="rId93" Target="https://pubmed.ncbi.nlm.nih.gov/11832527/" TargetMode="External" /><Relationship Type="http://schemas.openxmlformats.org/officeDocument/2006/relationships/hyperlink" Id="rId22" Target="https://pubmed.ncbi.nlm.nih.gov/11832527/#:~:text=PubMed%20pubmed,95%20percent" TargetMode="External" /></Relationships>
</file>

<file path=word/_rels/footnotes.xml.rels><?xml version="1.0" encoding="UTF-8"?><Relationships xmlns="http://schemas.openxmlformats.org/package/2006/relationships"><Relationship Type="http://schemas.openxmlformats.org/officeDocument/2006/relationships/hyperlink" Id="rId92" Target="file://file_0000000077fc722f9d6492a1988ae67a" TargetMode="External" /><Relationship Type="http://schemas.openxmlformats.org/officeDocument/2006/relationships/hyperlink" Id="rId31" Target="file://file_0000000077fc722f9d6492a1988ae67a#:~:text=%EE%80%B0e%20will%20engineer%20a%20production,export%20map%2C%20and%20a%20HIPAA" TargetMode="External" /><Relationship Type="http://schemas.openxmlformats.org/officeDocument/2006/relationships/hyperlink" Id="rId75" Target="file://file_0000000077fc722f9d6492a1988ae67a#:~:text=%EE%80%B0e%20will%20perform%20micro,A" TargetMode="External" /><Relationship Type="http://schemas.openxmlformats.org/officeDocument/2006/relationships/hyperlink" Id="rId39" Target="file://file_0000000077fc722f9d6492a1988ae67a#:~:text=%EE%81%AAariabilit%EE%81%AF%20with%20the%20Oura%20ring,2020%3B20%2821%29%3A6438" TargetMode="External" /><Relationship Type="http://schemas.openxmlformats.org/officeDocument/2006/relationships/hyperlink" Id="rId60" Target="file://file_0000000077fc722f9d6492a1988ae67a#:~:text=,NDPP%20platforms%20or%20clinic%20portals" TargetMode="External" /><Relationship Type="http://schemas.openxmlformats.org/officeDocument/2006/relationships/hyperlink" Id="rId69" Target="file://file_0000000077fc722f9d6492a1988ae67a#:~:text=,fa%EE%81%AAorable%20under%20at%20least%20one" TargetMode="External" /><Relationship Type="http://schemas.openxmlformats.org/officeDocument/2006/relationships/hyperlink" Id="rId66" Target="file://file_0000000077fc722f9d6492a1988ae67a#:~:text=,module" TargetMode="External" /><Relationship Type="http://schemas.openxmlformats.org/officeDocument/2006/relationships/hyperlink" Id="rId59" Target="file://file_0000000077fc722f9d6492a1988ae67a#:~:text=,out%20feeds%3B%20explanation" TargetMode="External" /><Relationship Type="http://schemas.openxmlformats.org/officeDocument/2006/relationships/hyperlink" Id="rId67" Target="file://file_0000000077fc722f9d6492a1988ae67a#:~:text=,successi%EE%81%AAe%20cohort%20within%206%E2%80%9312%20months" TargetMode="External" /><Relationship Type="http://schemas.openxmlformats.org/officeDocument/2006/relationships/hyperlink" Id="rId82" Target="file://file_0000000077fc722f9d6492a1988ae67a#:~:text=1,go%EE%81%AA" TargetMode="External" /><Relationship Type="http://schemas.openxmlformats.org/officeDocument/2006/relationships/hyperlink" Id="rId70" Target="file://file_0000000077fc722f9d6492a1988ae67a#:~:text=10%5D.%20Mixed,Black%20men%20and%20shift%20%EE%81%ACorkers" TargetMode="External" /><Relationship Type="http://schemas.openxmlformats.org/officeDocument/2006/relationships/hyperlink" Id="rId24" Target="file://file_0000000077fc722f9d6492a1988ae67a#:~:text=11,2019%3B38%2810%29%3A1691%E2%80%931698" TargetMode="External" /><Relationship Type="http://schemas.openxmlformats.org/officeDocument/2006/relationships/hyperlink" Id="rId32" Target="file://file_0000000077fc722f9d6492a1988ae67a#:~:text=12,2019%3B17%282%29%3A124%E2%80%93136" TargetMode="External" /><Relationship Type="http://schemas.openxmlformats.org/officeDocument/2006/relationships/hyperlink" Id="rId23" Target="file://file_0000000077fc722f9d6492a1988ae67a#:~:text=2,CDC%3B%202021" TargetMode="External" /><Relationship Type="http://schemas.openxmlformats.org/officeDocument/2006/relationships/hyperlink" Id="rId84" Target="file://file_0000000077fc722f9d6492a1988ae67a#:~:text=2013%3B22%289%29%3A699%E2%80%93706" TargetMode="External" /><Relationship Type="http://schemas.openxmlformats.org/officeDocument/2006/relationships/hyperlink" Id="rId48" Target="file://file_0000000077fc722f9d6492a1988ae67a#:~:text=3,1999%3B89%289%29%3A1322%E2%80%931327" TargetMode="External" /><Relationship Type="http://schemas.openxmlformats.org/officeDocument/2006/relationships/hyperlink" Id="rId83" Target="file://file_0000000077fc722f9d6492a1988ae67a#:~:text=5,2013%3B22%289%29%3A699%E2%80%93706" TargetMode="External" /><Relationship Type="http://schemas.openxmlformats.org/officeDocument/2006/relationships/hyperlink" Id="rId49" Target="file://file_0000000077fc722f9d6492a1988ae67a#:~:text=7,2011%3B6%3A119" TargetMode="External" /><Relationship Type="http://schemas.openxmlformats.org/officeDocument/2006/relationships/hyperlink" Id="rId85" Target="file://file_0000000077fc722f9d6492a1988ae67a#:~:text=8,2017%3B12%3A108" TargetMode="External" /><Relationship Type="http://schemas.openxmlformats.org/officeDocument/2006/relationships/hyperlink" Id="rId86" Target="file://file_0000000077fc722f9d6492a1988ae67a#:~:text=9,Pre%EE%81%AA%20Med%20Rep" TargetMode="External" /><Relationship Type="http://schemas.openxmlformats.org/officeDocument/2006/relationships/hyperlink" Id="rId80" Target="file://file_0000000077fc722f9d6492a1988ae67a#:~:text=B%EE%81%AF%20deli%EE%81%AAering%20a%20hardened%20integration,2%2C3%E2%80%934%2C9%E2%80%93%2010" TargetMode="External" /><Relationship Type="http://schemas.openxmlformats.org/officeDocument/2006/relationships/hyperlink" Id="rId71" Target="file://file_0000000077fc722f9d6492a1988ae67a#:~:text=Health" TargetMode="External" /><Relationship Type="http://schemas.openxmlformats.org/officeDocument/2006/relationships/hyperlink" Id="rId34" Target="file://file_0000000077fc722f9d6492a1988ae67a#:~:text=Incoming%20%EE%81%ACearable%20signals%20will%20be,aligned%20securit%EE%81%AF%20posture%20%5B2%2C7" TargetMode="External" /><Relationship Type="http://schemas.openxmlformats.org/officeDocument/2006/relationships/hyperlink" Id="rId77" Target="file://file_0000000077fc722f9d6492a1988ae67a#:~:text=Phase%20I%20milestones%20%28binar%EE%81%AF%2C%20Go%2FNo,fa%EE%81%AAorable%20under%20at%20least%20one" TargetMode="External" /><Relationship Type="http://schemas.openxmlformats.org/officeDocument/2006/relationships/hyperlink" Id="rId65" Target="file://file_0000000077fc722f9d6492a1988ae67a#:~:text=Phase%20I%20milestones%20%28binar%EE%81%AF%2C%20Go%2FNo,module" TargetMode="External" /><Relationship Type="http://schemas.openxmlformats.org/officeDocument/2006/relationships/hyperlink" Id="rId64" Target="file://file_0000000077fc722f9d6492a1988ae67a#:~:text=Primar%EE%81%AF%20endpoints%20emphasize%20implementation%3A%20Reach,month%20completion%20per%20CDC" TargetMode="External" /><Relationship Type="http://schemas.openxmlformats.org/officeDocument/2006/relationships/hyperlink" Id="rId63" Target="file://file_0000000077fc722f9d6492a1988ae67a#:~:text=T%EE%81%ACel%EE%81%AAe%20cohorts%20total%20across%20t%EE%81%ACo,detect%20an%20absolute%2012%E2%80%9315%20percentage" TargetMode="External" /><Relationship Type="http://schemas.openxmlformats.org/officeDocument/2006/relationships/hyperlink" Id="rId21" Target="file://file_0000000077fc722f9d6492a1988ae67a#:~:text=The%20National%20Diabetes%20Pre%EE%81%AAention%20Program,documentation%20for%20Centers%20for%20Disease" TargetMode="External" /><Relationship Type="http://schemas.openxmlformats.org/officeDocument/2006/relationships/hyperlink" Id="rId35" Target="file://file_0000000077fc722f9d6492a1988ae67a#:~:text=and%20REST%20API%20that%20expose,3%E2%80%936%5D.%20A%20single" TargetMode="External" /><Relationship Type="http://schemas.openxmlformats.org/officeDocument/2006/relationships/hyperlink" Id="rId76" Target="file://file_0000000077fc722f9d6492a1988ae67a#:~:text=clinic%20sites%3B%20estimate%20cost%20per,month%20and" TargetMode="External" /><Relationship Type="http://schemas.openxmlformats.org/officeDocument/2006/relationships/hyperlink" Id="rId50" Target="file://file_0000000077fc722f9d6492a1988ae67a#:~:text=cluster%20randomized%20clinical%20trial%20inside,cards%20while%20protecting%20congregational%20identit%EE%81%AF" TargetMode="External" /><Relationship Type="http://schemas.openxmlformats.org/officeDocument/2006/relationships/hyperlink" Id="rId68" Target="file://file_0000000077fc722f9d6492a1988ae67a#:~:text=definition%2C%20earl%EE%81%AF%20percent%20%EE%81%ACeight%20change%2C,Black%20men%20and%20shift%20%EE%81%ACorkers" TargetMode="External" /><Relationship Type="http://schemas.openxmlformats.org/officeDocument/2006/relationships/hyperlink" Id="rId30" Target="file://file_0000000077fc722f9d6492a1988ae67a#:~:text=deli%EE%81%AAers%20a%20church,risk%20pragmatic" TargetMode="External" /><Relationship Type="http://schemas.openxmlformats.org/officeDocument/2006/relationships/hyperlink" Id="rId61" Target="file://file_0000000077fc722f9d6492a1988ae67a#:~:text=irrele%EE%81%AAant%20perturbations" TargetMode="External" /><Relationship Type="http://schemas.openxmlformats.org/officeDocument/2006/relationships/hyperlink" Id="rId78" Target="file://file_0000000077fc722f9d6492a1988ae67a#:~:text=letters%20of%20intent%20or%20MOUs,one%20FQHC%2C%20and%20one%20pa%EE%81%AFer" TargetMode="External" /><Relationship Type="http://schemas.openxmlformats.org/officeDocument/2006/relationships/hyperlink" Id="rId79" Target="file://file_0000000077fc722f9d6492a1988ae67a#:~:text=onboarding%20materials%2C%20securit%EE%81%AF%20posture%2C%20sample,one%20FQHC%2C%20and%20one%20pa%EE%81%AFer" TargetMode="External" /><Relationship Type="http://schemas.openxmlformats.org/officeDocument/2006/relationships/hyperlink" Id="rId45" Target="file://file_0000000077fc722f9d6492a1988ae67a#:~:text=pricing%20hypothesis%20will%20be%20tested,one%20FQHC%2C%20and%20one%20pa%EE%81%AFer" TargetMode="External" /><Relationship Type="http://schemas.openxmlformats.org/officeDocument/2006/relationships/hyperlink" Id="rId25" Target="file://file_0000000077fc722f9d6492a1988ae67a#:~:text=reimbursement%20path%EE%81%ACa%EE%81%AFs%20,neutral%20SDK" TargetMode="External" /><Relationship Type="http://schemas.openxmlformats.org/officeDocument/2006/relationships/hyperlink" Id="rId37" Target="file://file_0000000077fc722f9d6492a1988ae67a#:~:text=returned%20for%20coach%20and%20participant,aligned%20securit%EE%81%AF%20posture%20%5B2%2C7" TargetMode="External" /><Relationship Type="http://schemas.openxmlformats.org/officeDocument/2006/relationships/hyperlink" Id="rId36" Target="file://file_0000000077fc722f9d6492a1988ae67a#:~:text=supplier%20under%20plausible%20adoption%20scenarios,one%20FQHC%2C%20and%20one%20pa%EE%81%AFer" TargetMode="External" /><Relationship Type="http://schemas.openxmlformats.org/officeDocument/2006/relationships/hyperlink" Id="rId46" Target="file://file_0000000077fc722f9d6492a1988ae67a#:~:text=will%20randomize%20successi%EE%81%AAe%20NDPP%20cohorts,successi%EE%81%AAe%20cohort%20b%EE%81%AF%206%E2%80%9312%20months" TargetMode="External" /><Relationship Type="http://schemas.openxmlformats.org/officeDocument/2006/relationships/hyperlink" Id="rId96" Target="file://file_00000000aa5c71f59b6222006452ac36" TargetMode="External" /><Relationship Type="http://schemas.openxmlformats.org/officeDocument/2006/relationships/hyperlink" Id="rId38" Target="file://file_00000000aa5c71f59b6222006452ac36#:~:text=%EE%80%B0eathering%20provides%20explanation%20to%20wh%EE%81%AF,making%20stress%20biolog%EE%81%AF%20visible%20and" TargetMode="External" /><Relationship Type="http://schemas.openxmlformats.org/officeDocument/2006/relationships/hyperlink" Id="rId53" Target="file://file_00000000aa5c71f59b6222006452ac36#:~:text=Achie%EE%81%AAe%20device%20in%EE%81%AAariance%20with%20strong,calibration%20and%20shift%20robustness" TargetMode="External" /><Relationship Type="http://schemas.openxmlformats.org/officeDocument/2006/relationships/hyperlink" Id="rId72" Target="file://file_00000000aa5c71f59b6222006452ac36#:~:text=Adults%20meeting%20CDC%20NDPP%20eligibilit%EE%81%AF%2C,such%20as%20Black%20men%20and" TargetMode="External" /><Relationship Type="http://schemas.openxmlformats.org/officeDocument/2006/relationships/hyperlink" Id="rId51" Target="file://file_00000000aa5c71f59b6222006452ac36#:~:text=Engineer%20a%20ph%EE%81%AFsiolog%EE%81%AF,stack%20with%20a%20canonical%20schema" TargetMode="External" /><Relationship Type="http://schemas.openxmlformats.org/officeDocument/2006/relationships/hyperlink" Id="rId58" Target="file://file_00000000aa5c71f59b6222006452ac36#:~:text=Guarantee%20safet%EE%81%AF%2C%20fairness%2C%20and%20usable,explanations%20at%20inference%20time" TargetMode="External" /><Relationship Type="http://schemas.openxmlformats.org/officeDocument/2006/relationships/hyperlink" Id="rId56" Target="file://file_00000000aa5c71f59b6222006452ac36#:~:text=Learn%20da%EE%81%AF,distribution%20inputs" TargetMode="External" /><Relationship Type="http://schemas.openxmlformats.org/officeDocument/2006/relationships/hyperlink" Id="rId57" Target="file://file_00000000aa5c71f59b6222006452ac36#:~:text=Milestones%3A%20Non,%EE%81%AAalue%20estimates%20with%20%EE%81%AAariance%20controls" TargetMode="External" /><Relationship Type="http://schemas.openxmlformats.org/officeDocument/2006/relationships/hyperlink" Id="rId43" Target="file://file_00000000aa5c71f59b6222006452ac36#:~:text=National%20Diabetes%20Pre%EE%81%AAention%20Program%20,Control%20and%20Pre%EE%81%AAention%20Diabetes%20Pre%EE%81%AAention" TargetMode="External" /><Relationship Type="http://schemas.openxmlformats.org/officeDocument/2006/relationships/hyperlink" Id="rId40" Target="file://file_00000000aa5c71f59b6222006452ac36#:~:text=National%20Diabetes%20Pre%EE%81%AAention%20Program%20,in%20digital%20nutrition%20b%EE%81%AF%20translating" TargetMode="External" /><Relationship Type="http://schemas.openxmlformats.org/officeDocument/2006/relationships/hyperlink" Id="rId41" Target="file://file_00000000aa5c71f59b6222006452ac36#:~:text=Participants%20who%20alread%EE%81%AF%20use%20a,compatible%20aggregation.%20Coaching" TargetMode="External" /><Relationship Type="http://schemas.openxmlformats.org/officeDocument/2006/relationships/hyperlink" Id="rId44" Target="file://file_00000000aa5c71f59b6222006452ac36#:~:text=Quantif%EE%81%AF%20explanation%20faithfulness%20and%20stabilit%EE%81%AF%2C,mitigation%20where%20gaps%20exceed%20thresholds" TargetMode="External" /><Relationship Type="http://schemas.openxmlformats.org/officeDocument/2006/relationships/hyperlink" Id="rId55" Target="file://file_00000000aa5c71f59b6222006452ac36#:~:text=across%20held,firm%EE%81%ACare%20shifts%3B%20automated%20drift%20alarms" TargetMode="External" /><Relationship Type="http://schemas.openxmlformats.org/officeDocument/2006/relationships/hyperlink" Id="rId73" Target="file://file_00000000aa5c71f59b6222006452ac36#:~:text=aligned%20with%20DPRP%20reporting,such%20as%20Black%20men%20and" TargetMode="External" /><Relationship Type="http://schemas.openxmlformats.org/officeDocument/2006/relationships/hyperlink" Id="rId54" Target="file://file_00000000aa5c71f59b6222006452ac36#:~:text=robustness" TargetMode="External" /><Relationship Type="http://schemas.openxmlformats.org/officeDocument/2006/relationships/hyperlink" Id="rId52" Target="file://file_00000000aa5c71f59b6222006452ac36#:~:text=them%20through%20a%20%EE%81%ACell,and%20REST%20API" TargetMode="External" /><Relationship Type="http://schemas.openxmlformats.org/officeDocument/2006/relationships/hyperlink" Id="rId33" Target="file://file_00000000aa5c71f59b6222006452ac36#:~:text=yields%20different%20outcomes%20under%20unequal,counseling%20and%20reduce%20the%20gap" TargetMode="External" /><Relationship Type="http://schemas.openxmlformats.org/officeDocument/2006/relationships/hyperlink" Id="rId95" Target="https://grants.nih.gov/grants/guide/rfa-files/RFA-MD-24-006.html" TargetMode="External" /><Relationship Type="http://schemas.openxmlformats.org/officeDocument/2006/relationships/hyperlink" Id="rId29" Target="https://grants.nih.gov/grants/guide/rfa-files/RFA-MD-24-006.html#:~:text=,language%2C%20and%20cultural%20competency%20considerations" TargetMode="External" /><Relationship Type="http://schemas.openxmlformats.org/officeDocument/2006/relationships/hyperlink" Id="rId28" Target="https://grants.nih.gov/grants/guide/rfa-files/RFA-MD-24-006.html#:~:text=The%20purpose%20of%20the%20Notice,the%20elimination%20of%20health%20disparities" TargetMode="External" /><Relationship Type="http://schemas.openxmlformats.org/officeDocument/2006/relationships/hyperlink" Id="rId27" Target="https://grants.nih.gov/grants/guide/rfa-files/RFA-MD-24-006.html#:~:text=This%20Notice%20of%20Funding%20Opportunity,effective%2C%20affordable%2C%20and%20culturally%20acceptable" TargetMode="External" /><Relationship Type="http://schemas.openxmlformats.org/officeDocument/2006/relationships/hyperlink" Id="rId87" Target="https://grants.nih.gov/grants/guide/rfa-files/RFA-MD-24-006.html#:~:text=empower%2C%20and%20motivate%20individuals%20and,In" TargetMode="External" /><Relationship Type="http://schemas.openxmlformats.org/officeDocument/2006/relationships/hyperlink" Id="rId81" Target="https://grants.nih.gov/grants/guide/rfa-files/RFA-MD-24-006.html#:~:text=empower%2C%20and%20motivate%20individuals%20and,the%20elimination%20of%20health%20disparities" TargetMode="External" /><Relationship Type="http://schemas.openxmlformats.org/officeDocument/2006/relationships/hyperlink" Id="rId94" Target="https://pmc.ncbi.nlm.nih.gov/articles/PMC11950418/" TargetMode="External" /><Relationship Type="http://schemas.openxmlformats.org/officeDocument/2006/relationships/hyperlink" Id="rId26" Target="https://pmc.ncbi.nlm.nih.gov/articles/PMC11950418/#:~:text=,program%20participants%27%20medical%20conditions" TargetMode="External" /><Relationship Type="http://schemas.openxmlformats.org/officeDocument/2006/relationships/hyperlink" Id="rId93" Target="https://pubmed.ncbi.nlm.nih.gov/11832527/" TargetMode="External" /><Relationship Type="http://schemas.openxmlformats.org/officeDocument/2006/relationships/hyperlink" Id="rId22" Target="https://pubmed.ncbi.nlm.nih.gov/11832527/#:~:text=PubMed%20pubmed,95%20perc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2025-11-08T20:34:59Z</dcterms:created>
  <dcterms:modified xsi:type="dcterms:W3CDTF">2025-11-08T20:34:59Z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