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6B4F2A"/>
          <w:sz w:val="34"/>
          <w:szCs w:val="34"/>
        </w:rPr>
        <w:t xml:space="preserve">Terms of Use &amp; Privacy</w:t>
      </w:r>
    </w:p>
    <w:p>
      <w:pPr>
        <w:pBdr>
          <w:bottom w:val="single" w:color="6B4F2A" w:sz="8" w:space="6"/>
        </w:pBdr>
        <w:spacing w:after="160"/>
      </w:pPr>
      <w:r>
        <w:rPr>
          <w:color w:val="6B6862"/>
          <w:sz w:val="17"/>
          <w:szCs w:val="17"/>
        </w:rPr>
        <w:t xml:space="preserve">Indian Citation Checker  ·  Version 1.0  ·  27 June 2026</w:t>
      </w:r>
    </w:p>
    <w:p>
      <w:pPr>
        <w:spacing w:after="150"/>
      </w:pPr>
      <w:r>
        <w:rPr>
          <w:i/>
          <w:iCs/>
          <w:sz w:val="21"/>
          <w:szCs w:val="21"/>
        </w:rPr>
        <w:t xml:space="preserve">Please read this before relying on the tool. It is a drafting aid, not a source of legal authority.</w:t>
      </w:r>
    </w:p>
    <w:p>
      <w:pPr>
        <w:pStyle w:val="ListParagraph"/>
        <w:numPr>
          <w:ilvl w:val="0"/>
          <w:numId w:val="2"/>
        </w:numPr>
        <w:spacing w:after="130"/>
      </w:pPr>
      <w:r>
        <w:rPr>
          <w:b/>
          <w:bCs/>
          <w:sz w:val="21"/>
          <w:szCs w:val="21"/>
        </w:rPr>
        <w:t xml:space="preserve">Not legal advice. </w:t>
      </w:r>
      <w:r>
        <w:rPr>
          <w:sz w:val="21"/>
          <w:szCs w:val="21"/>
        </w:rPr>
        <w:t xml:space="preserve">The tool gives no legal advice and creates no advocate–client or other professional relationship. It is no substitute for independent research or the advice of a qualified advocate.</w:t>
      </w:r>
    </w:p>
    <w:p>
      <w:pPr>
        <w:pStyle w:val="ListParagraph"/>
        <w:numPr>
          <w:ilvl w:val="0"/>
          <w:numId w:val="2"/>
        </w:numPr>
        <w:spacing w:after="130"/>
      </w:pPr>
      <w:r>
        <w:rPr>
          <w:b/>
          <w:bCs/>
          <w:sz w:val="21"/>
          <w:szCs w:val="21"/>
        </w:rPr>
        <w:t xml:space="preserve">Scope and limits. </w:t>
      </w:r>
      <w:r>
        <w:rPr>
          <w:sz w:val="21"/>
          <w:szCs w:val="21"/>
        </w:rPr>
        <w:t xml:space="preserve">It detects cases, statutes and constitutional Articles, and resolves a curated index of landmark Supreme Court judgments. The index is not exhaustive: any case outside it is flagged for lookup, not resolved. Statute detection is pattern-based and does not confirm that a provision is in force.</w:t>
      </w:r>
    </w:p>
    <w:p>
      <w:pPr>
        <w:pStyle w:val="ListParagraph"/>
        <w:numPr>
          <w:ilvl w:val="0"/>
          <w:numId w:val="2"/>
        </w:numPr>
        <w:spacing w:after="130"/>
      </w:pPr>
      <w:r>
        <w:rPr>
          <w:b/>
          <w:bCs/>
          <w:sz w:val="21"/>
          <w:szCs w:val="21"/>
        </w:rPr>
        <w:t xml:space="preserve">Verify before you rely. </w:t>
      </w:r>
      <w:r>
        <w:rPr>
          <w:sz w:val="21"/>
          <w:szCs w:val="21"/>
        </w:rPr>
        <w:t xml:space="preserve">You must independently confirm every citation, holding and good-law status against the official report or a recognised database. The tool may contain errors or be out of date, and citations may differ from the form your court or publisher requires.</w:t>
      </w:r>
    </w:p>
    <w:p>
      <w:pPr>
        <w:pStyle w:val="ListParagraph"/>
        <w:numPr>
          <w:ilvl w:val="0"/>
          <w:numId w:val="2"/>
        </w:numPr>
        <w:spacing w:after="130"/>
      </w:pPr>
      <w:r>
        <w:rPr>
          <w:b/>
          <w:bCs/>
          <w:sz w:val="21"/>
          <w:szCs w:val="21"/>
        </w:rPr>
        <w:t xml:space="preserve">No warranty; limitation of liability. </w:t>
      </w:r>
      <w:r>
        <w:rPr>
          <w:sz w:val="21"/>
          <w:szCs w:val="21"/>
        </w:rPr>
        <w:t xml:space="preserve">The tool is provided “as is”, without warranty of any kind. To the fullest extent permitted by law, the operator is not liable for any loss or damage — including any adverse litigation outcome or professional consequence — arising from its use or any inability to use it.</w:t>
      </w:r>
    </w:p>
    <w:p>
      <w:pPr>
        <w:pStyle w:val="ListParagraph"/>
        <w:numPr>
          <w:ilvl w:val="0"/>
          <w:numId w:val="2"/>
        </w:numPr>
        <w:spacing w:after="130"/>
      </w:pPr>
      <w:r>
        <w:rPr>
          <w:b/>
          <w:bCs/>
          <w:sz w:val="21"/>
          <w:szCs w:val="21"/>
        </w:rPr>
        <w:t xml:space="preserve">Privacy. </w:t>
      </w:r>
      <w:r>
        <w:rPr>
          <w:sz w:val="21"/>
          <w:szCs w:val="21"/>
        </w:rPr>
        <w:t xml:space="preserve">The tool runs entirely in your browser. Text you paste is processed locally and is never sent to or stored on any server; your check history is saved only on your own device and can be cleared at any time. No personal data is collected. This posture is intended to align with the Digital Personal Data Protection Act, 2023; this notice will be updated if that changes.</w:t>
      </w:r>
    </w:p>
    <w:p>
      <w:pPr>
        <w:pStyle w:val="ListParagraph"/>
        <w:numPr>
          <w:ilvl w:val="0"/>
          <w:numId w:val="2"/>
        </w:numPr>
        <w:spacing w:after="130"/>
      </w:pPr>
      <w:r>
        <w:rPr>
          <w:b/>
          <w:bCs/>
          <w:sz w:val="21"/>
          <w:szCs w:val="21"/>
        </w:rPr>
        <w:t xml:space="preserve">Third parties and intellectual property. </w:t>
      </w:r>
      <w:r>
        <w:rPr>
          <w:sz w:val="21"/>
          <w:szCs w:val="21"/>
        </w:rPr>
        <w:t xml:space="preserve">Citations are factual references; no proprietary headnotes or editorial content are reproduced. The tool is not affiliated with, endorsed by, or sponsored by the Supreme Court of India, any law reporter, or any database, and all such names and marks belong to their respective owners. External links open third-party sites governed by their own terms.</w:t>
      </w:r>
    </w:p>
    <w:p>
      <w:pPr>
        <w:pStyle w:val="ListParagraph"/>
        <w:numPr>
          <w:ilvl w:val="0"/>
          <w:numId w:val="2"/>
        </w:numPr>
        <w:spacing w:after="130"/>
      </w:pPr>
      <w:r>
        <w:rPr>
          <w:b/>
          <w:bCs/>
          <w:sz w:val="21"/>
          <w:szCs w:val="21"/>
        </w:rPr>
        <w:t xml:space="preserve">Proper use. </w:t>
      </w:r>
      <w:r>
        <w:rPr>
          <w:sz w:val="21"/>
          <w:szCs w:val="21"/>
        </w:rPr>
        <w:t xml:space="preserve">Use the tool only for lawful research and drafting. Do not use it to mislead any court or person, to present unverified citations as verified, or contrary to any professional-conduct rules that apply to you, including the Bar Council of India rules applicable to advocates.</w:t>
      </w:r>
    </w:p>
    <w:p>
      <w:pPr>
        <w:pStyle w:val="ListParagraph"/>
        <w:numPr>
          <w:ilvl w:val="0"/>
          <w:numId w:val="2"/>
        </w:numPr>
        <w:spacing w:after="130"/>
      </w:pPr>
      <w:r>
        <w:rPr>
          <w:b/>
          <w:bCs/>
          <w:sz w:val="21"/>
          <w:szCs w:val="21"/>
        </w:rPr>
        <w:t xml:space="preserve">Changes and governing law. </w:t>
      </w:r>
      <w:r>
        <w:rPr>
          <w:sz w:val="21"/>
          <w:szCs w:val="21"/>
        </w:rPr>
        <w:t xml:space="preserve">These terms and the tool may change without notice; continued use is acceptance of the current version. These terms are governed by the laws of India.</w:t>
      </w:r>
    </w:p>
    <w:p>
      <w:pPr>
        <w:spacing w:after="0" w:before="60"/>
      </w:pPr>
      <w:r>
        <w:rPr>
          <w:sz w:val="21"/>
          <w:szCs w:val="21"/>
        </w:rPr>
        <w:t xml:space="preserve">Report an incorrect citation or ask a question: </w:t>
      </w:r>
      <w:hyperlink w:history="1" r:id="rId6alowsr3cdrjcrse6-lvf">
        <w:r>
          <w:rPr>
            <w:rStyle w:val="Hyperlink"/>
            <w:sz w:val="21"/>
            <w:szCs w:val="21"/>
          </w:rPr>
          <w:t xml:space="preserve">[add your email]</w:t>
        </w:r>
      </w:hyperlink>
      <w:r>
        <w:rPr>
          <w:sz w:val="21"/>
          <w:szCs w:val="21"/>
        </w:rPr>
        <w:t xml:space="preserve">.</w:t>
      </w:r>
    </w:p>
    <w:p>
      <w:pPr>
        <w:pBdr>
          <w:top w:val="single" w:color="D8D4CC" w:sz="4" w:space="6"/>
        </w:pBdr>
        <w:spacing w:before="150"/>
      </w:pPr>
      <w:r>
        <w:rPr>
          <w:i/>
          <w:iCs/>
          <w:color w:val="6B6862"/>
          <w:sz w:val="16"/>
          <w:szCs w:val="16"/>
        </w:rPr>
        <w:t xml:space="preserve">Template for review — not legal advice about your own publication. Before launching publicly under your name or firm, have a lawyer confirm it fits your situation and professional-conduct obligations.</w:t>
      </w:r>
    </w:p>
    <w:sectPr>
      <w:pgSz w:w="11906" w:h="16838" w:orient="portrait"/>
      <w:pgMar w:top="1100" w:right="1180" w:bottom="9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b/>
        <w:bCs/>
        <w:color w:val="6B4F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alowsr3cdrjcrse6-lvf" Type="http://schemas.openxmlformats.org/officeDocument/2006/relationships/hyperlink" Target="mailt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2026-06-27T05:00:08.870Z</dcterms:created>
  <dcterms:modified xsi:type="dcterms:W3CDTF">2026-06-27T05:00:08.870Z</dcterms:modified>
</cp:coreProperties>
</file>

<file path=docProps/custom.xml><?xml version="1.0" encoding="utf-8"?>
<Properties xmlns="http://schemas.openxmlformats.org/officeDocument/2006/custom-properties" xmlns:vt="http://schemas.openxmlformats.org/officeDocument/2006/docPropsVTypes"/>
</file>