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Bdr>
          <w:bottom w:val="single" w:sz="6" w:space="1" w:color="000000"/>
        </w:pBdr>
        <w:spacing w:line="276" w:lineRule="auto" w:before="0" w:after="120"/>
        <w:jc w:val="center"/>
      </w:pPr>
      <w:r>
        <w:rPr>
          <w:rFonts w:ascii="Garamond" w:hAnsi="Garamond"/>
          <w:sz w:val="24"/>
          <w:b/>
        </w:rPr>
        <w:t xml:space="preserve">CONSTRUCTION MATTER SYSTEM</w:t>
      </w:r>
    </w:p>
    <w:p>
      <w:pPr>
        <w:spacing w:line="276" w:lineRule="auto" w:before="0" w:after="240"/>
        <w:jc w:val="center"/>
      </w:pPr>
      <w:r>
        <w:rPr>
          <w:rFonts w:ascii="Garamond" w:hAnsi="Garamond"/>
          <w:sz w:val="24"/>
          <w:i/>
        </w:rPr>
        <w:t xml:space="preserve">Concept and Practice Note</w:t>
      </w:r>
    </w:p>
    <w:p>
      <w:pPr>
        <w:ind w:left="720" w:right="720"/>
        <w:spacing w:line="276" w:lineRule="auto" w:before="0" w:after="240"/>
        <w:jc w:val="both"/>
      </w:pPr>
      <w:r>
        <w:rPr>
          <w:rFonts w:ascii="Garamond" w:hAnsi="Garamond"/>
          <w:sz w:val="24"/>
          <w:i/>
        </w:rPr>
        <w:t xml:space="preserve">This note records the concept, the governing design decisions and the procedural logic of the Construction Matter System, a matter, limitation and compliance record for commercial construction suits before the Commercial Courts. It is circulated for the use of counsel and junior associates working matters on the system. The controlling principle throughout is that the system prepares and counsel decides: no operative step issues from the system of its own motion, save one, and every act — of the engine or of counsel — is entered in an append-only audit record.</w:t>
      </w:r>
    </w:p>
    <w:p>
      <w:pPr>
        <w:spacing w:line="276" w:lineRule="auto" w:before="240" w:after="120"/>
        <w:jc w:val="left"/>
      </w:pPr>
      <w:r>
        <w:rPr>
          <w:rFonts w:ascii="Garamond" w:hAnsi="Garamond"/>
          <w:sz w:val="24"/>
          <w:b/>
        </w:rPr>
        <w:t xml:space="preserve">I.  INTRODUCTION AND PURPOSE</w:t>
      </w:r>
    </w:p>
    <w:p>
      <w:pPr>
        <w:spacing w:line="276" w:lineRule="auto" w:before="0" w:after="120"/>
        <w:jc w:val="both"/>
      </w:pPr>
      <w:r>
        <w:rPr>
          <w:rFonts w:ascii="Garamond" w:hAnsi="Garamond"/>
          <w:sz w:val="24"/>
        </w:rPr>
        <w:t xml:space="preserve">The system exists to hold, in one place and in one discipline, everything in a commercial construction suit that is governed by a date, a rule or a gate: the pre-institution mediation position, the pleadings read against one another, the limitation and procedural clocks, the applications that have ripened on the record, and the drafts prepared for counsel’s settlement. It is a preparation and record instrument, not a decision instrument. Any position taken on the system can be traced to a rule, a date, a document and a signature, and is therefore capable of being defended — or cross-examined — as such.</w:t>
      </w:r>
    </w:p>
    <w:p>
      <w:pPr>
        <w:spacing w:line="276" w:lineRule="auto" w:before="240" w:after="120"/>
        <w:jc w:val="left"/>
      </w:pPr>
      <w:r>
        <w:rPr>
          <w:rFonts w:ascii="Garamond" w:hAnsi="Garamond"/>
          <w:sz w:val="24"/>
          <w:b/>
        </w:rPr>
        <w:t xml:space="preserve">II.  GOVERNING DESIGN DECISIONS</w:t>
      </w:r>
    </w:p>
    <w:p>
      <w:pPr>
        <w:ind w:left="720"/>
        <w:spacing w:line="276" w:lineRule="auto" w:before="200" w:after="80"/>
        <w:jc w:val="left"/>
      </w:pPr>
      <w:r>
        <w:rPr>
          <w:rFonts w:ascii="Garamond" w:hAnsi="Garamond"/>
          <w:sz w:val="24"/>
          <w:b/>
          <w:i/>
        </w:rPr>
        <w:t xml:space="preserve">A. One Automatic Act</w:t>
      </w:r>
    </w:p>
    <w:p>
      <w:pPr>
        <w:ind w:left="720"/>
        <w:spacing w:line="276" w:lineRule="auto" w:before="0" w:after="120"/>
        <w:jc w:val="both"/>
      </w:pPr>
      <w:r>
        <w:rPr>
          <w:rFonts w:ascii="Garamond" w:hAnsi="Garamond"/>
          <w:sz w:val="24"/>
        </w:rPr>
        <w:t xml:space="preserve">The system acts of its own motion in a single instance: the file locks against a written statement arriving after the one hundred and twentieth day from service, because the forfeiture there operates by force of the statute and admits of no discretion.</w:t>
      </w:r>
      <w:r>
        <w:rPr>
          <w:rFonts w:ascii="Garamond" w:hAnsi="Garamond"/>
          <w:sz w:val="18"/>
          <w:vertAlign w:val="superscript"/>
        </w:rPr>
        <w:t xml:space="preserve">1</w:t>
      </w:r>
      <w:r>
        <w:rPr>
          <w:rFonts w:ascii="Garamond" w:hAnsi="Garamond"/>
          <w:sz w:val="24"/>
        </w:rPr>
        <w:t xml:space="preserve"> Every other step — the section 12A position, the confirmation of the case map, the despatch of notices, the settlement and filing of drafts — waits for counsel. The lock is automatic; the filing that follows it never is.</w:t>
      </w:r>
    </w:p>
    <w:p>
      <w:pPr>
        <w:ind w:left="720"/>
        <w:spacing w:line="276" w:lineRule="auto" w:before="200" w:after="80"/>
        <w:jc w:val="left"/>
      </w:pPr>
      <w:r>
        <w:rPr>
          <w:rFonts w:ascii="Garamond" w:hAnsi="Garamond"/>
          <w:sz w:val="24"/>
          <w:b/>
          <w:i/>
        </w:rPr>
        <w:t xml:space="preserve">B. Counsel’s Signature at Every Gate</w:t>
      </w:r>
    </w:p>
    <w:p>
      <w:pPr>
        <w:ind w:left="720"/>
        <w:spacing w:line="276" w:lineRule="auto" w:before="0" w:after="120"/>
        <w:jc w:val="both"/>
      </w:pPr>
      <w:r>
        <w:rPr>
          <w:rFonts w:ascii="Garamond" w:hAnsi="Garamond"/>
          <w:sz w:val="24"/>
        </w:rPr>
        <w:t xml:space="preserve">Each gate the suit must pass is presented with what the law demands, the consequence of missing it, and the identity of the decision-maker. In every case the decision-maker is counsel. The system may state that urgency is not made out on the pleaded facts; only counsel may override that position, and only upon a typed basis which enters the audit record verbatim. The system may generate a case map; no clock is set and nothing downstream runs until counsel confirms it.</w:t>
      </w:r>
    </w:p>
    <w:p>
      <w:pPr>
        <w:ind w:left="720"/>
        <w:spacing w:line="276" w:lineRule="auto" w:before="200" w:after="80"/>
        <w:jc w:val="left"/>
      </w:pPr>
      <w:r>
        <w:rPr>
          <w:rFonts w:ascii="Garamond" w:hAnsi="Garamond"/>
          <w:sz w:val="24"/>
          <w:b/>
          <w:i/>
        </w:rPr>
        <w:t xml:space="preserve">C. The Rules of Practice Are the Asset</w:t>
      </w:r>
    </w:p>
    <w:p>
      <w:pPr>
        <w:ind w:left="720"/>
        <w:spacing w:line="276" w:lineRule="auto" w:before="0" w:after="120"/>
        <w:jc w:val="both"/>
      </w:pPr>
      <w:r>
        <w:rPr>
          <w:rFonts w:ascii="Garamond" w:hAnsi="Garamond"/>
          <w:sz w:val="24"/>
        </w:rPr>
        <w:t xml:space="preserve">The intelligence which reads the record is rented and replaceable. The rules it applies — interrogatories by leave, originals for impounding, notice before application — are the practice’s own, recorded and versioned. Each audit entry that depends on the rules cites the rules version applied, so that a position taken under one version remains explicable after the rules have moved on.</w:t>
      </w:r>
    </w:p>
    <w:p>
      <w:pPr>
        <w:ind w:left="720"/>
        <w:spacing w:line="276" w:lineRule="auto" w:before="200" w:after="80"/>
        <w:jc w:val="left"/>
      </w:pPr>
      <w:r>
        <w:rPr>
          <w:rFonts w:ascii="Garamond" w:hAnsi="Garamond"/>
          <w:sz w:val="24"/>
          <w:b/>
          <w:i/>
        </w:rPr>
        <w:t xml:space="preserve">D. The Append-Only Audit Record</w:t>
      </w:r>
    </w:p>
    <w:p>
      <w:pPr>
        <w:ind w:left="720"/>
        <w:spacing w:line="276" w:lineRule="auto" w:before="0" w:after="120"/>
        <w:jc w:val="both"/>
      </w:pPr>
      <w:r>
        <w:rPr>
          <w:rFonts w:ascii="Garamond" w:hAnsi="Garamond"/>
          <w:sz w:val="24"/>
        </w:rPr>
        <w:t xml:space="preserve">Every operative event writes one line to the audit record: date, time, the act, the matter, and the actor — engine or counsel, by name. Nothing is ever deleted or amended; corrections are made by subsequent entries. The record is filterable but not editable.</w:t>
      </w:r>
    </w:p>
    <w:p>
      <w:pPr>
        <w:spacing w:line="276" w:lineRule="auto" w:before="240" w:after="120"/>
        <w:jc w:val="left"/>
      </w:pPr>
      <w:r>
        <w:rPr>
          <w:rFonts w:ascii="Garamond" w:hAnsi="Garamond"/>
          <w:sz w:val="24"/>
          <w:b/>
        </w:rPr>
        <w:t xml:space="preserve">III.  THE PROCEDURAL LOGIC</w:t>
      </w:r>
    </w:p>
    <w:p>
      <w:pPr>
        <w:ind w:left="720"/>
        <w:spacing w:line="276" w:lineRule="auto" w:before="200" w:after="80"/>
        <w:jc w:val="left"/>
      </w:pPr>
      <w:r>
        <w:rPr>
          <w:rFonts w:ascii="Garamond" w:hAnsi="Garamond"/>
          <w:sz w:val="24"/>
          <w:b/>
          <w:i/>
        </w:rPr>
        <w:t xml:space="preserve">A. Institution and the Section 12A Screen</w:t>
      </w:r>
    </w:p>
    <w:p>
      <w:pPr>
        <w:ind w:left="720"/>
        <w:spacing w:line="276" w:lineRule="auto" w:before="0" w:after="120"/>
        <w:jc w:val="both"/>
      </w:pPr>
      <w:r>
        <w:rPr>
          <w:rFonts w:ascii="Garamond" w:hAnsi="Garamond"/>
          <w:sz w:val="24"/>
        </w:rPr>
        <w:t xml:space="preserve">On intake the record is read against the practice’s rules and the section 12A position is screened before anything else.</w:t>
      </w:r>
      <w:r>
        <w:rPr>
          <w:rFonts w:ascii="Garamond" w:hAnsi="Garamond"/>
          <w:sz w:val="18"/>
          <w:vertAlign w:val="superscript"/>
        </w:rPr>
        <w:t xml:space="preserve">2</w:t>
      </w:r>
      <w:r>
        <w:rPr>
          <w:rFonts w:ascii="Garamond" w:hAnsi="Garamond"/>
          <w:sz w:val="24"/>
        </w:rPr>
        <w:t xml:space="preserve"> Where urgency is not made out on the pleaded facts, the system states so and offers counsel two courses only: complete pre-institution mediation first, upon which the matter is created in pre-institution and the ninety-day mediation window runs; or record an override, upon a typed basis in counsel’s own words, which is logged and which alone opens the way to the case map. Institution without either course exposes the plaint to rejection under Order VII Rule 11, and the system will not assist it.</w:t>
      </w:r>
      <w:r>
        <w:rPr>
          <w:rFonts w:ascii="Garamond" w:hAnsi="Garamond"/>
          <w:sz w:val="18"/>
          <w:vertAlign w:val="superscript"/>
        </w:rPr>
        <w:t xml:space="preserve">3</w:t>
      </w:r>
    </w:p>
    <w:p>
      <w:pPr>
        <w:ind w:left="720"/>
        <w:spacing w:line="276" w:lineRule="auto" w:before="200" w:after="80"/>
        <w:jc w:val="left"/>
      </w:pPr>
      <w:r>
        <w:rPr>
          <w:rFonts w:ascii="Garamond" w:hAnsi="Garamond"/>
          <w:sz w:val="24"/>
          <w:b/>
          <w:i/>
        </w:rPr>
        <w:t xml:space="preserve">B. The Case Map and Its Confirmation</w:t>
      </w:r>
    </w:p>
    <w:p>
      <w:pPr>
        <w:ind w:left="720"/>
        <w:spacing w:line="276" w:lineRule="auto" w:before="0" w:after="120"/>
        <w:jc w:val="both"/>
      </w:pPr>
      <w:r>
        <w:rPr>
          <w:rFonts w:ascii="Garamond" w:hAnsi="Garamond"/>
          <w:sz w:val="24"/>
        </w:rPr>
        <w:t xml:space="preserve">The case map sets each paragraph of the plaint against each defendant’s answer: admitted; denied; or no specific denial, in which case Order VIII Rule 5 deems the fact admitted absent specific traverse.</w:t>
      </w:r>
      <w:r>
        <w:rPr>
          <w:rFonts w:ascii="Garamond" w:hAnsi="Garamond"/>
          <w:sz w:val="18"/>
          <w:vertAlign w:val="superscript"/>
        </w:rPr>
        <w:t xml:space="preserve">4</w:t>
      </w:r>
      <w:r>
        <w:rPr>
          <w:rFonts w:ascii="Garamond" w:hAnsi="Garamond"/>
          <w:sz w:val="24"/>
        </w:rPr>
        <w:t xml:space="preserve"> Each cell opens to the pleading extract, the strongest denial available on those facts, and where the filed pleading falls short. The map is generated by the engine but has no effect until counsel confirms it; confirmation is logged against the rules version and only then do the clocks and recommendations go live.</w:t>
      </w:r>
    </w:p>
    <w:p>
      <w:pPr>
        <w:ind w:left="720"/>
        <w:spacing w:line="276" w:lineRule="auto" w:before="200" w:after="80"/>
        <w:jc w:val="left"/>
      </w:pPr>
      <w:r>
        <w:rPr>
          <w:rFonts w:ascii="Garamond" w:hAnsi="Garamond"/>
          <w:sz w:val="24"/>
          <w:b/>
          <w:i/>
        </w:rPr>
        <w:t xml:space="preserve">C. The Clocks and Their Taxonomy</w:t>
      </w:r>
    </w:p>
    <w:p>
      <w:pPr>
        <w:ind w:left="720"/>
        <w:spacing w:line="276" w:lineRule="auto" w:before="0" w:after="120"/>
        <w:jc w:val="both"/>
      </w:pPr>
      <w:r>
        <w:rPr>
          <w:rFonts w:ascii="Garamond" w:hAnsi="Garamond"/>
          <w:sz w:val="24"/>
        </w:rPr>
        <w:t xml:space="preserve">Every clock carries a consequence class, and the class governs its urgency: </w:t>
      </w:r>
      <w:r>
        <w:rPr>
          <w:rFonts w:ascii="Garamond" w:hAnsi="Garamond"/>
          <w:sz w:val="24"/>
          <w:i/>
        </w:rPr>
        <w:t xml:space="preserve">at a price</w:t>
      </w:r>
      <w:r>
        <w:rPr>
          <w:rFonts w:ascii="Garamond" w:hAnsi="Garamond"/>
          <w:sz w:val="24"/>
        </w:rPr>
        <w:t xml:space="preserve">, where the default is repairable on terms as to costs; </w:t>
      </w:r>
      <w:r>
        <w:rPr>
          <w:rFonts w:ascii="Garamond" w:hAnsi="Garamond"/>
          <w:sz w:val="24"/>
          <w:i/>
        </w:rPr>
        <w:t xml:space="preserve">never</w:t>
      </w:r>
      <w:r>
        <w:rPr>
          <w:rFonts w:ascii="Garamond" w:hAnsi="Garamond"/>
          <w:sz w:val="24"/>
        </w:rPr>
        <w:t xml:space="preserve">, where the right is lost by operation of law and cannot be revived, as with the one-hundred-and-twenty-day outer limit for the written statement; and </w:t>
      </w:r>
      <w:r>
        <w:rPr>
          <w:rFonts w:ascii="Garamond" w:hAnsi="Garamond"/>
          <w:sz w:val="24"/>
          <w:i/>
        </w:rPr>
        <w:t xml:space="preserve">different test</w:t>
      </w:r>
      <w:r>
        <w:rPr>
          <w:rFonts w:ascii="Garamond" w:hAnsi="Garamond"/>
          <w:sz w:val="24"/>
        </w:rPr>
        <w:t xml:space="preserve">, where the window is governed by its own standard, as with the mediation window under section 12A. Clocks are presented soonest first across all matters, and each opens its matter with the clock highlighted.</w:t>
      </w:r>
    </w:p>
    <w:p>
      <w:pPr>
        <w:ind w:left="720"/>
        <w:spacing w:line="276" w:lineRule="auto" w:before="200" w:after="80"/>
        <w:jc w:val="left"/>
      </w:pPr>
      <w:r>
        <w:rPr>
          <w:rFonts w:ascii="Garamond" w:hAnsi="Garamond"/>
          <w:sz w:val="24"/>
          <w:b/>
          <w:i/>
        </w:rPr>
        <w:t xml:space="preserve">D. Moves and Ripening</w:t>
      </w:r>
    </w:p>
    <w:p>
      <w:pPr>
        <w:ind w:left="720"/>
        <w:spacing w:line="276" w:lineRule="auto" w:before="0" w:after="120"/>
        <w:jc w:val="both"/>
      </w:pPr>
      <w:r>
        <w:rPr>
          <w:rFonts w:ascii="Garamond" w:hAnsi="Garamond"/>
          <w:sz w:val="24"/>
        </w:rPr>
        <w:t xml:space="preserve">An application is offered only when it has ripened on the record. A notice to produce which has not run its time is shown held, with the day count, and cannot proceed to draft. Each offered move states the opponent’s best answer and where the application fails on these facts, before counsel elects to proceed; the election itself passes through a confirmation restating the risk.</w:t>
      </w:r>
    </w:p>
    <w:p>
      <w:pPr>
        <w:ind w:left="720"/>
        <w:spacing w:line="276" w:lineRule="auto" w:before="200" w:after="80"/>
        <w:jc w:val="left"/>
      </w:pPr>
      <w:r>
        <w:rPr>
          <w:rFonts w:ascii="Garamond" w:hAnsi="Garamond"/>
          <w:sz w:val="24"/>
          <w:b/>
          <w:i/>
        </w:rPr>
        <w:t xml:space="preserve">E. Drafts, Citations and Finalisation</w:t>
      </w:r>
    </w:p>
    <w:p>
      <w:pPr>
        <w:ind w:left="720"/>
        <w:spacing w:line="276" w:lineRule="auto" w:before="0" w:after="120"/>
        <w:jc w:val="both"/>
      </w:pPr>
      <w:r>
        <w:rPr>
          <w:rFonts w:ascii="Garamond" w:hAnsi="Garamond"/>
          <w:sz w:val="24"/>
        </w:rPr>
        <w:t xml:space="preserve">Drafts open beside the matter record, never in place of it, so that the map and the clocks remain in view while the draft is settled. Authorities cited in a draft stand marked until counsel records their verification. Counsel may record one instruction of revision against a draft; the revision is applied, highlighted, and logged. Finalisation enters the draft on the record as counsel-settled work product.</w:t>
      </w:r>
    </w:p>
    <w:p>
      <w:pPr>
        <w:ind w:left="720"/>
        <w:spacing w:line="276" w:lineRule="auto" w:before="200" w:after="80"/>
        <w:jc w:val="left"/>
      </w:pPr>
      <w:r>
        <w:rPr>
          <w:rFonts w:ascii="Garamond" w:hAnsi="Garamond"/>
          <w:sz w:val="24"/>
          <w:b/>
          <w:i/>
        </w:rPr>
        <w:t xml:space="preserve">F. Counsel’s Own Exposure</w:t>
      </w:r>
    </w:p>
    <w:p>
      <w:pPr>
        <w:ind w:left="720"/>
        <w:spacing w:line="276" w:lineRule="auto" w:before="0" w:after="120"/>
        <w:jc w:val="both"/>
      </w:pPr>
      <w:r>
        <w:rPr>
          <w:rFonts w:ascii="Garamond" w:hAnsi="Garamond"/>
          <w:sz w:val="24"/>
        </w:rPr>
        <w:t xml:space="preserve">The system reads the plaintiff’s side of the record with the same severity as the defendants’: a document relied upon but absent from the disclosure list is raised as counsel’s own exposure, to be resolved before the defendants’ inspection, and its resolution is logged.</w:t>
      </w:r>
    </w:p>
    <w:p>
      <w:pPr>
        <w:spacing w:line="276" w:lineRule="auto" w:before="240" w:after="120"/>
        <w:jc w:val="left"/>
      </w:pPr>
      <w:r>
        <w:rPr>
          <w:rFonts w:ascii="Garamond" w:hAnsi="Garamond"/>
          <w:sz w:val="24"/>
          <w:b/>
        </w:rPr>
        <w:t xml:space="preserve">IV.  PRACTICE DIRECTIONS FOR JUNIOR COUNSEL</w:t>
      </w:r>
    </w:p>
    <w:p>
      <w:pPr>
        <w:ind w:left="720"/>
        <w:spacing w:line="276" w:lineRule="auto" w:before="0" w:after="120"/>
        <w:jc w:val="both"/>
      </w:pPr>
      <w:r>
        <w:rPr>
          <w:rFonts w:ascii="Garamond" w:hAnsi="Garamond"/>
          <w:sz w:val="24"/>
        </w:rPr>
        <w:t xml:space="preserve">1. Work from the matters board; open the matter before acting on it. The Review drawer lists everything pending counsel’s consideration and is to be cleared, not accumulated.</w:t>
      </w:r>
    </w:p>
    <w:p>
      <w:pPr>
        <w:ind w:left="720"/>
        <w:spacing w:line="276" w:lineRule="auto" w:before="0" w:after="120"/>
        <w:jc w:val="both"/>
      </w:pPr>
      <w:r>
        <w:rPr>
          <w:rFonts w:ascii="Garamond" w:hAnsi="Garamond"/>
          <w:sz w:val="24"/>
        </w:rPr>
        <w:t xml:space="preserve">2. Never treat a system position as a conclusion. The screen, the map and the drafts are preparation; the signature is the decision, and the signature is counsel’s.</w:t>
      </w:r>
    </w:p>
    <w:p>
      <w:pPr>
        <w:ind w:left="720"/>
        <w:spacing w:line="276" w:lineRule="auto" w:before="0" w:after="120"/>
        <w:jc w:val="both"/>
      </w:pPr>
      <w:r>
        <w:rPr>
          <w:rFonts w:ascii="Garamond" w:hAnsi="Garamond"/>
          <w:sz w:val="24"/>
        </w:rPr>
        <w:t xml:space="preserve">3. A clock marked </w:t>
      </w:r>
      <w:r>
        <w:rPr>
          <w:rFonts w:ascii="Garamond" w:hAnsi="Garamond"/>
          <w:sz w:val="24"/>
          <w:i/>
        </w:rPr>
        <w:t xml:space="preserve">never</w:t>
      </w:r>
      <w:r>
        <w:rPr>
          <w:rFonts w:ascii="Garamond" w:hAnsi="Garamond"/>
          <w:sz w:val="24"/>
        </w:rPr>
        <w:t xml:space="preserve"> is to be escalated to the partner on sight, whatever its day count.</w:t>
      </w:r>
    </w:p>
    <w:p>
      <w:pPr>
        <w:ind w:left="720"/>
        <w:spacing w:line="276" w:lineRule="auto" w:before="0" w:after="120"/>
        <w:jc w:val="both"/>
      </w:pPr>
      <w:r>
        <w:rPr>
          <w:rFonts w:ascii="Garamond" w:hAnsi="Garamond"/>
          <w:sz w:val="24"/>
        </w:rPr>
        <w:t xml:space="preserve">4. Overrides and revisions are stated in full sentences, in counsel’s words; the audit record reproduces them verbatim and they will be read later.</w:t>
      </w:r>
    </w:p>
    <w:p>
      <w:pPr>
        <w:ind w:left="720"/>
        <w:spacing w:line="276" w:lineRule="auto" w:before="0" w:after="120"/>
        <w:jc w:val="both"/>
      </w:pPr>
      <w:r>
        <w:rPr>
          <w:rFonts w:ascii="Garamond" w:hAnsi="Garamond"/>
          <w:sz w:val="24"/>
        </w:rPr>
        <w:t xml:space="preserve">5. Verify citations before a draft is finalised; finalisation without recorded verification is a defect in the work product, not a formality missed.</w:t>
      </w:r>
    </w:p>
    <w:p>
      <w:pPr>
        <w:spacing w:line="276" w:lineRule="auto" w:before="240" w:after="120"/>
        <w:jc w:val="left"/>
      </w:pPr>
      <w:r>
        <w:rPr>
          <w:rFonts w:ascii="Garamond" w:hAnsi="Garamond"/>
          <w:sz w:val="24"/>
          <w:b/>
        </w:rPr>
        <w:t xml:space="preserve">V.  CONCLUSION</w:t>
      </w:r>
    </w:p>
    <w:p>
      <w:pPr>
        <w:spacing w:line="276" w:lineRule="auto" w:before="0" w:after="240"/>
        <w:jc w:val="both"/>
      </w:pPr>
      <w:r>
        <w:rPr>
          <w:rFonts w:ascii="Garamond" w:hAnsi="Garamond"/>
          <w:sz w:val="24"/>
        </w:rPr>
        <w:t xml:space="preserve">The system is built on a small number of decisions applied without exception: one automatic act; counsel’s signature at every gate; the practice’s rules as the versioned asset; and an audit record that names its actors and forgets nothing. Held to those decisions, the system remains what it is intended to be — an instrument of preparation whose every position can be proved.</w:t>
      </w:r>
    </w:p>
    <w:p>
      <w:pPr>
        <w:spacing w:line="276" w:lineRule="auto" w:before="240" w:after="120"/>
        <w:jc w:val="left"/>
      </w:pPr>
      <w:r>
        <w:rPr>
          <w:rFonts w:ascii="Garamond" w:hAnsi="Garamond"/>
          <w:sz w:val="24"/>
          <w:b/>
        </w:rPr>
        <w:t xml:space="preserve">NOTES</w:t>
      </w:r>
    </w:p>
    <w:p>
      <w:pPr>
        <w:spacing w:line="276" w:lineRule="auto" w:after="80"/>
        <w:jc w:val="both"/>
      </w:pPr>
      <w:r>
        <w:rPr>
          <w:rFonts w:ascii="Garamond" w:hAnsi="Garamond"/>
          <w:sz w:val="20"/>
        </w:rPr>
        <w:t xml:space="preserve">1. Order VIII Rule 1, Code of Civil Procedure, 1908, proviso as inserted by the Commercial Courts Act, 2015, read with Order VIII Rule 10; the outer limit of one hundred and twenty days is absolute in commercial suits.</w:t>
      </w:r>
    </w:p>
    <w:p>
      <w:pPr>
        <w:spacing w:line="276" w:lineRule="auto" w:after="80"/>
        <w:jc w:val="both"/>
      </w:pPr>
      <w:r>
        <w:rPr>
          <w:rFonts w:ascii="Garamond" w:hAnsi="Garamond"/>
          <w:sz w:val="20"/>
        </w:rPr>
        <w:t xml:space="preserve">2. Section 12A, Commercial Courts Act, 2015 (pre-institution mediation and settlement), applicable where the suit does not contemplate urgent interim relief.</w:t>
      </w:r>
    </w:p>
    <w:p>
      <w:pPr>
        <w:spacing w:line="276" w:lineRule="auto" w:after="80"/>
        <w:jc w:val="both"/>
      </w:pPr>
      <w:r>
        <w:rPr>
          <w:rFonts w:ascii="Garamond" w:hAnsi="Garamond"/>
          <w:sz w:val="20"/>
        </w:rPr>
        <w:t xml:space="preserve">3. Order VII Rule 11, Code of Civil Procedure, 1908 (rejection of plaint); a recital of urgency without supporting facts does not satisfy the proviso to section 12A.</w:t>
      </w:r>
    </w:p>
    <w:p>
      <w:pPr>
        <w:spacing w:line="276" w:lineRule="auto" w:after="80"/>
        <w:jc w:val="both"/>
      </w:pPr>
      <w:r>
        <w:rPr>
          <w:rFonts w:ascii="Garamond" w:hAnsi="Garamond"/>
          <w:sz w:val="20"/>
        </w:rPr>
        <w:t xml:space="preserve">4. Order VIII Rule 5, Code of Civil Procedure, 1908 (specific denial); allegations of fact not specifically denied are taken to be admitted.</w:t>
      </w:r>
    </w:p>
    <w:sectPr>
      <w:pgSz w:w="12240" w:h="15840"/>
      <w:pgMar w:top="1440" w:right="1440" w:bottom="1440" w:left="1440" w:header="720" w:footer="720" w:gutter="0"/>
    </w:sectPr>
  </w:body>
</w:document>
</file>