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2151" w14:textId="77777777" w:rsidR="008532AC" w:rsidRPr="008532AC" w:rsidRDefault="008532AC" w:rsidP="008532A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8532AC">
        <w:rPr>
          <w:rFonts w:ascii="Arial" w:hAnsi="Arial" w:cs="Arial"/>
          <w:color w:val="000000" w:themeColor="text1"/>
          <w:sz w:val="18"/>
          <w:szCs w:val="18"/>
        </w:rPr>
        <w:t xml:space="preserve">Supporting Information for </w:t>
      </w:r>
    </w:p>
    <w:p w14:paraId="2E530FE4" w14:textId="0F8F0067" w:rsidR="008532AC" w:rsidRPr="008532AC" w:rsidRDefault="008532AC" w:rsidP="008532AC">
      <w:pPr>
        <w:jc w:val="center"/>
        <w:rPr>
          <w:rFonts w:ascii="Arial" w:hAnsi="Arial" w:cs="Arial"/>
          <w:color w:val="000000" w:themeColor="text1"/>
          <w:sz w:val="18"/>
          <w:szCs w:val="18"/>
        </w:rPr>
      </w:pPr>
      <w:commentRangeStart w:id="0"/>
      <w:r w:rsidRPr="008532AC">
        <w:rPr>
          <w:rFonts w:ascii="Arial" w:hAnsi="Arial" w:cs="Arial"/>
          <w:i/>
          <w:iCs/>
          <w:color w:val="000000" w:themeColor="text1"/>
          <w:sz w:val="18"/>
          <w:szCs w:val="18"/>
        </w:rPr>
        <w:t>One-Step Retrosynthesis of Drug Molecules Leveraging C–H Coupling Reactions with Commercially Available Building Blocks</w:t>
      </w:r>
      <w:commentRangeEnd w:id="0"/>
      <w:r w:rsidRPr="008532AC">
        <w:rPr>
          <w:rStyle w:val="CommentReference"/>
          <w:rFonts w:ascii="Arial" w:hAnsi="Arial" w:cs="Arial"/>
          <w:i/>
          <w:iCs/>
          <w:sz w:val="18"/>
          <w:szCs w:val="18"/>
        </w:rPr>
        <w:commentReference w:id="0"/>
      </w:r>
    </w:p>
    <w:p w14:paraId="43955ABF" w14:textId="77777777" w:rsidR="008532AC" w:rsidRPr="008532AC" w:rsidRDefault="008532AC" w:rsidP="008532AC">
      <w:pPr>
        <w:jc w:val="center"/>
        <w:rPr>
          <w:rFonts w:ascii="Arial" w:hAnsi="Arial" w:cs="Arial"/>
          <w:sz w:val="18"/>
          <w:szCs w:val="18"/>
        </w:rPr>
      </w:pPr>
      <w:r w:rsidRPr="008532AC">
        <w:rPr>
          <w:rFonts w:ascii="Arial" w:hAnsi="Arial" w:cs="Arial"/>
          <w:sz w:val="18"/>
          <w:szCs w:val="18"/>
        </w:rPr>
        <w:t>Babak Mahjour, Kaitlyn M. Flynn, Shannon Stahl*, Tim Cernak*</w:t>
      </w:r>
    </w:p>
    <w:p w14:paraId="53C71EB6" w14:textId="77777777" w:rsidR="008532AC" w:rsidRPr="008532AC" w:rsidRDefault="008532AC" w:rsidP="008532AC">
      <w:pPr>
        <w:jc w:val="center"/>
        <w:rPr>
          <w:rFonts w:ascii="Arial" w:hAnsi="Arial" w:cs="Arial"/>
          <w:sz w:val="18"/>
          <w:szCs w:val="18"/>
        </w:rPr>
      </w:pPr>
    </w:p>
    <w:p w14:paraId="18F21758" w14:textId="77777777" w:rsidR="008532AC" w:rsidRPr="008532AC" w:rsidRDefault="008532AC" w:rsidP="008532A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32AC">
        <w:rPr>
          <w:rFonts w:ascii="Arial" w:hAnsi="Arial" w:cs="Arial"/>
          <w:sz w:val="18"/>
          <w:szCs w:val="18"/>
        </w:rPr>
        <w:t>Department of Medicinal Chemistry, University of Michigan, Ann Arbor, MI, USA</w:t>
      </w:r>
    </w:p>
    <w:p w14:paraId="1A763BAD" w14:textId="77777777" w:rsidR="008532AC" w:rsidRPr="008532AC" w:rsidRDefault="008532AC" w:rsidP="008532A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532AC">
        <w:rPr>
          <w:rFonts w:ascii="Arial" w:hAnsi="Arial" w:cs="Arial"/>
          <w:sz w:val="18"/>
          <w:szCs w:val="18"/>
        </w:rPr>
        <w:t>Department of Chemistry, University of Wisconsin-Madison, Madison, WI, USA</w:t>
      </w:r>
    </w:p>
    <w:p w14:paraId="33105DBF" w14:textId="6B7E1F94" w:rsidR="00756DE6" w:rsidRDefault="00756DE6">
      <w:pPr>
        <w:rPr>
          <w:rFonts w:ascii="Arial" w:hAnsi="Arial" w:cs="Arial"/>
          <w:sz w:val="18"/>
          <w:szCs w:val="18"/>
        </w:rPr>
      </w:pPr>
    </w:p>
    <w:p w14:paraId="608E540B" w14:textId="4F3B1DC2" w:rsidR="008532AC" w:rsidRDefault="008532AC">
      <w:pPr>
        <w:rPr>
          <w:rFonts w:ascii="Arial" w:hAnsi="Arial" w:cs="Arial"/>
          <w:sz w:val="18"/>
          <w:szCs w:val="18"/>
        </w:rPr>
      </w:pPr>
    </w:p>
    <w:p w14:paraId="29F18DAB" w14:textId="7BB1B176" w:rsidR="008532AC" w:rsidRDefault="008532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Table of Contents</w:t>
      </w:r>
    </w:p>
    <w:p w14:paraId="6AF1F852" w14:textId="5FD056C0" w:rsidR="008532AC" w:rsidRDefault="008532AC">
      <w:pPr>
        <w:rPr>
          <w:rFonts w:ascii="Arial" w:hAnsi="Arial" w:cs="Arial"/>
          <w:sz w:val="18"/>
          <w:szCs w:val="18"/>
        </w:rPr>
      </w:pPr>
    </w:p>
    <w:p w14:paraId="569CF26B" w14:textId="6E8C8592" w:rsidR="008532AC" w:rsidRDefault="00317F2F" w:rsidP="008532A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Examples of one-step synthesis to drugs</w:t>
      </w:r>
    </w:p>
    <w:p w14:paraId="1FED2189" w14:textId="6D284EB7" w:rsidR="00317F2F" w:rsidRDefault="00317F2F" w:rsidP="008532A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Building block occurrence in hypothetical single step reactions to DrugBank</w:t>
      </w:r>
    </w:p>
    <w:p w14:paraId="3E60A89C" w14:textId="5A933C75" w:rsidR="00317F2F" w:rsidRDefault="00317F2F" w:rsidP="008532A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Histogram of most common cross coupling reactions used in single step syntheses of molecules in DrugBank</w:t>
      </w:r>
    </w:p>
    <w:p w14:paraId="1DF26534" w14:textId="0D2CDD1A" w:rsidR="00317F2F" w:rsidRDefault="00317F2F" w:rsidP="008532AC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Example input parameters for the reaction targeting script</w:t>
      </w:r>
    </w:p>
    <w:p w14:paraId="0D2ADD47" w14:textId="77777777" w:rsidR="00317F2F" w:rsidRDefault="00317F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1328540B" w14:textId="522B15A1" w:rsidR="00317F2F" w:rsidRDefault="00317F2F" w:rsidP="00317F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78B1C520" wp14:editId="0DD8D333">
            <wp:extent cx="5943600" cy="7691755"/>
            <wp:effectExtent l="0" t="0" r="0" b="0"/>
            <wp:docPr id="208310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06992" name="Picture 2083106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3FA" w14:textId="56AE014C" w:rsidR="00317F2F" w:rsidRDefault="00317F2F" w:rsidP="00317F2F">
      <w:pPr>
        <w:rPr>
          <w:rFonts w:ascii="Arial" w:hAnsi="Arial" w:cs="Arial"/>
          <w:sz w:val="18"/>
          <w:szCs w:val="18"/>
        </w:rPr>
      </w:pPr>
      <w:r w:rsidRPr="00317F2F">
        <w:rPr>
          <w:rFonts w:ascii="Arial" w:hAnsi="Arial" w:cs="Arial"/>
          <w:b/>
          <w:bCs/>
          <w:sz w:val="18"/>
          <w:szCs w:val="18"/>
        </w:rPr>
        <w:t>Figure S1.</w:t>
      </w:r>
      <w:r>
        <w:rPr>
          <w:rFonts w:ascii="Arial" w:hAnsi="Arial" w:cs="Arial"/>
          <w:sz w:val="18"/>
          <w:szCs w:val="18"/>
        </w:rPr>
        <w:t xml:space="preserve"> Six examples of one step syntheses from two synthons (first two columns) to form a drug found in DrugBank (third column). All reactions are benzylic cross couplings with amines or alcohols.</w:t>
      </w:r>
    </w:p>
    <w:p w14:paraId="6C74AB88" w14:textId="52E561F6" w:rsidR="00317F2F" w:rsidRDefault="00317F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44EC0763" w14:textId="5C52B70E" w:rsidR="00317F2F" w:rsidRDefault="00317F2F" w:rsidP="00317F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422AC987" wp14:editId="5D78C3AE">
            <wp:extent cx="2971800" cy="2946400"/>
            <wp:effectExtent l="0" t="0" r="0" b="0"/>
            <wp:docPr id="164640740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0740" name="Picture 2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985" w14:textId="27527454" w:rsidR="00317F2F" w:rsidRDefault="00317F2F" w:rsidP="00317F2F">
      <w:pPr>
        <w:rPr>
          <w:rFonts w:ascii="Arial" w:hAnsi="Arial" w:cs="Arial"/>
          <w:sz w:val="18"/>
          <w:szCs w:val="18"/>
        </w:rPr>
      </w:pPr>
      <w:r w:rsidRPr="00317F2F">
        <w:rPr>
          <w:rFonts w:ascii="Arial" w:hAnsi="Arial" w:cs="Arial"/>
          <w:b/>
          <w:bCs/>
          <w:sz w:val="18"/>
          <w:szCs w:val="18"/>
        </w:rPr>
        <w:t xml:space="preserve">Figure S2. </w:t>
      </w:r>
      <w:r w:rsidRPr="00317F2F">
        <w:rPr>
          <w:rFonts w:ascii="Arial" w:hAnsi="Arial" w:cs="Arial"/>
          <w:sz w:val="18"/>
          <w:szCs w:val="18"/>
        </w:rPr>
        <w:t>Building block occurrence in hypothetical single step reactions to DrugBank</w:t>
      </w:r>
      <w:r>
        <w:rPr>
          <w:rFonts w:ascii="Arial" w:hAnsi="Arial" w:cs="Arial"/>
          <w:sz w:val="18"/>
          <w:szCs w:val="18"/>
        </w:rPr>
        <w:t>. Six examples of building blocks found in the analysis and their frequencies of occurrence are shown.</w:t>
      </w:r>
    </w:p>
    <w:p w14:paraId="35F66A9F" w14:textId="6CBDBF58" w:rsidR="00317F2F" w:rsidRPr="00317F2F" w:rsidRDefault="00317F2F" w:rsidP="00317F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6C457C89" w14:textId="4B5C3745" w:rsidR="00317F2F" w:rsidRDefault="005A28C3" w:rsidP="00317F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6B70B8CC" wp14:editId="4BB7FEFB">
            <wp:extent cx="3060700" cy="5346700"/>
            <wp:effectExtent l="0" t="0" r="0" b="0"/>
            <wp:docPr id="1883889814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9814" name="Picture 3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F145" w14:textId="4492CD5C" w:rsidR="005A28C3" w:rsidRDefault="005A28C3" w:rsidP="005A28C3">
      <w:pPr>
        <w:rPr>
          <w:rFonts w:ascii="Arial" w:hAnsi="Arial" w:cs="Arial"/>
          <w:sz w:val="18"/>
          <w:szCs w:val="18"/>
        </w:rPr>
      </w:pPr>
      <w:r w:rsidRPr="005A28C3">
        <w:rPr>
          <w:rFonts w:ascii="Arial" w:hAnsi="Arial" w:cs="Arial"/>
          <w:b/>
          <w:bCs/>
          <w:sz w:val="18"/>
          <w:szCs w:val="18"/>
        </w:rPr>
        <w:t xml:space="preserve">Figure S3. </w:t>
      </w:r>
      <w:r w:rsidRPr="005A28C3">
        <w:rPr>
          <w:rFonts w:ascii="Arial" w:hAnsi="Arial" w:cs="Arial"/>
          <w:sz w:val="18"/>
          <w:szCs w:val="18"/>
        </w:rPr>
        <w:t>Histogram of most common cross coupling reactions used in single step syntheses of molecules in DrugBank</w:t>
      </w:r>
      <w:r>
        <w:rPr>
          <w:rFonts w:ascii="Arial" w:hAnsi="Arial" w:cs="Arial"/>
          <w:sz w:val="18"/>
          <w:szCs w:val="18"/>
        </w:rPr>
        <w:t>. Three examples of reactions identified are shown and labeled at the appropriate bin in the histogram.</w:t>
      </w:r>
    </w:p>
    <w:p w14:paraId="4EDD0BED" w14:textId="77777777" w:rsidR="005A28C3" w:rsidRDefault="005A28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E754989" w14:textId="461FF01B" w:rsidR="005A28C3" w:rsidRPr="005A28C3" w:rsidRDefault="005A28C3" w:rsidP="005A28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 wp14:anchorId="524B192B" wp14:editId="058B8B13">
            <wp:extent cx="2844800" cy="901700"/>
            <wp:effectExtent l="0" t="0" r="0" b="0"/>
            <wp:docPr id="1158262812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62812" name="Picture 4" descr="A computer screen shot of a compute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34F9" w14:textId="76F9EC42" w:rsidR="005A28C3" w:rsidRPr="005A28C3" w:rsidRDefault="005A28C3" w:rsidP="005A28C3">
      <w:pPr>
        <w:rPr>
          <w:rFonts w:ascii="Arial" w:hAnsi="Arial" w:cs="Arial"/>
          <w:sz w:val="18"/>
          <w:szCs w:val="18"/>
        </w:rPr>
      </w:pPr>
      <w:r w:rsidRPr="005A28C3">
        <w:rPr>
          <w:rFonts w:ascii="Arial" w:hAnsi="Arial" w:cs="Arial"/>
          <w:b/>
          <w:bCs/>
          <w:sz w:val="18"/>
          <w:szCs w:val="18"/>
        </w:rPr>
        <w:t xml:space="preserve">Figure S4. </w:t>
      </w:r>
      <w:r w:rsidRPr="005A28C3">
        <w:rPr>
          <w:rFonts w:ascii="Arial" w:hAnsi="Arial" w:cs="Arial"/>
          <w:sz w:val="18"/>
          <w:szCs w:val="18"/>
        </w:rPr>
        <w:t>Example input parameters for the reaction targeting script</w:t>
      </w:r>
      <w:r>
        <w:rPr>
          <w:rFonts w:ascii="Arial" w:hAnsi="Arial" w:cs="Arial"/>
          <w:sz w:val="18"/>
          <w:szCs w:val="18"/>
        </w:rPr>
        <w:t xml:space="preserve">. The script can be run via the command line or in a notebook by importing the ‘run’ function. </w:t>
      </w:r>
    </w:p>
    <w:p w14:paraId="585F3049" w14:textId="1E391B1C" w:rsidR="005A28C3" w:rsidRPr="005A28C3" w:rsidRDefault="005A28C3" w:rsidP="00317F2F">
      <w:pPr>
        <w:rPr>
          <w:rFonts w:ascii="Arial" w:hAnsi="Arial" w:cs="Arial"/>
          <w:b/>
          <w:bCs/>
          <w:sz w:val="18"/>
          <w:szCs w:val="18"/>
        </w:rPr>
      </w:pPr>
    </w:p>
    <w:sectPr w:rsidR="005A28C3" w:rsidRPr="005A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ITLYN M FLYNN" w:date="2023-08-28T14:17:00Z" w:initials="KF">
    <w:p w14:paraId="44DC11DF" w14:textId="77777777" w:rsidR="008532AC" w:rsidRDefault="008532AC" w:rsidP="008532AC">
      <w:r>
        <w:rPr>
          <w:rStyle w:val="CommentReference"/>
        </w:rPr>
        <w:annotationRef/>
      </w:r>
      <w:r>
        <w:rPr>
          <w:sz w:val="20"/>
          <w:szCs w:val="20"/>
        </w:rPr>
        <w:t>“</w:t>
      </w:r>
      <w:r>
        <w:rPr>
          <w:b/>
          <w:bCs/>
          <w:sz w:val="20"/>
          <w:szCs w:val="20"/>
        </w:rPr>
        <w:t xml:space="preserve">Activated C–H Building Blocks as Valuable Candidates for One Step Drug Synthesis </w:t>
      </w:r>
      <w:r>
        <w:rPr>
          <w:sz w:val="20"/>
          <w:szCs w:val="20"/>
        </w:rPr>
        <w:t xml:space="preserve">“ or something like this?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DC11D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72AFE" w16cex:dateUtc="2023-08-28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DC11DF" w16cid:durableId="28972A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0551"/>
    <w:multiLevelType w:val="hybridMultilevel"/>
    <w:tmpl w:val="1CC4D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023D"/>
    <w:multiLevelType w:val="hybridMultilevel"/>
    <w:tmpl w:val="48626690"/>
    <w:lvl w:ilvl="0" w:tplc="BE94D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B5090A"/>
    <w:multiLevelType w:val="hybridMultilevel"/>
    <w:tmpl w:val="1CC4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40A3B"/>
    <w:multiLevelType w:val="hybridMultilevel"/>
    <w:tmpl w:val="1CC4D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B0A57"/>
    <w:multiLevelType w:val="hybridMultilevel"/>
    <w:tmpl w:val="1CC4D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554611">
    <w:abstractNumId w:val="1"/>
  </w:num>
  <w:num w:numId="2" w16cid:durableId="1884828101">
    <w:abstractNumId w:val="2"/>
  </w:num>
  <w:num w:numId="3" w16cid:durableId="790830438">
    <w:abstractNumId w:val="3"/>
  </w:num>
  <w:num w:numId="4" w16cid:durableId="1619725232">
    <w:abstractNumId w:val="4"/>
  </w:num>
  <w:num w:numId="5" w16cid:durableId="3472151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ITLYN M FLYNN">
    <w15:presenceInfo w15:providerId="AD" w15:userId="S::kmflynn3@wisc.edu::4d25b962-cfdb-4b8e-a334-5db0a4b38d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AC"/>
    <w:rsid w:val="0002270E"/>
    <w:rsid w:val="00031320"/>
    <w:rsid w:val="00047DC7"/>
    <w:rsid w:val="000653B6"/>
    <w:rsid w:val="00072294"/>
    <w:rsid w:val="0009379C"/>
    <w:rsid w:val="000B0EBA"/>
    <w:rsid w:val="000B42AD"/>
    <w:rsid w:val="000C7F3C"/>
    <w:rsid w:val="000E314D"/>
    <w:rsid w:val="00124BAE"/>
    <w:rsid w:val="00124C0F"/>
    <w:rsid w:val="001320E5"/>
    <w:rsid w:val="00147B24"/>
    <w:rsid w:val="00171628"/>
    <w:rsid w:val="0017499C"/>
    <w:rsid w:val="00184E89"/>
    <w:rsid w:val="001A741D"/>
    <w:rsid w:val="001D3E91"/>
    <w:rsid w:val="00203FF0"/>
    <w:rsid w:val="00233C4A"/>
    <w:rsid w:val="0024394B"/>
    <w:rsid w:val="00273E27"/>
    <w:rsid w:val="00280868"/>
    <w:rsid w:val="002916B9"/>
    <w:rsid w:val="002927F4"/>
    <w:rsid w:val="002A631C"/>
    <w:rsid w:val="002C1FCB"/>
    <w:rsid w:val="00312811"/>
    <w:rsid w:val="00315F10"/>
    <w:rsid w:val="003176B8"/>
    <w:rsid w:val="00317F2F"/>
    <w:rsid w:val="00322E0F"/>
    <w:rsid w:val="0036421B"/>
    <w:rsid w:val="003A3F88"/>
    <w:rsid w:val="003A6013"/>
    <w:rsid w:val="003C17BB"/>
    <w:rsid w:val="003D0918"/>
    <w:rsid w:val="003D23CB"/>
    <w:rsid w:val="003D5687"/>
    <w:rsid w:val="003E6C1B"/>
    <w:rsid w:val="00433EB8"/>
    <w:rsid w:val="00442EC3"/>
    <w:rsid w:val="00450494"/>
    <w:rsid w:val="00467F29"/>
    <w:rsid w:val="00472ED9"/>
    <w:rsid w:val="00483A99"/>
    <w:rsid w:val="00492F23"/>
    <w:rsid w:val="00494942"/>
    <w:rsid w:val="004D1A31"/>
    <w:rsid w:val="004F0AF2"/>
    <w:rsid w:val="00500721"/>
    <w:rsid w:val="00502AAD"/>
    <w:rsid w:val="00541454"/>
    <w:rsid w:val="00545A69"/>
    <w:rsid w:val="005578A1"/>
    <w:rsid w:val="0056485D"/>
    <w:rsid w:val="0057524B"/>
    <w:rsid w:val="005840F1"/>
    <w:rsid w:val="005A28C3"/>
    <w:rsid w:val="005C0AF1"/>
    <w:rsid w:val="005C37EF"/>
    <w:rsid w:val="005C7574"/>
    <w:rsid w:val="005D3B8A"/>
    <w:rsid w:val="005D7379"/>
    <w:rsid w:val="005F6525"/>
    <w:rsid w:val="00642CE4"/>
    <w:rsid w:val="00680C2F"/>
    <w:rsid w:val="00685774"/>
    <w:rsid w:val="006C412E"/>
    <w:rsid w:val="006E234F"/>
    <w:rsid w:val="0073574D"/>
    <w:rsid w:val="0074013A"/>
    <w:rsid w:val="00744EB9"/>
    <w:rsid w:val="00756DE6"/>
    <w:rsid w:val="007752FE"/>
    <w:rsid w:val="0078020B"/>
    <w:rsid w:val="007814AF"/>
    <w:rsid w:val="00785926"/>
    <w:rsid w:val="007C3408"/>
    <w:rsid w:val="007C3454"/>
    <w:rsid w:val="007C6189"/>
    <w:rsid w:val="007E32B8"/>
    <w:rsid w:val="007F433F"/>
    <w:rsid w:val="00802210"/>
    <w:rsid w:val="008532AC"/>
    <w:rsid w:val="0085737B"/>
    <w:rsid w:val="00872AC8"/>
    <w:rsid w:val="00884A40"/>
    <w:rsid w:val="008926EB"/>
    <w:rsid w:val="00895CC1"/>
    <w:rsid w:val="008A07C6"/>
    <w:rsid w:val="008C7009"/>
    <w:rsid w:val="008E3CC2"/>
    <w:rsid w:val="008F5DD0"/>
    <w:rsid w:val="00916168"/>
    <w:rsid w:val="009447DC"/>
    <w:rsid w:val="00960499"/>
    <w:rsid w:val="009907BF"/>
    <w:rsid w:val="009D0524"/>
    <w:rsid w:val="009E60EF"/>
    <w:rsid w:val="00A046F4"/>
    <w:rsid w:val="00A06CEC"/>
    <w:rsid w:val="00A075FE"/>
    <w:rsid w:val="00A10B98"/>
    <w:rsid w:val="00A33489"/>
    <w:rsid w:val="00A509EC"/>
    <w:rsid w:val="00A7174A"/>
    <w:rsid w:val="00AA7F67"/>
    <w:rsid w:val="00AE14CF"/>
    <w:rsid w:val="00B2326B"/>
    <w:rsid w:val="00B6263B"/>
    <w:rsid w:val="00B67715"/>
    <w:rsid w:val="00B84B57"/>
    <w:rsid w:val="00BA704C"/>
    <w:rsid w:val="00BE0634"/>
    <w:rsid w:val="00BE1FC3"/>
    <w:rsid w:val="00C04933"/>
    <w:rsid w:val="00C25AC1"/>
    <w:rsid w:val="00C3706A"/>
    <w:rsid w:val="00C37A41"/>
    <w:rsid w:val="00C50950"/>
    <w:rsid w:val="00C839C2"/>
    <w:rsid w:val="00C93900"/>
    <w:rsid w:val="00CB2A26"/>
    <w:rsid w:val="00CC7CD8"/>
    <w:rsid w:val="00CE3516"/>
    <w:rsid w:val="00CE3F80"/>
    <w:rsid w:val="00CE7F10"/>
    <w:rsid w:val="00D00726"/>
    <w:rsid w:val="00D1486C"/>
    <w:rsid w:val="00D275CB"/>
    <w:rsid w:val="00D35688"/>
    <w:rsid w:val="00D411EE"/>
    <w:rsid w:val="00D43CD9"/>
    <w:rsid w:val="00D647FE"/>
    <w:rsid w:val="00DC28FD"/>
    <w:rsid w:val="00DC2D76"/>
    <w:rsid w:val="00DD5610"/>
    <w:rsid w:val="00DD5BC2"/>
    <w:rsid w:val="00DE4733"/>
    <w:rsid w:val="00DF1D04"/>
    <w:rsid w:val="00E240D0"/>
    <w:rsid w:val="00E41181"/>
    <w:rsid w:val="00E465D5"/>
    <w:rsid w:val="00E85DB2"/>
    <w:rsid w:val="00EE3602"/>
    <w:rsid w:val="00EE66C2"/>
    <w:rsid w:val="00EF5834"/>
    <w:rsid w:val="00EF7AF6"/>
    <w:rsid w:val="00F306FD"/>
    <w:rsid w:val="00F45F3E"/>
    <w:rsid w:val="00F70FEC"/>
    <w:rsid w:val="00F732DF"/>
    <w:rsid w:val="00F77020"/>
    <w:rsid w:val="00F91524"/>
    <w:rsid w:val="00FA6B46"/>
    <w:rsid w:val="00FB7457"/>
    <w:rsid w:val="00FC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2BB89"/>
  <w15:chartTrackingRefBased/>
  <w15:docId w15:val="{B8C643CF-FDC3-4C47-BE49-6E821286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11EE"/>
    <w:pPr>
      <w:spacing w:after="200"/>
    </w:pPr>
    <w:rPr>
      <w:rFonts w:ascii="Arial" w:hAnsi="Arial"/>
      <w:iCs/>
      <w:color w:val="000000" w:themeColor="text1"/>
      <w:szCs w:val="18"/>
    </w:rPr>
  </w:style>
  <w:style w:type="paragraph" w:styleId="Revision">
    <w:name w:val="Revision"/>
    <w:hidden/>
    <w:uiPriority w:val="99"/>
    <w:semiHidden/>
    <w:rsid w:val="00CB2A26"/>
  </w:style>
  <w:style w:type="paragraph" w:styleId="ListParagraph">
    <w:name w:val="List Paragraph"/>
    <w:basedOn w:val="Normal"/>
    <w:uiPriority w:val="34"/>
    <w:qFormat/>
    <w:rsid w:val="008532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32A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Mahjour, Babak</dc:creator>
  <cp:keywords/>
  <dc:description/>
  <cp:lastModifiedBy>Mahjour, Babak</cp:lastModifiedBy>
  <cp:revision>1</cp:revision>
  <dcterms:created xsi:type="dcterms:W3CDTF">2024-02-20T00:10:00Z</dcterms:created>
  <dcterms:modified xsi:type="dcterms:W3CDTF">2024-02-20T00:56:00Z</dcterms:modified>
</cp:coreProperties>
</file>