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36" w:rsidRDefault="00BA2E07" w:rsidP="00996936">
      <w:r>
        <w:t xml:space="preserve">Total 16 Tasks </w:t>
      </w:r>
    </w:p>
    <w:p w:rsidR="00BA2E07" w:rsidRDefault="00BA2E07" w:rsidP="00996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6936" w:rsidTr="00996936"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Brian</w:t>
            </w:r>
          </w:p>
        </w:tc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Conor</w:t>
            </w:r>
          </w:p>
        </w:tc>
        <w:tc>
          <w:tcPr>
            <w:tcW w:w="3006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John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BC703A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A90AC7">
            <w:pPr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162F78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B717A4">
            <w:pPr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162F78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A82132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3005" w:type="dxa"/>
          </w:tcPr>
          <w:p w:rsidR="00996936" w:rsidRDefault="00162F78" w:rsidP="0099693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A2E07">
              <w:rPr>
                <w:b/>
              </w:rPr>
              <w:t>/16</w:t>
            </w:r>
          </w:p>
        </w:tc>
        <w:tc>
          <w:tcPr>
            <w:tcW w:w="3006" w:type="dxa"/>
          </w:tcPr>
          <w:p w:rsidR="00996936" w:rsidRDefault="00162F78" w:rsidP="00996936">
            <w:pPr>
              <w:jc w:val="center"/>
              <w:rPr>
                <w:b/>
              </w:rPr>
            </w:pPr>
            <w:r>
              <w:rPr>
                <w:b/>
              </w:rPr>
              <w:t>81.25</w:t>
            </w:r>
            <w:r w:rsidR="00BA2E07">
              <w:rPr>
                <w:b/>
              </w:rPr>
              <w:t>%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BC703A" w:rsidRDefault="00BC703A" w:rsidP="00BC703A"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A90AC7" w:rsidRDefault="00A90AC7" w:rsidP="00A90AC7">
            <w:r>
              <w:t>add a light source (not positioned directly overhead) and add diffuse lighting to the scene</w:t>
            </w:r>
          </w:p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Create a smooth greyscale height map of your own design, it should incorporate mountains &amp; valleys. There should be a flat area representing sea/</w:t>
            </w:r>
            <w:proofErr w:type="gramStart"/>
            <w:r>
              <w:t>water(</w:t>
            </w:r>
            <w:proofErr w:type="gramEnd"/>
            <w:r>
              <w:t>about 25% of overall) with a value zero (pure black). There must be at least some areas with values above 0.95 (mountain tops)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BC703A" w:rsidRDefault="00BC703A" w:rsidP="00BC703A">
            <w:r>
              <w:t>Implement a free camera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B717A4" w:rsidRDefault="00B717A4" w:rsidP="00B717A4">
            <w:r>
              <w:t>add easy to see specular light to the area of sea texture (nowhere else)</w:t>
            </w:r>
          </w:p>
          <w:p w:rsidR="00996936" w:rsidRDefault="00996936" w:rsidP="00996936">
            <w:pPr>
              <w:jc w:val="center"/>
            </w:pPr>
            <w:bookmarkStart w:id="0" w:name="_GoBack"/>
            <w:bookmarkEnd w:id="0"/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Use the height map to modulate the y-coordinate of each vertex to be proportional to the value of the corresponding </w:t>
            </w:r>
            <w:proofErr w:type="spellStart"/>
            <w:proofErr w:type="gramStart"/>
            <w:r>
              <w:t>texel</w:t>
            </w:r>
            <w:proofErr w:type="spellEnd"/>
            <w:r>
              <w:t xml:space="preserve">  in</w:t>
            </w:r>
            <w:proofErr w:type="gramEnd"/>
            <w:r>
              <w:t xml:space="preserve"> the height map. The height map should apply to the whole mesh.</w:t>
            </w:r>
          </w:p>
          <w:p w:rsidR="00996936" w:rsidRDefault="00996936" w:rsidP="00996936">
            <w:r>
              <w:t xml:space="preserve">Each vertex on the grid should have an appropriate texture coordinate using </w:t>
            </w:r>
            <w:proofErr w:type="gramStart"/>
            <w:r>
              <w:t>glTexCood2D(</w:t>
            </w:r>
            <w:proofErr w:type="gramEnd"/>
            <w:r>
              <w:t>). One corner of the grid should have texture coordinates of (0,0), opposite corner should be (1,1) all other vertices should have appropriate values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162F78" w:rsidRDefault="00162F78" w:rsidP="00162F78">
            <w:r>
              <w:t>Pressing ‘o’ should change the projection to orthographic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A82132" w:rsidRDefault="00A82132" w:rsidP="00A82132">
            <w:r>
              <w:t>lighting should be “per-pixel”</w:t>
            </w:r>
          </w:p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Find or create 3 texture maps (sea-surface, grass, snowy-rocks)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162F78" w:rsidRDefault="00162F78" w:rsidP="00162F78">
            <w:r>
              <w:t>Pressing ‘p’ should change the projection back to perspective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Using the fragment </w:t>
            </w:r>
            <w:proofErr w:type="spellStart"/>
            <w:r>
              <w:t>shader</w:t>
            </w:r>
            <w:proofErr w:type="spellEnd"/>
            <w:r>
              <w:t xml:space="preserve"> apply all 3 of the texture maps </w:t>
            </w:r>
            <w:r>
              <w:lastRenderedPageBreak/>
              <w:t xml:space="preserve">to the surface only in the following areas (I am assuming </w:t>
            </w:r>
            <w:proofErr w:type="spellStart"/>
            <w:r>
              <w:t>heightmap</w:t>
            </w:r>
            <w:proofErr w:type="spellEnd"/>
            <w:r>
              <w:t xml:space="preserve"> min=0 &amp; </w:t>
            </w:r>
            <w:proofErr w:type="spellStart"/>
            <w:r>
              <w:t>heightmap</w:t>
            </w:r>
            <w:proofErr w:type="spellEnd"/>
            <w:r>
              <w:t xml:space="preserve"> max=1)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lastRenderedPageBreak/>
              <w:t>sea-texture  in vertices where the height-map value is below 0.1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grass-texture where  height-map value is between 0.05 and 0.75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snowy-rocks where height-map value is above  0.6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areas where two textures overlap, there should be a blended transition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Pressing ‘</w:t>
            </w:r>
            <w:proofErr w:type="spellStart"/>
            <w:r>
              <w:t>i</w:t>
            </w:r>
            <w:proofErr w:type="spellEnd"/>
            <w:r>
              <w:t>’ should toggle between solid and wireframe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</w:tbl>
    <w:p w:rsidR="00996936" w:rsidRDefault="00996936" w:rsidP="00996936"/>
    <w:sectPr w:rsidR="0099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36"/>
    <w:rsid w:val="0009164E"/>
    <w:rsid w:val="00162F78"/>
    <w:rsid w:val="00886C36"/>
    <w:rsid w:val="00996936"/>
    <w:rsid w:val="00A82132"/>
    <w:rsid w:val="00A90AC7"/>
    <w:rsid w:val="00B717A4"/>
    <w:rsid w:val="00BA2E07"/>
    <w:rsid w:val="00B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9CF69-E77D-4C1E-904A-D2BD19EF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JK</cp:lastModifiedBy>
  <cp:revision>6</cp:revision>
  <dcterms:created xsi:type="dcterms:W3CDTF">2015-02-09T14:11:00Z</dcterms:created>
  <dcterms:modified xsi:type="dcterms:W3CDTF">2015-02-16T17:35:00Z</dcterms:modified>
</cp:coreProperties>
</file>