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4DC6B" w14:textId="016BD804" w:rsidR="00A26AB2" w:rsidRDefault="00091A21" w:rsidP="00C110D7">
      <w:pPr>
        <w:spacing w:before="120" w:after="120" w:line="312" w:lineRule="auto"/>
        <w:outlineLvl w:val="0"/>
        <w:rPr>
          <w:rFonts w:ascii="Tahoma" w:hAnsi="Tahoma" w:cs="Tahoma"/>
          <w:i/>
          <w:sz w:val="20"/>
          <w:szCs w:val="20"/>
        </w:rPr>
      </w:pPr>
      <w:r>
        <w:rPr>
          <w:rFonts w:ascii="Tahoma" w:hAnsi="Tahoma" w:cs="Tahoma"/>
          <w:b/>
          <w:sz w:val="28"/>
          <w:szCs w:val="28"/>
        </w:rPr>
        <w:t>VIWAPA IRP Report</w:t>
      </w:r>
      <w:r w:rsidR="00C110D7" w:rsidRPr="00A26AB2">
        <w:rPr>
          <w:rFonts w:ascii="Tahoma" w:hAnsi="Tahoma" w:cs="Tahoma"/>
          <w:b/>
          <w:sz w:val="28"/>
          <w:szCs w:val="28"/>
        </w:rPr>
        <w:t xml:space="preserve"> </w:t>
      </w:r>
      <w:r w:rsidR="00C110D7" w:rsidRPr="00A26AB2">
        <w:rPr>
          <w:rFonts w:ascii="Tahoma" w:hAnsi="Tahoma" w:cs="Tahoma"/>
          <w:b/>
          <w:sz w:val="28"/>
          <w:szCs w:val="28"/>
        </w:rPr>
        <w:cr/>
      </w:r>
      <w:r w:rsidR="00A26AB2">
        <w:rPr>
          <w:rFonts w:ascii="Tahoma" w:hAnsi="Tahoma" w:cs="Tahoma"/>
          <w:i/>
          <w:sz w:val="20"/>
          <w:szCs w:val="20"/>
        </w:rPr>
        <w:t>Links</w:t>
      </w:r>
    </w:p>
    <w:p w14:paraId="634E24B2" w14:textId="0D29B36F" w:rsidR="00CF42CB" w:rsidRPr="00091A21" w:rsidRDefault="004319C2" w:rsidP="009C090C">
      <w:pPr>
        <w:pStyle w:val="ListParagraph"/>
        <w:numPr>
          <w:ilvl w:val="0"/>
          <w:numId w:val="1"/>
        </w:numPr>
        <w:spacing w:before="120" w:after="120" w:line="312" w:lineRule="auto"/>
        <w:outlineLvl w:val="0"/>
        <w:rPr>
          <w:rFonts w:ascii="Tahoma" w:eastAsiaTheme="minorEastAsia" w:hAnsi="Tahoma" w:cs="Tahoma"/>
          <w:sz w:val="20"/>
          <w:szCs w:val="20"/>
        </w:rPr>
      </w:pPr>
      <w:hyperlink r:id="rId8" w:history="1">
        <w:r w:rsidR="00091A21">
          <w:rPr>
            <w:rStyle w:val="Hyperlink"/>
            <w:rFonts w:ascii="Tahoma" w:eastAsiaTheme="minorEastAsia" w:hAnsi="Tahoma" w:cs="Tahoma"/>
            <w:sz w:val="20"/>
            <w:szCs w:val="20"/>
          </w:rPr>
          <w:t>PDF</w:t>
        </w:r>
      </w:hyperlink>
      <w:r w:rsidR="00D422F7">
        <w:rPr>
          <w:rFonts w:ascii="Tahoma" w:eastAsiaTheme="minorEastAsia" w:hAnsi="Tahoma" w:cs="Tahoma"/>
          <w:sz w:val="20"/>
          <w:szCs w:val="20"/>
        </w:rPr>
        <w:t xml:space="preserve"> </w:t>
      </w:r>
      <w:r w:rsidR="00CF42CB" w:rsidRPr="00091A21">
        <w:rPr>
          <w:rFonts w:ascii="Tahoma" w:eastAsiaTheme="minorEastAsia" w:hAnsi="Tahoma" w:cs="Tahoma"/>
          <w:sz w:val="20"/>
          <w:szCs w:val="20"/>
        </w:rPr>
        <w:t xml:space="preserve"> </w:t>
      </w:r>
    </w:p>
    <w:p w14:paraId="0250FB4D" w14:textId="7BFF167D" w:rsidR="00BD5B76" w:rsidRDefault="0044738A" w:rsidP="00C110D7">
      <w:pPr>
        <w:spacing w:before="120" w:after="120" w:line="312" w:lineRule="auto"/>
        <w:outlineLvl w:val="0"/>
        <w:rPr>
          <w:rFonts w:ascii="Tahoma" w:eastAsiaTheme="minorEastAsia" w:hAnsi="Tahoma" w:cs="Tahoma"/>
          <w:sz w:val="20"/>
          <w:szCs w:val="20"/>
        </w:rPr>
      </w:pPr>
      <w:r>
        <w:rPr>
          <w:rFonts w:ascii="Tahoma" w:eastAsiaTheme="minorEastAsia" w:hAnsi="Tahoma" w:cs="Tahoma"/>
          <w:b/>
          <w:sz w:val="20"/>
          <w:szCs w:val="20"/>
          <w:u w:val="single"/>
        </w:rPr>
        <w:t>Section 3:</w:t>
      </w:r>
      <w:r w:rsidR="00091A21">
        <w:rPr>
          <w:rFonts w:ascii="Tahoma" w:eastAsiaTheme="minorEastAsia" w:hAnsi="Tahoma" w:cs="Tahoma"/>
          <w:b/>
          <w:sz w:val="20"/>
          <w:szCs w:val="20"/>
          <w:u w:val="single"/>
        </w:rPr>
        <w:t xml:space="preserve"> Major IRP Assumptions</w:t>
      </w:r>
    </w:p>
    <w:p w14:paraId="0C9EA7D5" w14:textId="41878046" w:rsidR="00091A21" w:rsidRDefault="00091A21" w:rsidP="00C110D7">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Assumptions made in the IRP:</w:t>
      </w:r>
    </w:p>
    <w:p w14:paraId="3D9946B5" w14:textId="3448BA4C" w:rsidR="00091A21" w:rsidRPr="00091A21" w:rsidRDefault="00091A21" w:rsidP="00091A21">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 xml:space="preserve">3.1 </w:t>
      </w:r>
      <w:r w:rsidRPr="00091A21">
        <w:rPr>
          <w:rFonts w:ascii="Tahoma" w:eastAsiaTheme="minorEastAsia" w:hAnsi="Tahoma" w:cs="Tahoma"/>
          <w:i/>
          <w:sz w:val="20"/>
          <w:szCs w:val="20"/>
        </w:rPr>
        <w:t>Inflation and Escalation Rates</w:t>
      </w:r>
    </w:p>
    <w:p w14:paraId="3770A062" w14:textId="2073402C" w:rsidR="00091A21" w:rsidRDefault="00091A21" w:rsidP="00091A21">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The general inflation rate is assumed to be 2.0% per year, and applies to</w:t>
      </w:r>
      <w:r w:rsidR="00E33459">
        <w:rPr>
          <w:rFonts w:ascii="Tahoma" w:eastAsiaTheme="minorEastAsia" w:hAnsi="Tahoma" w:cs="Tahoma"/>
          <w:sz w:val="20"/>
          <w:szCs w:val="20"/>
        </w:rPr>
        <w:t xml:space="preserve"> the escalation of:</w:t>
      </w:r>
    </w:p>
    <w:p w14:paraId="060581D7" w14:textId="763CE02D" w:rsidR="00E33459" w:rsidRDefault="00E33459" w:rsidP="009C090C">
      <w:pPr>
        <w:pStyle w:val="ListParagraph"/>
        <w:numPr>
          <w:ilvl w:val="0"/>
          <w:numId w:val="1"/>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Capital Costs</w:t>
      </w:r>
    </w:p>
    <w:p w14:paraId="6E0CEF14" w14:textId="2098AFA6" w:rsidR="00E33459" w:rsidRDefault="00E33459" w:rsidP="009C090C">
      <w:pPr>
        <w:pStyle w:val="ListParagraph"/>
        <w:numPr>
          <w:ilvl w:val="0"/>
          <w:numId w:val="1"/>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Fixed O&amp;M costs</w:t>
      </w:r>
    </w:p>
    <w:p w14:paraId="13F327E6" w14:textId="4F42C215" w:rsidR="00E33459" w:rsidRDefault="00E33459" w:rsidP="009C090C">
      <w:pPr>
        <w:pStyle w:val="ListParagraph"/>
        <w:numPr>
          <w:ilvl w:val="0"/>
          <w:numId w:val="1"/>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Non-fuel variable O&amp;M cost escalation</w:t>
      </w:r>
    </w:p>
    <w:p w14:paraId="14D1FE1C" w14:textId="64F8C26E" w:rsidR="00F17039" w:rsidRDefault="00F17039" w:rsidP="00F17039">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This annual rate is applied to initial costs to derive estimates of future year costs</w:t>
      </w:r>
    </w:p>
    <w:p w14:paraId="3CC8D144" w14:textId="476BE8C6" w:rsidR="00F17039" w:rsidRDefault="00F17039" w:rsidP="00F17039">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3.2 Financing Assumptions</w:t>
      </w:r>
    </w:p>
    <w:p w14:paraId="11FA4B68" w14:textId="77883D43" w:rsidR="00222312" w:rsidRDefault="00222312" w:rsidP="00F17039">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Historically, VIWAPA </w:t>
      </w:r>
      <w:r w:rsidR="006E462A">
        <w:rPr>
          <w:rFonts w:ascii="Tahoma" w:eastAsiaTheme="minorEastAsia" w:hAnsi="Tahoma" w:cs="Tahoma"/>
          <w:sz w:val="20"/>
          <w:szCs w:val="20"/>
        </w:rPr>
        <w:t>has financed new generation using 100 percent debt. After Hurricanes Irma and Maria, the US federal government (through FEMA and HUD) committed to provide significant grant funding for new generation, contingent upon several conditions including the completion of VIWAPA IRP.</w:t>
      </w:r>
    </w:p>
    <w:p w14:paraId="2C0DAB85" w14:textId="6F7BCA0A" w:rsidR="009C7383" w:rsidRDefault="009C7383" w:rsidP="00F17039">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In July 2019, it was initially assumed that the grant funding amounting to $200 million would be provided to VIWAPA.</w:t>
      </w:r>
      <w:r w:rsidR="008362C0">
        <w:rPr>
          <w:rFonts w:ascii="Tahoma" w:eastAsiaTheme="minorEastAsia" w:hAnsi="Tahoma" w:cs="Tahoma"/>
          <w:sz w:val="20"/>
          <w:szCs w:val="20"/>
        </w:rPr>
        <w:t xml:space="preserve"> To estimate these costs, the IRP estimates two measures of system costs:</w:t>
      </w:r>
    </w:p>
    <w:p w14:paraId="70AA0FF9" w14:textId="2241B6AC" w:rsidR="0085081D" w:rsidRPr="0085081D" w:rsidRDefault="008362C0" w:rsidP="009C090C">
      <w:pPr>
        <w:pStyle w:val="ListParagraph"/>
        <w:numPr>
          <w:ilvl w:val="0"/>
          <w:numId w:val="2"/>
        </w:numPr>
        <w:spacing w:before="120" w:after="120" w:line="312" w:lineRule="auto"/>
        <w:outlineLvl w:val="0"/>
        <w:rPr>
          <w:rFonts w:ascii="Tahoma" w:eastAsiaTheme="minorEastAsia" w:hAnsi="Tahoma" w:cs="Tahoma"/>
          <w:sz w:val="20"/>
          <w:szCs w:val="20"/>
        </w:rPr>
      </w:pPr>
      <w:r w:rsidRPr="0085081D">
        <w:rPr>
          <w:rFonts w:ascii="Tahoma" w:eastAsiaTheme="minorEastAsia" w:hAnsi="Tahoma" w:cs="Tahoma"/>
          <w:i/>
          <w:sz w:val="20"/>
          <w:szCs w:val="20"/>
        </w:rPr>
        <w:t xml:space="preserve">Total </w:t>
      </w:r>
      <w:r w:rsidR="00CD0C7A" w:rsidRPr="0085081D">
        <w:rPr>
          <w:rFonts w:ascii="Tahoma" w:eastAsiaTheme="minorEastAsia" w:hAnsi="Tahoma" w:cs="Tahoma"/>
          <w:i/>
          <w:sz w:val="20"/>
          <w:szCs w:val="20"/>
        </w:rPr>
        <w:t>Cumulative Present Worth Cost (CPWC)</w:t>
      </w:r>
      <w:r w:rsidR="0085081D">
        <w:rPr>
          <w:rFonts w:ascii="Tahoma" w:eastAsiaTheme="minorEastAsia" w:hAnsi="Tahoma" w:cs="Tahoma"/>
          <w:sz w:val="20"/>
          <w:szCs w:val="20"/>
        </w:rPr>
        <w:t xml:space="preserve"> including capital costs of all new resources</w:t>
      </w:r>
    </w:p>
    <w:p w14:paraId="244642FE" w14:textId="55C3FA90" w:rsidR="00A01884" w:rsidRPr="008362C0" w:rsidRDefault="0074012B" w:rsidP="009C090C">
      <w:pPr>
        <w:pStyle w:val="ListParagraph"/>
        <w:numPr>
          <w:ilvl w:val="0"/>
          <w:numId w:val="2"/>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Another measure of </w:t>
      </w:r>
      <w:r w:rsidR="0085081D" w:rsidRPr="0085081D">
        <w:rPr>
          <w:rFonts w:ascii="Tahoma" w:eastAsiaTheme="minorEastAsia" w:hAnsi="Tahoma" w:cs="Tahoma"/>
          <w:i/>
          <w:sz w:val="20"/>
          <w:szCs w:val="20"/>
        </w:rPr>
        <w:t xml:space="preserve">Cumulative Present Worth Cost </w:t>
      </w:r>
      <w:r w:rsidR="0085081D">
        <w:rPr>
          <w:rFonts w:ascii="Tahoma" w:eastAsiaTheme="minorEastAsia" w:hAnsi="Tahoma" w:cs="Tahoma"/>
          <w:sz w:val="20"/>
          <w:szCs w:val="20"/>
        </w:rPr>
        <w:t>which assumes that US government funding will not be repaid by VIWAPA or the Virgin Island</w:t>
      </w:r>
    </w:p>
    <w:p w14:paraId="62E82664" w14:textId="4E1DB0F3" w:rsidR="004B513E" w:rsidRDefault="0050275D" w:rsidP="008A3D07">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3.3 Present Worth Discount Rate</w:t>
      </w:r>
    </w:p>
    <w:p w14:paraId="26A2E781" w14:textId="4C2E9EAC" w:rsidR="00090A3C" w:rsidRDefault="005304AE" w:rsidP="008A3D07">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The various plans to expand generation capacity are compared on a present </w:t>
      </w:r>
      <w:r w:rsidR="00A63C38">
        <w:rPr>
          <w:rFonts w:ascii="Tahoma" w:eastAsiaTheme="minorEastAsia" w:hAnsi="Tahoma" w:cs="Tahoma"/>
          <w:sz w:val="20"/>
          <w:szCs w:val="20"/>
        </w:rPr>
        <w:t>worth basis (i.e., the CPWC measures detailed in Section 3.2 above</w:t>
      </w:r>
      <w:r w:rsidR="00BB15CB">
        <w:rPr>
          <w:rFonts w:ascii="Tahoma" w:eastAsiaTheme="minorEastAsia" w:hAnsi="Tahoma" w:cs="Tahoma"/>
          <w:sz w:val="20"/>
          <w:szCs w:val="20"/>
        </w:rPr>
        <w:t>)</w:t>
      </w:r>
      <w:r w:rsidR="00A63C38">
        <w:rPr>
          <w:rFonts w:ascii="Tahoma" w:eastAsiaTheme="minorEastAsia" w:hAnsi="Tahoma" w:cs="Tahoma"/>
          <w:sz w:val="20"/>
          <w:szCs w:val="20"/>
        </w:rPr>
        <w:t>.</w:t>
      </w:r>
      <w:r w:rsidR="00A344FF">
        <w:rPr>
          <w:rFonts w:ascii="Tahoma" w:eastAsiaTheme="minorEastAsia" w:hAnsi="Tahoma" w:cs="Tahoma"/>
          <w:sz w:val="20"/>
          <w:szCs w:val="20"/>
        </w:rPr>
        <w:t xml:space="preserve"> </w:t>
      </w:r>
    </w:p>
    <w:p w14:paraId="50B07EC6" w14:textId="4979C0C5" w:rsidR="0050275D" w:rsidRDefault="00A344FF" w:rsidP="00090A3C">
      <w:pPr>
        <w:spacing w:before="120" w:after="120" w:line="312" w:lineRule="auto"/>
        <w:jc w:val="center"/>
        <w:outlineLvl w:val="0"/>
        <w:rPr>
          <w:rFonts w:ascii="Tahoma" w:eastAsiaTheme="minorEastAsia" w:hAnsi="Tahoma" w:cs="Tahoma"/>
          <w:i/>
          <w:sz w:val="20"/>
          <w:szCs w:val="20"/>
        </w:rPr>
      </w:pPr>
      <w:r w:rsidRPr="00090A3C">
        <w:rPr>
          <w:rFonts w:ascii="Tahoma" w:eastAsiaTheme="minorEastAsia" w:hAnsi="Tahoma" w:cs="Tahoma"/>
          <w:i/>
          <w:sz w:val="20"/>
          <w:szCs w:val="20"/>
        </w:rPr>
        <w:t>These measures involve discounting the estimated incremental cost of serving load each year back to the start of the study peri</w:t>
      </w:r>
      <w:r w:rsidR="00090A3C" w:rsidRPr="00090A3C">
        <w:rPr>
          <w:rFonts w:ascii="Tahoma" w:eastAsiaTheme="minorEastAsia" w:hAnsi="Tahoma" w:cs="Tahoma"/>
          <w:i/>
          <w:sz w:val="20"/>
          <w:szCs w:val="20"/>
        </w:rPr>
        <w:t>od (2020 in this IRP), and then</w:t>
      </w:r>
      <w:r w:rsidR="00090A3C">
        <w:rPr>
          <w:rFonts w:ascii="Tahoma" w:eastAsiaTheme="minorEastAsia" w:hAnsi="Tahoma" w:cs="Tahoma"/>
          <w:i/>
          <w:sz w:val="20"/>
          <w:szCs w:val="20"/>
        </w:rPr>
        <w:t xml:space="preserve"> summing up the discounted annual costs numbers to derive a single CPWC amount.</w:t>
      </w:r>
    </w:p>
    <w:p w14:paraId="1F5F1A32" w14:textId="0CA82E27" w:rsidR="00B43118" w:rsidRDefault="006B5D76" w:rsidP="00B43118">
      <w:pPr>
        <w:spacing w:before="120" w:after="120" w:line="312" w:lineRule="auto"/>
        <w:outlineLvl w:val="0"/>
        <w:rPr>
          <w:rFonts w:ascii="Tahoma" w:eastAsiaTheme="minorEastAsia" w:hAnsi="Tahoma" w:cs="Tahoma"/>
          <w:sz w:val="20"/>
          <w:szCs w:val="20"/>
        </w:rPr>
      </w:pPr>
      <w:r w:rsidRPr="00531F65">
        <w:rPr>
          <w:rFonts w:ascii="Tahoma" w:eastAsiaTheme="minorEastAsia" w:hAnsi="Tahoma" w:cs="Tahoma"/>
          <w:noProof/>
        </w:rPr>
        <mc:AlternateContent>
          <mc:Choice Requires="wps">
            <w:drawing>
              <wp:anchor distT="0" distB="0" distL="114300" distR="114300" simplePos="0" relativeHeight="251659264" behindDoc="0" locked="0" layoutInCell="1" allowOverlap="1" wp14:anchorId="7187E1EC" wp14:editId="459F77C2">
                <wp:simplePos x="0" y="0"/>
                <wp:positionH relativeFrom="column">
                  <wp:posOffset>3823970</wp:posOffset>
                </wp:positionH>
                <wp:positionV relativeFrom="paragraph">
                  <wp:posOffset>12065</wp:posOffset>
                </wp:positionV>
                <wp:extent cx="2283460" cy="1390650"/>
                <wp:effectExtent l="0" t="0" r="27940" b="31750"/>
                <wp:wrapThrough wrapText="bothSides">
                  <wp:wrapPolygon edited="0">
                    <wp:start x="0" y="0"/>
                    <wp:lineTo x="0" y="21699"/>
                    <wp:lineTo x="21624" y="21699"/>
                    <wp:lineTo x="21624"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2283460" cy="13906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F0FAB" w14:textId="4FB5A39D" w:rsidR="00C110D7" w:rsidRDefault="00C63411" w:rsidP="00C110D7">
                            <w:pPr>
                              <w:spacing w:after="60"/>
                              <w:jc w:val="center"/>
                              <w:rPr>
                                <w:rFonts w:ascii="Tahoma" w:hAnsi="Tahoma" w:cs="Tahoma"/>
                                <w:b/>
                                <w:color w:val="000000" w:themeColor="text1"/>
                                <w:sz w:val="16"/>
                              </w:rPr>
                            </w:pPr>
                            <w:r>
                              <w:rPr>
                                <w:rFonts w:ascii="Tahoma" w:hAnsi="Tahoma" w:cs="Tahoma"/>
                                <w:b/>
                                <w:color w:val="000000" w:themeColor="text1"/>
                                <w:sz w:val="16"/>
                              </w:rPr>
                              <w:t>Weighted Cost of Capital</w:t>
                            </w:r>
                          </w:p>
                          <w:p w14:paraId="3698E8EA" w14:textId="66FBF394" w:rsidR="00C110D7" w:rsidRDefault="00D42CCD" w:rsidP="00C110D7">
                            <w:pPr>
                              <w:spacing w:after="120"/>
                              <w:rPr>
                                <w:rFonts w:ascii="Tahoma" w:hAnsi="Tahoma" w:cs="Tahoma"/>
                                <w:color w:val="000000" w:themeColor="text1"/>
                                <w:sz w:val="16"/>
                              </w:rPr>
                            </w:pPr>
                            <w:r>
                              <w:rPr>
                                <w:rFonts w:ascii="Tahoma" w:hAnsi="Tahoma" w:cs="Tahoma"/>
                                <w:color w:val="000000" w:themeColor="text1"/>
                                <w:sz w:val="16"/>
                              </w:rPr>
                              <w:t>The rate that a company is expected to pay on average to all its security holders to finance its assets.</w:t>
                            </w:r>
                          </w:p>
                          <w:p w14:paraId="49CA767C" w14:textId="7B7CEB82" w:rsidR="007107C0" w:rsidRPr="00A13670" w:rsidRDefault="007107C0" w:rsidP="00C110D7">
                            <w:pPr>
                              <w:spacing w:after="120"/>
                              <w:rPr>
                                <w:rFonts w:ascii="Tahoma" w:hAnsi="Tahoma" w:cs="Tahoma"/>
                                <w:color w:val="000000" w:themeColor="text1"/>
                                <w:sz w:val="16"/>
                              </w:rPr>
                            </w:pPr>
                            <w:r>
                              <w:rPr>
                                <w:rFonts w:ascii="Tahoma" w:hAnsi="Tahoma" w:cs="Tahoma"/>
                                <w:color w:val="000000" w:themeColor="text1"/>
                                <w:sz w:val="16"/>
                              </w:rPr>
                              <w:t>The WACC represents the minimum return that a company must earn on an existing asset base to satisfy its creditors, owners, and other providers of capital.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E1EC" id="Rectangle 13" o:spid="_x0000_s1026" style="position:absolute;margin-left:301.1pt;margin-top:.95pt;width:179.8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" filled="f" strokecolor="black [3213]" strokeweight="1.25pt">
                <v:textbox>
                  <w:txbxContent>
                    <w:p w14:paraId="24CF0FAB" w14:textId="4FB5A39D" w:rsidR="00C110D7" w:rsidRDefault="00C63411" w:rsidP="00C110D7">
                      <w:pPr>
                        <w:spacing w:after="60"/>
                        <w:jc w:val="center"/>
                        <w:rPr>
                          <w:rFonts w:ascii="Tahoma" w:hAnsi="Tahoma" w:cs="Tahoma"/>
                          <w:b/>
                          <w:color w:val="000000" w:themeColor="text1"/>
                          <w:sz w:val="16"/>
                        </w:rPr>
                      </w:pPr>
                      <w:r>
                        <w:rPr>
                          <w:rFonts w:ascii="Tahoma" w:hAnsi="Tahoma" w:cs="Tahoma"/>
                          <w:b/>
                          <w:color w:val="000000" w:themeColor="text1"/>
                          <w:sz w:val="16"/>
                        </w:rPr>
                        <w:t>Weighted Cost of Capital</w:t>
                      </w:r>
                    </w:p>
                    <w:p w14:paraId="3698E8EA" w14:textId="66FBF394" w:rsidR="00C110D7" w:rsidRDefault="00D42CCD" w:rsidP="00C110D7">
                      <w:pPr>
                        <w:spacing w:after="120"/>
                        <w:rPr>
                          <w:rFonts w:ascii="Tahoma" w:hAnsi="Tahoma" w:cs="Tahoma"/>
                          <w:color w:val="000000" w:themeColor="text1"/>
                          <w:sz w:val="16"/>
                        </w:rPr>
                      </w:pPr>
                      <w:r>
                        <w:rPr>
                          <w:rFonts w:ascii="Tahoma" w:hAnsi="Tahoma" w:cs="Tahoma"/>
                          <w:color w:val="000000" w:themeColor="text1"/>
                          <w:sz w:val="16"/>
                        </w:rPr>
                        <w:t>The rate that a company is expected to pay on average to all its security holders to finance its assets.</w:t>
                      </w:r>
                    </w:p>
                    <w:p w14:paraId="49CA767C" w14:textId="7B7CEB82" w:rsidR="007107C0" w:rsidRPr="00A13670" w:rsidRDefault="007107C0" w:rsidP="00C110D7">
                      <w:pPr>
                        <w:spacing w:after="120"/>
                        <w:rPr>
                          <w:rFonts w:ascii="Tahoma" w:hAnsi="Tahoma" w:cs="Tahoma"/>
                          <w:color w:val="000000" w:themeColor="text1"/>
                          <w:sz w:val="16"/>
                        </w:rPr>
                      </w:pPr>
                      <w:r>
                        <w:rPr>
                          <w:rFonts w:ascii="Tahoma" w:hAnsi="Tahoma" w:cs="Tahoma"/>
                          <w:color w:val="000000" w:themeColor="text1"/>
                          <w:sz w:val="16"/>
                        </w:rPr>
                        <w:t>The WACC represents the minimum return that a company must earn on an existing asset base to satisfy its creditors, owners, and other providers of capital.</w:t>
                      </w:r>
                    </w:p>
                  </w:txbxContent>
                </v:textbox>
                <w10:wrap type="through"/>
              </v:rect>
            </w:pict>
          </mc:Fallback>
        </mc:AlternateContent>
      </w:r>
      <w:r w:rsidR="00B43118">
        <w:rPr>
          <w:rFonts w:ascii="Tahoma" w:eastAsiaTheme="minorEastAsia" w:hAnsi="Tahoma" w:cs="Tahoma"/>
          <w:sz w:val="20"/>
          <w:szCs w:val="20"/>
        </w:rPr>
        <w:t xml:space="preserve">The normal convention in most IRPs is to use a discount rate equal to the utility’s </w:t>
      </w:r>
      <w:r w:rsidR="00B43118" w:rsidRPr="00C63411">
        <w:rPr>
          <w:rFonts w:ascii="Tahoma" w:eastAsiaTheme="minorEastAsia" w:hAnsi="Tahoma" w:cs="Tahoma"/>
          <w:i/>
          <w:sz w:val="20"/>
          <w:szCs w:val="20"/>
        </w:rPr>
        <w:t>weighted cost of capital</w:t>
      </w:r>
      <w:r w:rsidR="00B43118">
        <w:rPr>
          <w:rFonts w:ascii="Tahoma" w:eastAsiaTheme="minorEastAsia" w:hAnsi="Tahoma" w:cs="Tahoma"/>
          <w:sz w:val="20"/>
          <w:szCs w:val="20"/>
        </w:rPr>
        <w:t>.</w:t>
      </w:r>
      <w:r w:rsidR="00E7521B">
        <w:rPr>
          <w:rFonts w:ascii="Tahoma" w:eastAsiaTheme="minorEastAsia" w:hAnsi="Tahoma" w:cs="Tahoma"/>
          <w:sz w:val="20"/>
          <w:szCs w:val="20"/>
        </w:rPr>
        <w:t xml:space="preserve"> In the case of VIW</w:t>
      </w:r>
      <w:r w:rsidR="007B0863">
        <w:rPr>
          <w:rFonts w:ascii="Tahoma" w:eastAsiaTheme="minorEastAsia" w:hAnsi="Tahoma" w:cs="Tahoma"/>
          <w:sz w:val="20"/>
          <w:szCs w:val="20"/>
        </w:rPr>
        <w:t>APA, the capital mix has tradi</w:t>
      </w:r>
      <w:r w:rsidR="00E7521B">
        <w:rPr>
          <w:rFonts w:ascii="Tahoma" w:eastAsiaTheme="minorEastAsia" w:hAnsi="Tahoma" w:cs="Tahoma"/>
          <w:sz w:val="20"/>
          <w:szCs w:val="20"/>
        </w:rPr>
        <w:t>tional involved 100 percent debt financing and the cost of this debt funding would normally be used for the discount rate.</w:t>
      </w:r>
      <w:r w:rsidR="007B0863">
        <w:rPr>
          <w:rFonts w:ascii="Tahoma" w:eastAsiaTheme="minorEastAsia" w:hAnsi="Tahoma" w:cs="Tahoma"/>
          <w:sz w:val="20"/>
          <w:szCs w:val="20"/>
        </w:rPr>
        <w:t xml:space="preserve"> The grant funding and VIWAPA’s current lack of access to the capital market makes the selection of a discount rate less straightforward.</w:t>
      </w:r>
    </w:p>
    <w:p w14:paraId="433F09F0" w14:textId="77777777" w:rsidR="005B6631" w:rsidRDefault="005B6631" w:rsidP="00B43118">
      <w:pPr>
        <w:spacing w:before="120" w:after="120" w:line="312" w:lineRule="auto"/>
        <w:outlineLvl w:val="0"/>
        <w:rPr>
          <w:rFonts w:ascii="Tahoma" w:eastAsiaTheme="minorEastAsia" w:hAnsi="Tahoma" w:cs="Tahoma"/>
          <w:sz w:val="20"/>
          <w:szCs w:val="20"/>
        </w:rPr>
      </w:pPr>
    </w:p>
    <w:p w14:paraId="57AFC1BC" w14:textId="43EBC75F" w:rsidR="007B0863" w:rsidRDefault="007B0863" w:rsidP="00B43118">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lastRenderedPageBreak/>
        <w:t>For this IRP, two discount rates are used depending on the source of funding:</w:t>
      </w:r>
    </w:p>
    <w:p w14:paraId="2AFF5461" w14:textId="466758FE" w:rsidR="007B0863" w:rsidRPr="007B0863" w:rsidRDefault="007B0863" w:rsidP="009C090C">
      <w:pPr>
        <w:pStyle w:val="ListParagraph"/>
        <w:numPr>
          <w:ilvl w:val="0"/>
          <w:numId w:val="3"/>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For US government grant funding – assumed to apply to all new unit capital costs – are discounted at </w:t>
      </w:r>
      <w:r>
        <w:rPr>
          <w:rFonts w:ascii="Tahoma" w:eastAsiaTheme="minorEastAsia" w:hAnsi="Tahoma" w:cs="Tahoma"/>
          <w:i/>
          <w:sz w:val="20"/>
          <w:szCs w:val="20"/>
        </w:rPr>
        <w:t>three percent</w:t>
      </w:r>
    </w:p>
    <w:p w14:paraId="0BC958FB" w14:textId="0AA1FB4C" w:rsidR="007B0863" w:rsidRPr="007B0863" w:rsidRDefault="007B0863" w:rsidP="009C090C">
      <w:pPr>
        <w:pStyle w:val="ListParagraph"/>
        <w:numPr>
          <w:ilvl w:val="0"/>
          <w:numId w:val="3"/>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For remaining costs, an assumed </w:t>
      </w:r>
      <w:r w:rsidRPr="007B0863">
        <w:rPr>
          <w:rFonts w:ascii="Tahoma" w:eastAsiaTheme="minorEastAsia" w:hAnsi="Tahoma" w:cs="Tahoma"/>
          <w:i/>
          <w:sz w:val="20"/>
          <w:szCs w:val="20"/>
        </w:rPr>
        <w:t>five</w:t>
      </w:r>
      <w:r w:rsidR="00B22388">
        <w:rPr>
          <w:rFonts w:ascii="Tahoma" w:eastAsiaTheme="minorEastAsia" w:hAnsi="Tahoma" w:cs="Tahoma"/>
          <w:sz w:val="20"/>
          <w:szCs w:val="20"/>
        </w:rPr>
        <w:t xml:space="preserve"> percent cost is used</w:t>
      </w:r>
    </w:p>
    <w:p w14:paraId="460C0618" w14:textId="14CA1C7B" w:rsidR="008434E3" w:rsidRPr="008434E3" w:rsidRDefault="008434E3" w:rsidP="008434E3">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3.4</w:t>
      </w:r>
      <w:r w:rsidRPr="008434E3">
        <w:rPr>
          <w:rFonts w:ascii="Tahoma" w:eastAsiaTheme="minorEastAsia" w:hAnsi="Tahoma" w:cs="Tahoma"/>
          <w:i/>
          <w:sz w:val="20"/>
          <w:szCs w:val="20"/>
        </w:rPr>
        <w:t xml:space="preserve"> </w:t>
      </w:r>
      <w:r>
        <w:rPr>
          <w:rFonts w:ascii="Tahoma" w:eastAsiaTheme="minorEastAsia" w:hAnsi="Tahoma" w:cs="Tahoma"/>
          <w:i/>
          <w:sz w:val="20"/>
          <w:szCs w:val="20"/>
        </w:rPr>
        <w:t>Levelized Fixed Charge Rate</w:t>
      </w:r>
    </w:p>
    <w:p w14:paraId="7F15B300" w14:textId="37D99480" w:rsidR="004B513E" w:rsidRDefault="008434E3" w:rsidP="008434E3">
      <w:pPr>
        <w:spacing w:before="120" w:after="120" w:line="312" w:lineRule="auto"/>
        <w:outlineLvl w:val="0"/>
        <w:rPr>
          <w:rFonts w:ascii="Tahoma" w:eastAsiaTheme="minorEastAsia" w:hAnsi="Tahoma" w:cs="Tahoma"/>
          <w:sz w:val="20"/>
          <w:szCs w:val="20"/>
        </w:rPr>
      </w:pPr>
      <w:r w:rsidRPr="008434E3">
        <w:rPr>
          <w:rFonts w:ascii="Tahoma" w:eastAsiaTheme="minorEastAsia" w:hAnsi="Tahoma" w:cs="Tahoma"/>
          <w:sz w:val="20"/>
          <w:szCs w:val="20"/>
        </w:rPr>
        <w:t xml:space="preserve">The </w:t>
      </w:r>
      <w:r w:rsidR="001D7860">
        <w:rPr>
          <w:rFonts w:ascii="Tahoma" w:eastAsiaTheme="minorEastAsia" w:hAnsi="Tahoma" w:cs="Tahoma"/>
          <w:i/>
          <w:sz w:val="20"/>
          <w:szCs w:val="20"/>
        </w:rPr>
        <w:t>fixed charge rate</w:t>
      </w:r>
      <w:r w:rsidR="001D7860">
        <w:rPr>
          <w:rFonts w:ascii="Tahoma" w:eastAsiaTheme="minorEastAsia" w:hAnsi="Tahoma" w:cs="Tahoma"/>
          <w:sz w:val="20"/>
          <w:szCs w:val="20"/>
        </w:rPr>
        <w:t xml:space="preserve"> </w:t>
      </w:r>
      <w:r w:rsidR="0089083E">
        <w:rPr>
          <w:rFonts w:ascii="Tahoma" w:eastAsiaTheme="minorEastAsia" w:hAnsi="Tahoma" w:cs="Tahoma"/>
          <w:sz w:val="20"/>
          <w:szCs w:val="20"/>
        </w:rPr>
        <w:t xml:space="preserve">(FCR) </w:t>
      </w:r>
      <w:r w:rsidR="001D7860">
        <w:rPr>
          <w:rFonts w:ascii="Tahoma" w:eastAsiaTheme="minorEastAsia" w:hAnsi="Tahoma" w:cs="Tahoma"/>
          <w:sz w:val="20"/>
          <w:szCs w:val="20"/>
        </w:rPr>
        <w:t xml:space="preserve">is </w:t>
      </w:r>
      <w:r w:rsidR="00CD7D6E">
        <w:rPr>
          <w:rFonts w:ascii="Tahoma" w:eastAsiaTheme="minorEastAsia" w:hAnsi="Tahoma" w:cs="Tahoma"/>
          <w:sz w:val="20"/>
          <w:szCs w:val="20"/>
        </w:rPr>
        <w:t>the revenue requirement needed to offset the fixed charges during a given year – the initial investment plus the interest charged to finance that investment.</w:t>
      </w:r>
    </w:p>
    <w:p w14:paraId="6AFE5F1E" w14:textId="00383954" w:rsidR="0089083E" w:rsidRDefault="0089083E" w:rsidP="008434E3">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A separate FCR can be calculated and applied to each year of an economic analysis, but </w:t>
      </w:r>
      <w:r w:rsidR="005C1443">
        <w:rPr>
          <w:rFonts w:ascii="Tahoma" w:eastAsiaTheme="minorEastAsia" w:hAnsi="Tahoma" w:cs="Tahoma"/>
          <w:sz w:val="20"/>
          <w:szCs w:val="20"/>
        </w:rPr>
        <w:t>it is common to use a single, levelized FCR that has the same present value as the year-by-year fixed charge rate</w:t>
      </w:r>
      <w:r w:rsidR="00F05A49">
        <w:rPr>
          <w:rFonts w:ascii="Tahoma" w:eastAsiaTheme="minorEastAsia" w:hAnsi="Tahoma" w:cs="Tahoma"/>
          <w:sz w:val="20"/>
          <w:szCs w:val="20"/>
        </w:rPr>
        <w:t xml:space="preserve"> as this is easier to apply than a series of annual fixed charge rates.</w:t>
      </w:r>
      <w:r w:rsidR="0043699B">
        <w:rPr>
          <w:rFonts w:ascii="Tahoma" w:eastAsiaTheme="minorEastAsia" w:hAnsi="Tahoma" w:cs="Tahoma"/>
          <w:sz w:val="20"/>
          <w:szCs w:val="20"/>
        </w:rPr>
        <w:t xml:space="preserve"> </w:t>
      </w:r>
    </w:p>
    <w:p w14:paraId="35D1E9C4" w14:textId="48E282DD" w:rsidR="0043699B" w:rsidRDefault="0043699B" w:rsidP="008434E3">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In this IRP, a 20-year FCR recover period is assumed, with a three percent cost of funds (aka discount rate) as the basis of the FCR calculation</w:t>
      </w:r>
    </w:p>
    <w:p w14:paraId="04A3215D" w14:textId="69607A26" w:rsidR="00AC13BA" w:rsidRDefault="00AC13BA" w:rsidP="008434E3">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3.5 Owner’s Costs</w:t>
      </w:r>
    </w:p>
    <w:p w14:paraId="48D086D8" w14:textId="7967ACDB" w:rsidR="00AC13BA" w:rsidRDefault="00A153CB" w:rsidP="008434E3">
      <w:pPr>
        <w:spacing w:before="120" w:after="120" w:line="312" w:lineRule="auto"/>
        <w:outlineLvl w:val="0"/>
        <w:rPr>
          <w:rFonts w:ascii="Tahoma" w:eastAsiaTheme="minorEastAsia" w:hAnsi="Tahoma" w:cs="Tahoma"/>
          <w:sz w:val="20"/>
          <w:szCs w:val="20"/>
        </w:rPr>
      </w:pPr>
      <w:r>
        <w:rPr>
          <w:rFonts w:ascii="Tahoma" w:eastAsiaTheme="minorEastAsia" w:hAnsi="Tahoma" w:cs="Tahoma"/>
          <w:noProof/>
          <w:sz w:val="20"/>
          <w:szCs w:val="20"/>
        </w:rPr>
        <w:drawing>
          <wp:anchor distT="0" distB="0" distL="114300" distR="114300" simplePos="0" relativeHeight="251660288" behindDoc="0" locked="0" layoutInCell="1" allowOverlap="1" wp14:anchorId="300F7280" wp14:editId="33E5A6C7">
            <wp:simplePos x="0" y="0"/>
            <wp:positionH relativeFrom="column">
              <wp:posOffset>2107565</wp:posOffset>
            </wp:positionH>
            <wp:positionV relativeFrom="paragraph">
              <wp:posOffset>78740</wp:posOffset>
            </wp:positionV>
            <wp:extent cx="4046855" cy="4799330"/>
            <wp:effectExtent l="0" t="0" r="0" b="1270"/>
            <wp:wrapTight wrapText="bothSides">
              <wp:wrapPolygon edited="0">
                <wp:start x="0" y="0"/>
                <wp:lineTo x="0" y="21491"/>
                <wp:lineTo x="21420" y="21491"/>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1 at 10.44.5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6855" cy="4799330"/>
                    </a:xfrm>
                    <a:prstGeom prst="rect">
                      <a:avLst/>
                    </a:prstGeom>
                  </pic:spPr>
                </pic:pic>
              </a:graphicData>
            </a:graphic>
            <wp14:sizeRelH relativeFrom="page">
              <wp14:pctWidth>0</wp14:pctWidth>
            </wp14:sizeRelH>
            <wp14:sizeRelV relativeFrom="page">
              <wp14:pctHeight>0</wp14:pctHeight>
            </wp14:sizeRelV>
          </wp:anchor>
        </w:drawing>
      </w:r>
      <w:r w:rsidR="00AC13BA">
        <w:rPr>
          <w:rFonts w:ascii="Tahoma" w:eastAsiaTheme="minorEastAsia" w:hAnsi="Tahoma" w:cs="Tahoma"/>
          <w:sz w:val="20"/>
          <w:szCs w:val="20"/>
        </w:rPr>
        <w:t>The total capital costs of a power plant are commonly divided into two categories:</w:t>
      </w:r>
    </w:p>
    <w:p w14:paraId="0AC61421" w14:textId="1D4BA0E2" w:rsidR="00AC13BA" w:rsidRDefault="00AC13BA" w:rsidP="009C090C">
      <w:pPr>
        <w:pStyle w:val="ListParagraph"/>
        <w:numPr>
          <w:ilvl w:val="0"/>
          <w:numId w:val="4"/>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Engineer-Procure-Construct (EPC) costs</w:t>
      </w:r>
    </w:p>
    <w:p w14:paraId="2FE31100" w14:textId="4A081A4C" w:rsidR="00AC13BA" w:rsidRDefault="00AC13BA" w:rsidP="009C090C">
      <w:pPr>
        <w:pStyle w:val="ListParagraph"/>
        <w:numPr>
          <w:ilvl w:val="0"/>
          <w:numId w:val="4"/>
        </w:num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Owner’s costs</w:t>
      </w:r>
    </w:p>
    <w:p w14:paraId="19F2D6E5" w14:textId="0A6ED92B" w:rsidR="00AC13BA" w:rsidRDefault="00AC13BA"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EPC costs include the cost of plant equipment and construction costs. Owner’</w:t>
      </w:r>
      <w:r w:rsidR="00933D23">
        <w:rPr>
          <w:rFonts w:ascii="Tahoma" w:eastAsiaTheme="minorEastAsia" w:hAnsi="Tahoma" w:cs="Tahoma"/>
          <w:sz w:val="20"/>
          <w:szCs w:val="20"/>
        </w:rPr>
        <w:t>s costs include everything else not included in an all-encompassing EPC bid, as shown in Table 3-1.</w:t>
      </w:r>
    </w:p>
    <w:p w14:paraId="598E063C" w14:textId="2A3F9DE8" w:rsidR="00933D23" w:rsidRPr="00933D23" w:rsidRDefault="00933D23"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For this IRP, a 20-percent addition to the EPC costs has been added for all </w:t>
      </w:r>
      <w:r w:rsidR="000037AA">
        <w:rPr>
          <w:rFonts w:ascii="Tahoma" w:eastAsiaTheme="minorEastAsia" w:hAnsi="Tahoma" w:cs="Tahoma"/>
          <w:sz w:val="20"/>
          <w:szCs w:val="20"/>
        </w:rPr>
        <w:t>technologies.</w:t>
      </w:r>
    </w:p>
    <w:p w14:paraId="67612E0C" w14:textId="2DBED22F" w:rsidR="00933D23" w:rsidRDefault="00933D23" w:rsidP="00AC13BA">
      <w:pPr>
        <w:spacing w:before="120" w:after="120" w:line="312" w:lineRule="auto"/>
        <w:outlineLvl w:val="0"/>
        <w:rPr>
          <w:rFonts w:ascii="Tahoma" w:eastAsiaTheme="minorEastAsia" w:hAnsi="Tahoma" w:cs="Tahoma"/>
          <w:sz w:val="20"/>
          <w:szCs w:val="20"/>
        </w:rPr>
      </w:pPr>
    </w:p>
    <w:p w14:paraId="42360EA1" w14:textId="0C3BE501" w:rsidR="00A153CB" w:rsidRDefault="00A153CB">
      <w:pPr>
        <w:rPr>
          <w:rFonts w:ascii="Tahoma" w:eastAsiaTheme="minorEastAsia" w:hAnsi="Tahoma" w:cs="Tahoma"/>
          <w:sz w:val="20"/>
          <w:szCs w:val="20"/>
        </w:rPr>
      </w:pPr>
      <w:r>
        <w:rPr>
          <w:rFonts w:ascii="Tahoma" w:eastAsiaTheme="minorEastAsia" w:hAnsi="Tahoma" w:cs="Tahoma"/>
          <w:sz w:val="20"/>
          <w:szCs w:val="20"/>
        </w:rPr>
        <w:br w:type="page"/>
      </w:r>
    </w:p>
    <w:p w14:paraId="70CD207E" w14:textId="2E531B80" w:rsidR="00A153CB" w:rsidRDefault="004A1F7F" w:rsidP="00AC13BA">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lastRenderedPageBreak/>
        <w:t>3.6 Interest rate applied during construction</w:t>
      </w:r>
    </w:p>
    <w:p w14:paraId="0E1FBE15" w14:textId="040DEC6A" w:rsidR="004A1F7F" w:rsidRDefault="006C7100"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The last portion of the total capital cost of a new generating unit is the </w:t>
      </w:r>
      <w:r>
        <w:rPr>
          <w:rFonts w:ascii="Tahoma" w:eastAsiaTheme="minorEastAsia" w:hAnsi="Tahoma" w:cs="Tahoma"/>
          <w:i/>
          <w:sz w:val="20"/>
          <w:szCs w:val="20"/>
        </w:rPr>
        <w:t xml:space="preserve">interest during construction </w:t>
      </w:r>
      <w:r>
        <w:rPr>
          <w:rFonts w:ascii="Tahoma" w:eastAsiaTheme="minorEastAsia" w:hAnsi="Tahoma" w:cs="Tahoma"/>
          <w:sz w:val="20"/>
          <w:szCs w:val="20"/>
        </w:rPr>
        <w:t>(IDC), which accounts for the interest cost of using borrowed fund during the plant construction period.</w:t>
      </w:r>
    </w:p>
    <w:p w14:paraId="664BBA09" w14:textId="022CD05A" w:rsidR="00577CED" w:rsidRDefault="00577CED" w:rsidP="00AC13BA">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3.7 Load Forecast</w:t>
      </w:r>
    </w:p>
    <w:p w14:paraId="171D2559" w14:textId="31810460" w:rsidR="008C138F" w:rsidRDefault="0071572F"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When performing an IRP, detailed assumptions are required about utility peak demand over the forecast period and energy required each year.</w:t>
      </w:r>
      <w:r w:rsidR="00296793">
        <w:rPr>
          <w:rFonts w:ascii="Tahoma" w:eastAsiaTheme="minorEastAsia" w:hAnsi="Tahoma" w:cs="Tahoma"/>
          <w:sz w:val="20"/>
          <w:szCs w:val="20"/>
        </w:rPr>
        <w:t xml:space="preserve"> Most of the time, forecast of peak demand and energy requirements of the system is developed using the historical relationship between energy consumption/peak demand and independent variables such as population, energy price, and temperature data.</w:t>
      </w:r>
      <w:r w:rsidR="000D63CC">
        <w:rPr>
          <w:rFonts w:ascii="Tahoma" w:eastAsiaTheme="minorEastAsia" w:hAnsi="Tahoma" w:cs="Tahoma"/>
          <w:sz w:val="20"/>
          <w:szCs w:val="20"/>
        </w:rPr>
        <w:t xml:space="preserve"> But, with the destruction of the VIWAPA system in 2017, the power systems of the islands were destroyed and the ability to project future power needs based on historical data has been compromised.</w:t>
      </w:r>
    </w:p>
    <w:p w14:paraId="73B3C12E" w14:textId="221D2614" w:rsidR="007612BC" w:rsidRDefault="007612BC"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Because of this, the load forecast in this study relies heavily on the judgment of the VIWAPA staff and other stakeholders who closely track the</w:t>
      </w:r>
      <w:r w:rsidR="00452341">
        <w:rPr>
          <w:rFonts w:ascii="Tahoma" w:eastAsiaTheme="minorEastAsia" w:hAnsi="Tahoma" w:cs="Tahoma"/>
          <w:sz w:val="20"/>
          <w:szCs w:val="20"/>
        </w:rPr>
        <w:t xml:space="preserve"> rebuilding of the power system, and have insight to the customers that might not return to the grid.</w:t>
      </w:r>
      <w:r w:rsidR="00E24D84">
        <w:rPr>
          <w:rFonts w:ascii="Tahoma" w:eastAsiaTheme="minorEastAsia" w:hAnsi="Tahoma" w:cs="Tahoma"/>
          <w:sz w:val="20"/>
          <w:szCs w:val="20"/>
        </w:rPr>
        <w:t xml:space="preserve"> </w:t>
      </w:r>
    </w:p>
    <w:p w14:paraId="1622174D" w14:textId="611D7D42" w:rsidR="00E24D84" w:rsidRDefault="00E24D84" w:rsidP="00AC13BA">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There are three load forecast estimates:</w:t>
      </w:r>
    </w:p>
    <w:p w14:paraId="439084BB" w14:textId="45302D75" w:rsidR="00E24D84" w:rsidRDefault="00E24D84" w:rsidP="009C090C">
      <w:pPr>
        <w:pStyle w:val="ListParagraph"/>
        <w:numPr>
          <w:ilvl w:val="0"/>
          <w:numId w:val="5"/>
        </w:numPr>
        <w:spacing w:before="120" w:after="120" w:line="312" w:lineRule="auto"/>
        <w:outlineLvl w:val="0"/>
        <w:rPr>
          <w:rFonts w:ascii="Tahoma" w:eastAsiaTheme="minorEastAsia" w:hAnsi="Tahoma" w:cs="Tahoma"/>
          <w:sz w:val="20"/>
          <w:szCs w:val="20"/>
        </w:rPr>
      </w:pPr>
      <w:r>
        <w:rPr>
          <w:rFonts w:ascii="Tahoma" w:eastAsiaTheme="minorEastAsia" w:hAnsi="Tahoma" w:cs="Tahoma"/>
          <w:b/>
          <w:sz w:val="20"/>
          <w:szCs w:val="20"/>
        </w:rPr>
        <w:t>Base load forecast</w:t>
      </w:r>
      <w:r>
        <w:rPr>
          <w:rFonts w:ascii="Tahoma" w:eastAsiaTheme="minorEastAsia" w:hAnsi="Tahoma" w:cs="Tahoma"/>
          <w:sz w:val="20"/>
          <w:szCs w:val="20"/>
        </w:rPr>
        <w:t xml:space="preserve"> assuming no growth durin</w:t>
      </w:r>
      <w:r w:rsidR="000440B7">
        <w:rPr>
          <w:rFonts w:ascii="Tahoma" w:eastAsiaTheme="minorEastAsia" w:hAnsi="Tahoma" w:cs="Tahoma"/>
          <w:sz w:val="20"/>
          <w:szCs w:val="20"/>
        </w:rPr>
        <w:t>g the 2020-2044 planning period, with peak demand in STX (St. Croix) at 38.3 MW in 2020</w:t>
      </w:r>
    </w:p>
    <w:p w14:paraId="0ABC5206" w14:textId="3E97C1DD" w:rsidR="009A316F" w:rsidRDefault="009A316F" w:rsidP="009C090C">
      <w:pPr>
        <w:pStyle w:val="ListParagraph"/>
        <w:numPr>
          <w:ilvl w:val="0"/>
          <w:numId w:val="5"/>
        </w:numPr>
        <w:spacing w:before="120" w:after="120" w:line="312" w:lineRule="auto"/>
        <w:outlineLvl w:val="0"/>
        <w:rPr>
          <w:rFonts w:ascii="Tahoma" w:eastAsiaTheme="minorEastAsia" w:hAnsi="Tahoma" w:cs="Tahoma"/>
          <w:sz w:val="20"/>
          <w:szCs w:val="20"/>
        </w:rPr>
      </w:pPr>
      <w:r>
        <w:rPr>
          <w:rFonts w:ascii="Tahoma" w:eastAsiaTheme="minorEastAsia" w:hAnsi="Tahoma" w:cs="Tahoma"/>
          <w:b/>
          <w:sz w:val="20"/>
          <w:szCs w:val="20"/>
        </w:rPr>
        <w:t>High load forecast</w:t>
      </w:r>
      <w:r>
        <w:rPr>
          <w:rFonts w:ascii="Tahoma" w:eastAsiaTheme="minorEastAsia" w:hAnsi="Tahoma" w:cs="Tahoma"/>
          <w:sz w:val="20"/>
          <w:szCs w:val="20"/>
        </w:rPr>
        <w:t xml:space="preserve"> of flat load growth for five years, and then experiencing a stair-step increase of 25 MW in peak demand occurring three days a week, ten hours a day due to a new cruise s</w:t>
      </w:r>
      <w:r w:rsidR="00871C8C">
        <w:rPr>
          <w:rFonts w:ascii="Tahoma" w:eastAsiaTheme="minorEastAsia" w:hAnsi="Tahoma" w:cs="Tahoma"/>
          <w:sz w:val="20"/>
          <w:szCs w:val="20"/>
        </w:rPr>
        <w:t>hip port proposed in St. Thomas</w:t>
      </w:r>
    </w:p>
    <w:p w14:paraId="0233A1D3" w14:textId="2B5FEF49" w:rsidR="00871C8C" w:rsidRDefault="00871C8C" w:rsidP="009C090C">
      <w:pPr>
        <w:pStyle w:val="ListParagraph"/>
        <w:numPr>
          <w:ilvl w:val="0"/>
          <w:numId w:val="5"/>
        </w:numPr>
        <w:spacing w:before="120" w:after="120" w:line="312" w:lineRule="auto"/>
        <w:outlineLvl w:val="0"/>
        <w:rPr>
          <w:rFonts w:ascii="Tahoma" w:eastAsiaTheme="minorEastAsia" w:hAnsi="Tahoma" w:cs="Tahoma"/>
          <w:sz w:val="20"/>
          <w:szCs w:val="20"/>
        </w:rPr>
      </w:pPr>
      <w:r>
        <w:rPr>
          <w:rFonts w:ascii="Tahoma" w:eastAsiaTheme="minorEastAsia" w:hAnsi="Tahoma" w:cs="Tahoma"/>
          <w:b/>
          <w:sz w:val="20"/>
          <w:szCs w:val="20"/>
        </w:rPr>
        <w:t>Low load forecast</w:t>
      </w:r>
      <w:r>
        <w:rPr>
          <w:rFonts w:ascii="Tahoma" w:eastAsiaTheme="minorEastAsia" w:hAnsi="Tahoma" w:cs="Tahoma"/>
          <w:sz w:val="20"/>
          <w:szCs w:val="20"/>
        </w:rPr>
        <w:t xml:space="preserve"> of decreasing energy consumption due to economic conditions, increased self-generation by consumers due to behind-the-meter installation of solar.</w:t>
      </w:r>
      <w:r w:rsidR="006737C6">
        <w:rPr>
          <w:rFonts w:ascii="Tahoma" w:eastAsiaTheme="minorEastAsia" w:hAnsi="Tahoma" w:cs="Tahoma"/>
          <w:sz w:val="20"/>
          <w:szCs w:val="20"/>
        </w:rPr>
        <w:t xml:space="preserve"> The load forecast assumes load decreased of ten percent on each system over the next ten years.</w:t>
      </w:r>
    </w:p>
    <w:p w14:paraId="771264A5" w14:textId="1A6B90B3" w:rsidR="00E27052" w:rsidRPr="00E27052" w:rsidRDefault="009B18E0" w:rsidP="00E27052">
      <w:pPr>
        <w:spacing w:before="120" w:after="120" w:line="312" w:lineRule="auto"/>
        <w:outlineLvl w:val="0"/>
        <w:rPr>
          <w:rFonts w:ascii="Tahoma" w:eastAsiaTheme="minorEastAsia" w:hAnsi="Tahoma" w:cs="Tahoma"/>
          <w:i/>
          <w:sz w:val="20"/>
          <w:szCs w:val="20"/>
        </w:rPr>
      </w:pPr>
      <w:r>
        <w:rPr>
          <w:rFonts w:ascii="Tahoma" w:eastAsiaTheme="minorEastAsia" w:hAnsi="Tahoma" w:cs="Tahoma"/>
          <w:noProof/>
          <w:sz w:val="20"/>
          <w:szCs w:val="20"/>
        </w:rPr>
        <w:drawing>
          <wp:anchor distT="0" distB="0" distL="114300" distR="114300" simplePos="0" relativeHeight="251661312" behindDoc="0" locked="0" layoutInCell="1" allowOverlap="1" wp14:anchorId="4CEE31A1" wp14:editId="70F5C30D">
            <wp:simplePos x="0" y="0"/>
            <wp:positionH relativeFrom="column">
              <wp:posOffset>2908935</wp:posOffset>
            </wp:positionH>
            <wp:positionV relativeFrom="paragraph">
              <wp:posOffset>128465</wp:posOffset>
            </wp:positionV>
            <wp:extent cx="2784475" cy="3178956"/>
            <wp:effectExtent l="0" t="0" r="9525" b="0"/>
            <wp:wrapTight wrapText="bothSides">
              <wp:wrapPolygon edited="0">
                <wp:start x="0" y="0"/>
                <wp:lineTo x="0" y="21402"/>
                <wp:lineTo x="21477" y="2140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1 at 2.31.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4987" cy="317954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i/>
          <w:sz w:val="20"/>
          <w:szCs w:val="20"/>
        </w:rPr>
        <w:softHyphen/>
      </w:r>
      <w:r>
        <w:rPr>
          <w:rFonts w:ascii="Tahoma" w:eastAsiaTheme="minorEastAsia" w:hAnsi="Tahoma" w:cs="Tahoma"/>
          <w:i/>
          <w:sz w:val="20"/>
          <w:szCs w:val="20"/>
        </w:rPr>
        <w:softHyphen/>
      </w:r>
      <w:r>
        <w:rPr>
          <w:rFonts w:ascii="Tahoma" w:eastAsiaTheme="minorEastAsia" w:hAnsi="Tahoma" w:cs="Tahoma"/>
          <w:i/>
          <w:sz w:val="20"/>
          <w:szCs w:val="20"/>
        </w:rPr>
        <w:softHyphen/>
      </w:r>
      <w:r w:rsidR="00E27052">
        <w:rPr>
          <w:rFonts w:ascii="Tahoma" w:eastAsiaTheme="minorEastAsia" w:hAnsi="Tahoma" w:cs="Tahoma"/>
          <w:i/>
          <w:sz w:val="20"/>
          <w:szCs w:val="20"/>
        </w:rPr>
        <w:t>3.8</w:t>
      </w:r>
      <w:r w:rsidR="00E27052" w:rsidRPr="00E27052">
        <w:rPr>
          <w:rFonts w:ascii="Tahoma" w:eastAsiaTheme="minorEastAsia" w:hAnsi="Tahoma" w:cs="Tahoma"/>
          <w:i/>
          <w:sz w:val="20"/>
          <w:szCs w:val="20"/>
        </w:rPr>
        <w:t xml:space="preserve"> Load </w:t>
      </w:r>
      <w:r w:rsidR="00E27052">
        <w:rPr>
          <w:rFonts w:ascii="Tahoma" w:eastAsiaTheme="minorEastAsia" w:hAnsi="Tahoma" w:cs="Tahoma"/>
          <w:i/>
          <w:sz w:val="20"/>
          <w:szCs w:val="20"/>
        </w:rPr>
        <w:t>Shape</w:t>
      </w:r>
    </w:p>
    <w:p w14:paraId="33C5548F" w14:textId="10A52110" w:rsidR="00E27052" w:rsidRDefault="00E5463D"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The load shape for this IRP is based on the July 2018 through June 2019 energy req</w:t>
      </w:r>
      <w:r w:rsidR="00354CA1">
        <w:rPr>
          <w:rFonts w:ascii="Tahoma" w:eastAsiaTheme="minorEastAsia" w:hAnsi="Tahoma" w:cs="Tahoma"/>
          <w:sz w:val="20"/>
          <w:szCs w:val="20"/>
        </w:rPr>
        <w:t>uirements of each VIWAPA system, to reflect post-hurricane system load characteristics.</w:t>
      </w:r>
      <w:r w:rsidR="00B53D16">
        <w:rPr>
          <w:rFonts w:ascii="Tahoma" w:eastAsiaTheme="minorEastAsia" w:hAnsi="Tahoma" w:cs="Tahoma"/>
          <w:sz w:val="20"/>
          <w:szCs w:val="20"/>
        </w:rPr>
        <w:t xml:space="preserve"> Obvious problematic data and outliers were adjusted based on load levels for comparable periods.</w:t>
      </w:r>
    </w:p>
    <w:p w14:paraId="233D10BA" w14:textId="743EDD73" w:rsidR="005E1826" w:rsidRDefault="005E1826" w:rsidP="00E27052">
      <w:pPr>
        <w:spacing w:before="120" w:after="120" w:line="312" w:lineRule="auto"/>
        <w:outlineLvl w:val="0"/>
        <w:rPr>
          <w:rFonts w:ascii="Tahoma" w:eastAsiaTheme="minorEastAsia" w:hAnsi="Tahoma" w:cs="Tahoma"/>
          <w:sz w:val="20"/>
          <w:szCs w:val="20"/>
        </w:rPr>
      </w:pPr>
    </w:p>
    <w:p w14:paraId="1F48B0C0" w14:textId="77777777" w:rsidR="009B18E0" w:rsidRDefault="009B18E0" w:rsidP="00E27052">
      <w:pPr>
        <w:spacing w:before="120" w:after="120" w:line="312" w:lineRule="auto"/>
        <w:outlineLvl w:val="0"/>
        <w:rPr>
          <w:rFonts w:ascii="Tahoma" w:eastAsiaTheme="minorEastAsia" w:hAnsi="Tahoma" w:cs="Tahoma"/>
          <w:sz w:val="20"/>
          <w:szCs w:val="20"/>
        </w:rPr>
      </w:pPr>
    </w:p>
    <w:p w14:paraId="42B1864C" w14:textId="06B5540C" w:rsidR="00605D85" w:rsidRDefault="00605D85">
      <w:pPr>
        <w:rPr>
          <w:rFonts w:ascii="Tahoma" w:eastAsiaTheme="minorEastAsia" w:hAnsi="Tahoma" w:cs="Tahoma"/>
          <w:sz w:val="20"/>
          <w:szCs w:val="20"/>
        </w:rPr>
      </w:pPr>
      <w:r>
        <w:rPr>
          <w:rFonts w:ascii="Tahoma" w:eastAsiaTheme="minorEastAsia" w:hAnsi="Tahoma" w:cs="Tahoma"/>
          <w:sz w:val="20"/>
          <w:szCs w:val="20"/>
        </w:rPr>
        <w:br w:type="page"/>
      </w:r>
    </w:p>
    <w:p w14:paraId="75660F5F" w14:textId="34C8410F" w:rsidR="009B18E0" w:rsidRDefault="00605D85" w:rsidP="00E27052">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lastRenderedPageBreak/>
        <w:t>3.9 Planning Reserve Criteria</w:t>
      </w:r>
    </w:p>
    <w:p w14:paraId="6768A67F" w14:textId="0306D454" w:rsidR="00605D85" w:rsidRDefault="006D1B71"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To meet peak demand, utilities are required to install additional capacity above peak demand such that shortages don’t occur if the peak demand is higher than anticipated or if a generating unit or transmission line is out of service due to an outage.</w:t>
      </w:r>
    </w:p>
    <w:p w14:paraId="4B9B597C" w14:textId="69FB0A0E" w:rsidR="00C218F6" w:rsidRDefault="007D1040"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Some utilities adopt planning reserve criteria expressed as a </w:t>
      </w:r>
      <w:r>
        <w:rPr>
          <w:rFonts w:ascii="Tahoma" w:eastAsiaTheme="minorEastAsia" w:hAnsi="Tahoma" w:cs="Tahoma"/>
          <w:i/>
          <w:sz w:val="20"/>
          <w:szCs w:val="20"/>
        </w:rPr>
        <w:t>percent reserve margin</w:t>
      </w:r>
      <w:r>
        <w:rPr>
          <w:rFonts w:ascii="Tahoma" w:eastAsiaTheme="minorEastAsia" w:hAnsi="Tahoma" w:cs="Tahoma"/>
          <w:sz w:val="20"/>
          <w:szCs w:val="20"/>
        </w:rPr>
        <w:t xml:space="preserve">, often in the 12 to 20 percent range above the anticipated peak demand. The exact percent reserve margin depends on utility size, location, and interconnections of the utility itself, the larger the utility, the greater the interconnections with other utilities and less vulnerable to disruptions, resulting in a lower adopted planning reserve margin (more often than not). </w:t>
      </w:r>
    </w:p>
    <w:p w14:paraId="2615536A" w14:textId="1FD95D94" w:rsidR="00611D06" w:rsidRDefault="00611D06"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Other utilities adopt a planning reserve criterion </w:t>
      </w:r>
      <w:r w:rsidR="00BB5F63">
        <w:rPr>
          <w:rFonts w:ascii="Tahoma" w:eastAsiaTheme="minorEastAsia" w:hAnsi="Tahoma" w:cs="Tahoma"/>
          <w:sz w:val="20"/>
          <w:szCs w:val="20"/>
        </w:rPr>
        <w:t xml:space="preserve">called the N – 1 approach </w:t>
      </w:r>
      <w:r>
        <w:rPr>
          <w:rFonts w:ascii="Tahoma" w:eastAsiaTheme="minorEastAsia" w:hAnsi="Tahoma" w:cs="Tahoma"/>
          <w:sz w:val="20"/>
          <w:szCs w:val="20"/>
        </w:rPr>
        <w:t xml:space="preserve">that allows them to meet peak demand if the </w:t>
      </w:r>
      <w:r w:rsidR="00BB5F63">
        <w:rPr>
          <w:rFonts w:ascii="Tahoma" w:eastAsiaTheme="minorEastAsia" w:hAnsi="Tahoma" w:cs="Tahoma"/>
          <w:sz w:val="20"/>
          <w:szCs w:val="20"/>
        </w:rPr>
        <w:t xml:space="preserve">largest single unit or transmission line is out of service. VIWAPA has adopted the N – 1 – 1 planning criterion </w:t>
      </w:r>
      <w:r w:rsidR="00520149">
        <w:rPr>
          <w:rFonts w:ascii="Tahoma" w:eastAsiaTheme="minorEastAsia" w:hAnsi="Tahoma" w:cs="Tahoma"/>
          <w:sz w:val="20"/>
          <w:szCs w:val="20"/>
        </w:rPr>
        <w:t>that allows them to meet peak demand in the even the largest two units or lines are out of service. This was preferred since VIWAPA has two smal</w:t>
      </w:r>
      <w:r w:rsidR="00A86549">
        <w:rPr>
          <w:rFonts w:ascii="Tahoma" w:eastAsiaTheme="minorEastAsia" w:hAnsi="Tahoma" w:cs="Tahoma"/>
          <w:sz w:val="20"/>
          <w:szCs w:val="20"/>
        </w:rPr>
        <w:t>l island systems and cannot rel</w:t>
      </w:r>
      <w:r w:rsidR="00520149">
        <w:rPr>
          <w:rFonts w:ascii="Tahoma" w:eastAsiaTheme="minorEastAsia" w:hAnsi="Tahoma" w:cs="Tahoma"/>
          <w:sz w:val="20"/>
          <w:szCs w:val="20"/>
        </w:rPr>
        <w:t>y on interconnections with other</w:t>
      </w:r>
      <w:r w:rsidR="008D7E53">
        <w:rPr>
          <w:rFonts w:ascii="Tahoma" w:eastAsiaTheme="minorEastAsia" w:hAnsi="Tahoma" w:cs="Tahoma"/>
          <w:sz w:val="20"/>
          <w:szCs w:val="20"/>
        </w:rPr>
        <w:t xml:space="preserve"> utilities (or its two systems) to serve loads.</w:t>
      </w:r>
    </w:p>
    <w:p w14:paraId="7404A74C" w14:textId="4FA287A8" w:rsidR="000F24FB" w:rsidRDefault="000F24FB"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In addition to the planning reserve criterion, VIWAPA has a </w:t>
      </w:r>
      <w:r w:rsidRPr="000F24FB">
        <w:rPr>
          <w:rFonts w:ascii="Tahoma" w:eastAsiaTheme="minorEastAsia" w:hAnsi="Tahoma" w:cs="Tahoma"/>
          <w:i/>
          <w:sz w:val="20"/>
          <w:szCs w:val="20"/>
        </w:rPr>
        <w:t>loss of load reliability</w:t>
      </w:r>
      <w:r>
        <w:rPr>
          <w:rFonts w:ascii="Tahoma" w:eastAsiaTheme="minorEastAsia" w:hAnsi="Tahoma" w:cs="Tahoma"/>
          <w:sz w:val="20"/>
          <w:szCs w:val="20"/>
        </w:rPr>
        <w:t xml:space="preserve"> target with the goal of one day of lost load per ten-years in 2044, and one day of lost load per year in 2020.</w:t>
      </w:r>
      <w:r w:rsidR="00782457">
        <w:rPr>
          <w:rFonts w:ascii="Tahoma" w:eastAsiaTheme="minorEastAsia" w:hAnsi="Tahoma" w:cs="Tahoma"/>
          <w:sz w:val="20"/>
          <w:szCs w:val="20"/>
        </w:rPr>
        <w:t xml:space="preserve"> These criteria are applied to this IRP gradually, such that resources are added to meet the one day per year criterion no later than five years into the expansion plan (2024).</w:t>
      </w:r>
    </w:p>
    <w:p w14:paraId="5A1ECF93" w14:textId="6B0E1FDA" w:rsidR="00500ECF" w:rsidRDefault="00500ECF"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Because the loss of load criterion is not applied until 2024, a capacity reserve margin criterion is applied in the model from 2020 through 2024.</w:t>
      </w:r>
    </w:p>
    <w:p w14:paraId="55260554" w14:textId="2EA73A17" w:rsidR="00204AC3" w:rsidRDefault="00204AC3" w:rsidP="00E27052">
      <w:pPr>
        <w:spacing w:before="120" w:after="120" w:line="312" w:lineRule="auto"/>
        <w:outlineLvl w:val="0"/>
        <w:rPr>
          <w:rFonts w:ascii="Tahoma" w:eastAsiaTheme="minorEastAsia" w:hAnsi="Tahoma" w:cs="Tahoma"/>
          <w:i/>
          <w:sz w:val="20"/>
          <w:szCs w:val="20"/>
        </w:rPr>
      </w:pPr>
      <w:r>
        <w:rPr>
          <w:rFonts w:ascii="Tahoma" w:eastAsiaTheme="minorEastAsia" w:hAnsi="Tahoma" w:cs="Tahoma"/>
          <w:i/>
          <w:sz w:val="20"/>
          <w:szCs w:val="20"/>
        </w:rPr>
        <w:t>3.10 Spinning Reserves and Frequency Regulation</w:t>
      </w:r>
    </w:p>
    <w:p w14:paraId="1E813932" w14:textId="78A92E59" w:rsidR="00DB1948" w:rsidRDefault="00DB1948"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Spinning reserves refer to the ability of a utility to quickly increase generation if a unit trips and goes off-line unexpectedly. </w:t>
      </w:r>
      <w:r w:rsidR="006346F5">
        <w:rPr>
          <w:rFonts w:ascii="Tahoma" w:eastAsiaTheme="minorEastAsia" w:hAnsi="Tahoma" w:cs="Tahoma"/>
          <w:sz w:val="20"/>
          <w:szCs w:val="20"/>
        </w:rPr>
        <w:t xml:space="preserve">Normally, utilities plan their dispatch such that online units have sufficient unused generating capacity to quickly ramp-up and serve load if an outage occurs. </w:t>
      </w:r>
    </w:p>
    <w:p w14:paraId="44BF443A" w14:textId="0D63FEE7" w:rsidR="006346F5" w:rsidRDefault="006346F5"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Some utilities require all spinning reserves to be from synchronized units, while other utilities may allow some of the spinning reserve requirements to come from quick-start units that are not synchronized but can come online in 10 minutes or less.</w:t>
      </w:r>
    </w:p>
    <w:p w14:paraId="2AD2A9DE" w14:textId="06152921" w:rsidR="005A69F2" w:rsidRDefault="005A69F2"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Another operational consideration impacting unit dispatch and economics involves the need to provide </w:t>
      </w:r>
      <w:r w:rsidRPr="005A69F2">
        <w:rPr>
          <w:rFonts w:ascii="Tahoma" w:eastAsiaTheme="minorEastAsia" w:hAnsi="Tahoma" w:cs="Tahoma"/>
          <w:b/>
          <w:sz w:val="20"/>
          <w:szCs w:val="20"/>
        </w:rPr>
        <w:t>system regulation</w:t>
      </w:r>
      <w:r>
        <w:rPr>
          <w:rFonts w:ascii="Tahoma" w:eastAsiaTheme="minorEastAsia" w:hAnsi="Tahoma" w:cs="Tahoma"/>
          <w:sz w:val="20"/>
          <w:szCs w:val="20"/>
        </w:rPr>
        <w:t xml:space="preserve"> and </w:t>
      </w:r>
      <w:r>
        <w:rPr>
          <w:rFonts w:ascii="Tahoma" w:eastAsiaTheme="minorEastAsia" w:hAnsi="Tahoma" w:cs="Tahoma"/>
          <w:b/>
          <w:sz w:val="20"/>
          <w:szCs w:val="20"/>
        </w:rPr>
        <w:t>frequency response</w:t>
      </w:r>
      <w:r w:rsidR="001C1066">
        <w:rPr>
          <w:rFonts w:ascii="Tahoma" w:eastAsiaTheme="minorEastAsia" w:hAnsi="Tahoma" w:cs="Tahoma"/>
          <w:sz w:val="20"/>
          <w:szCs w:val="20"/>
        </w:rPr>
        <w:t xml:space="preserve">, </w:t>
      </w:r>
      <w:r w:rsidR="005A0BB3">
        <w:rPr>
          <w:rFonts w:ascii="Tahoma" w:eastAsiaTheme="minorEastAsia" w:hAnsi="Tahoma" w:cs="Tahoma"/>
          <w:sz w:val="20"/>
          <w:szCs w:val="20"/>
        </w:rPr>
        <w:t>referring to the ability to increase or decrease electric output on a near-instantaneous basis in response to dispatch adjustments made to correct supply and demand imbalances.</w:t>
      </w:r>
    </w:p>
    <w:p w14:paraId="3D99654C" w14:textId="5E96F4C6" w:rsidR="00055EC4" w:rsidRDefault="00055EC4"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Re</w:t>
      </w:r>
      <w:r w:rsidR="00D278F8">
        <w:rPr>
          <w:rFonts w:ascii="Tahoma" w:eastAsiaTheme="minorEastAsia" w:hAnsi="Tahoma" w:cs="Tahoma"/>
          <w:sz w:val="20"/>
          <w:szCs w:val="20"/>
        </w:rPr>
        <w:t>sources that provide regulation must have the technical capability to ramp up or down quickly (as measured by the MW/minute ramp rate) and are equipped with automatic generation control (AGC) such that the system operator can send signals electronically and achieve near immediate results.</w:t>
      </w:r>
      <w:r w:rsidR="00687B2A">
        <w:rPr>
          <w:rFonts w:ascii="Tahoma" w:eastAsiaTheme="minorEastAsia" w:hAnsi="Tahoma" w:cs="Tahoma"/>
          <w:sz w:val="20"/>
          <w:szCs w:val="20"/>
        </w:rPr>
        <w:t xml:space="preserve"> Examples of technologies that are well-suited to provide regulation include battery storage system (BESS), hydroelectric generation with reservoirs, and reciprocating internal combustion turbines.</w:t>
      </w:r>
    </w:p>
    <w:p w14:paraId="3EACB5F8" w14:textId="6B2DBC53" w:rsidR="001932C4" w:rsidRDefault="001932C4"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lastRenderedPageBreak/>
        <w:t>The importance of planning for adequate regulation has grown dramatically in recent years as intermittent, renewable resources such as wind and solar have penetrated most markets.</w:t>
      </w:r>
      <w:r w:rsidR="00F44D05">
        <w:rPr>
          <w:rFonts w:ascii="Tahoma" w:eastAsiaTheme="minorEastAsia" w:hAnsi="Tahoma" w:cs="Tahoma"/>
          <w:sz w:val="20"/>
          <w:szCs w:val="20"/>
        </w:rPr>
        <w:tab/>
      </w:r>
    </w:p>
    <w:p w14:paraId="38DA08B9" w14:textId="521D24E4" w:rsidR="00200EDC" w:rsidRDefault="00E23DB3"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A system integrating intermittent RE resources must plan and operate such that sufficient resources provide frequency regulation is operational in case RE output encounters a sudden increase or decrease.</w:t>
      </w:r>
      <w:r w:rsidR="002213F8">
        <w:rPr>
          <w:rFonts w:ascii="Tahoma" w:eastAsiaTheme="minorEastAsia" w:hAnsi="Tahoma" w:cs="Tahoma"/>
          <w:sz w:val="20"/>
          <w:szCs w:val="20"/>
        </w:rPr>
        <w:t xml:space="preserve"> For small, isolated systems such as STX, a failure to provide adequate regulation can result in load shedding and unstable power networks.</w:t>
      </w:r>
    </w:p>
    <w:p w14:paraId="0738F496" w14:textId="4B5C4876" w:rsidR="008D0431" w:rsidRDefault="008D0431"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 xml:space="preserve">The intermittent and unpredictable nature of </w:t>
      </w:r>
      <w:r w:rsidR="0000170D">
        <w:rPr>
          <w:rFonts w:ascii="Tahoma" w:eastAsiaTheme="minorEastAsia" w:hAnsi="Tahoma" w:cs="Tahoma"/>
          <w:sz w:val="20"/>
          <w:szCs w:val="20"/>
        </w:rPr>
        <w:t xml:space="preserve">sources like wind and solar makes it difficult to plan for sufficient system regulation. </w:t>
      </w:r>
      <w:r w:rsidR="00654ED7">
        <w:rPr>
          <w:rFonts w:ascii="Tahoma" w:eastAsiaTheme="minorEastAsia" w:hAnsi="Tahoma" w:cs="Tahoma"/>
          <w:noProof/>
          <w:sz w:val="20"/>
          <w:szCs w:val="20"/>
        </w:rPr>
        <w:drawing>
          <wp:inline distT="0" distB="0" distL="0" distR="0" wp14:anchorId="2E54AF36" wp14:editId="471AD315">
            <wp:extent cx="5943600" cy="25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5 at 7.47.41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6B20A92A" w14:textId="77CC6706" w:rsidR="00654ED7" w:rsidRDefault="00654ED7"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Wind can</w:t>
      </w:r>
      <w:r w:rsidR="006B05E2">
        <w:rPr>
          <w:rFonts w:ascii="Tahoma" w:eastAsiaTheme="minorEastAsia" w:hAnsi="Tahoma" w:cs="Tahoma"/>
          <w:sz w:val="20"/>
          <w:szCs w:val="20"/>
        </w:rPr>
        <w:t xml:space="preserve"> be less predictable than solar. The sudden decrease of wind generation shown in the graph resulted in frequent outages that required energy storage and changes in system regulation requirements.</w:t>
      </w:r>
    </w:p>
    <w:p w14:paraId="00E5A43B" w14:textId="413F2708" w:rsidR="00120DA1" w:rsidRDefault="00120DA1"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noProof/>
          <w:sz w:val="20"/>
          <w:szCs w:val="20"/>
        </w:rPr>
        <w:drawing>
          <wp:inline distT="0" distB="0" distL="0" distR="0" wp14:anchorId="2EC9293E" wp14:editId="5D73AC55">
            <wp:extent cx="5943600" cy="2912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5 at 7.47.52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71A41CF7" w14:textId="6436B63C" w:rsidR="00EE296D" w:rsidRDefault="006D2CA9"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lastRenderedPageBreak/>
        <w:t>Interestingy, VIWAPA did not have sufficient spinning reserves because of the high costs as on-line units would need to be operated inefficiently, at less than full load levels.</w:t>
      </w:r>
    </w:p>
    <w:p w14:paraId="21FA04EC" w14:textId="56DDC572" w:rsidR="00EE296D" w:rsidRPr="005A69F2" w:rsidRDefault="00EE296D" w:rsidP="00E27052">
      <w:pPr>
        <w:spacing w:before="120" w:after="120" w:line="312" w:lineRule="auto"/>
        <w:outlineLvl w:val="0"/>
        <w:rPr>
          <w:rFonts w:ascii="Tahoma" w:eastAsiaTheme="minorEastAsia" w:hAnsi="Tahoma" w:cs="Tahoma"/>
          <w:sz w:val="20"/>
          <w:szCs w:val="20"/>
        </w:rPr>
      </w:pPr>
      <w:r>
        <w:rPr>
          <w:rFonts w:ascii="Tahoma" w:eastAsiaTheme="minorEastAsia" w:hAnsi="Tahoma" w:cs="Tahoma"/>
          <w:sz w:val="20"/>
          <w:szCs w:val="20"/>
        </w:rPr>
        <w:t>For the IRP, 8 MW of synchronized spinning reserves are provided for both STT and STX.</w:t>
      </w:r>
      <w:r w:rsidR="00940772">
        <w:rPr>
          <w:rFonts w:ascii="Tahoma" w:eastAsiaTheme="minorEastAsia" w:hAnsi="Tahoma" w:cs="Tahoma"/>
          <w:sz w:val="20"/>
          <w:szCs w:val="20"/>
        </w:rPr>
        <w:t xml:space="preserve"> Additionally, frequency regulation requirements were set to equal to fifty percent of the renewable energy </w:t>
      </w:r>
      <w:r w:rsidR="00467950">
        <w:rPr>
          <w:rFonts w:ascii="Tahoma" w:eastAsiaTheme="minorEastAsia" w:hAnsi="Tahoma" w:cs="Tahoma"/>
          <w:sz w:val="20"/>
          <w:szCs w:val="20"/>
        </w:rPr>
        <w:t>capacity online during ay hour.</w:t>
      </w:r>
      <w:bookmarkStart w:id="0" w:name="_GoBack"/>
      <w:bookmarkEnd w:id="0"/>
    </w:p>
    <w:sectPr w:rsidR="00EE296D" w:rsidRPr="005A69F2" w:rsidSect="00385BFE">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6FD3D" w14:textId="77777777" w:rsidR="004319C2" w:rsidRDefault="004319C2" w:rsidP="006C6B21">
      <w:pPr>
        <w:spacing w:after="0" w:line="240" w:lineRule="auto"/>
      </w:pPr>
      <w:r>
        <w:separator/>
      </w:r>
    </w:p>
  </w:endnote>
  <w:endnote w:type="continuationSeparator" w:id="0">
    <w:p w14:paraId="59C0A2A3" w14:textId="77777777" w:rsidR="004319C2" w:rsidRDefault="004319C2"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45B1" w14:textId="77777777" w:rsidR="00B46F05" w:rsidRDefault="00B46F05" w:rsidP="005140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674C46" w14:textId="77777777" w:rsidR="00B46F05" w:rsidRDefault="00B46F05" w:rsidP="005417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B73E2" w14:textId="77777777" w:rsidR="00B46F05" w:rsidRPr="00541706" w:rsidRDefault="00B46F05" w:rsidP="00514027">
    <w:pPr>
      <w:pStyle w:val="Footer"/>
      <w:framePr w:wrap="none" w:vAnchor="text" w:hAnchor="margin" w:xAlign="right" w:y="1"/>
      <w:rPr>
        <w:rStyle w:val="PageNumber"/>
        <w:rFonts w:ascii="Tahoma" w:hAnsi="Tahoma" w:cs="Tahoma"/>
      </w:rPr>
    </w:pPr>
    <w:r w:rsidRPr="00541706">
      <w:rPr>
        <w:rStyle w:val="PageNumber"/>
        <w:rFonts w:ascii="Tahoma" w:hAnsi="Tahoma" w:cs="Tahoma"/>
      </w:rPr>
      <w:fldChar w:fldCharType="begin"/>
    </w:r>
    <w:r w:rsidRPr="00541706">
      <w:rPr>
        <w:rStyle w:val="PageNumber"/>
        <w:rFonts w:ascii="Tahoma" w:hAnsi="Tahoma" w:cs="Tahoma"/>
      </w:rPr>
      <w:instrText xml:space="preserve">PAGE  </w:instrText>
    </w:r>
    <w:r w:rsidRPr="00541706">
      <w:rPr>
        <w:rStyle w:val="PageNumber"/>
        <w:rFonts w:ascii="Tahoma" w:hAnsi="Tahoma" w:cs="Tahoma"/>
      </w:rPr>
      <w:fldChar w:fldCharType="separate"/>
    </w:r>
    <w:r w:rsidR="0037283F">
      <w:rPr>
        <w:rStyle w:val="PageNumber"/>
        <w:rFonts w:ascii="Tahoma" w:hAnsi="Tahoma" w:cs="Tahoma"/>
        <w:noProof/>
      </w:rPr>
      <w:t>6</w:t>
    </w:r>
    <w:r w:rsidRPr="00541706">
      <w:rPr>
        <w:rStyle w:val="PageNumber"/>
        <w:rFonts w:ascii="Tahoma" w:hAnsi="Tahoma" w:cs="Tahoma"/>
      </w:rPr>
      <w:fldChar w:fldCharType="end"/>
    </w:r>
  </w:p>
  <w:p w14:paraId="0E03703A" w14:textId="053F3C01" w:rsidR="00B46F05" w:rsidRPr="00541706" w:rsidRDefault="00B46F05" w:rsidP="00541706">
    <w:pPr>
      <w:pStyle w:val="Footer"/>
      <w:ind w:right="360"/>
      <w:jc w:val="right"/>
      <w:rPr>
        <w:rFonts w:ascii="Tahoma" w:hAnsi="Tahoma" w:cs="Tahoma"/>
      </w:rPr>
    </w:pPr>
    <w:r w:rsidRPr="006C6B21">
      <w:rPr>
        <w:rFonts w:ascii="Tahoma" w:hAnsi="Tahoma" w:cs="Tahoma"/>
      </w:rPr>
      <w:t xml:space="preserve"> Bolla</w:t>
    </w:r>
    <w:r w:rsidR="000117CD">
      <w:rPr>
        <w:rFonts w:ascii="Tahoma" w:hAnsi="Tahoma" w:cs="Tahoma"/>
      </w:rPr>
      <w:t xml:space="preserve"> –</w:t>
    </w:r>
    <w:r w:rsidR="00D045A0">
      <w:rPr>
        <w:rFonts w:ascii="Tahoma" w:hAnsi="Tahoma" w:cs="Tahoma"/>
      </w:rPr>
      <w:t xml:space="preserve"> VIWAPA IRP</w:t>
    </w:r>
    <w:r w:rsidR="00250773">
      <w:rPr>
        <w:rFonts w:ascii="Tahoma" w:hAnsi="Tahoma" w:cs="Tahoma"/>
      </w:rPr>
      <w:t xml:space="preserve">  </w:t>
    </w:r>
    <w:r>
      <w:rPr>
        <w:rFonts w:ascii="Tahoma" w:hAnsi="Tahoma" w:cs="Tahoma"/>
      </w:rPr>
      <w:t xml:space="preserve">                                                                                   </w:t>
    </w:r>
    <w:r w:rsidRPr="006C6B21">
      <w:rPr>
        <w:rFonts w:ascii="Tahoma" w:hAnsi="Tahoma" w:cs="Tahom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6C3F5" w14:textId="77777777" w:rsidR="004319C2" w:rsidRDefault="004319C2" w:rsidP="006C6B21">
      <w:pPr>
        <w:spacing w:after="0" w:line="240" w:lineRule="auto"/>
      </w:pPr>
      <w:r>
        <w:separator/>
      </w:r>
    </w:p>
  </w:footnote>
  <w:footnote w:type="continuationSeparator" w:id="0">
    <w:p w14:paraId="0F938BAE" w14:textId="77777777" w:rsidR="004319C2" w:rsidRDefault="004319C2"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33A13"/>
    <w:multiLevelType w:val="hybridMultilevel"/>
    <w:tmpl w:val="5AD4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1D3067"/>
    <w:multiLevelType w:val="hybridMultilevel"/>
    <w:tmpl w:val="59440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213CCD"/>
    <w:multiLevelType w:val="hybridMultilevel"/>
    <w:tmpl w:val="6816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1651F"/>
    <w:multiLevelType w:val="hybridMultilevel"/>
    <w:tmpl w:val="2656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9327F7"/>
    <w:multiLevelType w:val="hybridMultilevel"/>
    <w:tmpl w:val="CCA6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EE7"/>
    <w:rsid w:val="000015CA"/>
    <w:rsid w:val="0000170D"/>
    <w:rsid w:val="00001DDD"/>
    <w:rsid w:val="000037AA"/>
    <w:rsid w:val="0000471B"/>
    <w:rsid w:val="00005602"/>
    <w:rsid w:val="000071AD"/>
    <w:rsid w:val="00010746"/>
    <w:rsid w:val="000108A6"/>
    <w:rsid w:val="000108D6"/>
    <w:rsid w:val="00010AB8"/>
    <w:rsid w:val="00010BF2"/>
    <w:rsid w:val="00011558"/>
    <w:rsid w:val="000117CD"/>
    <w:rsid w:val="00012264"/>
    <w:rsid w:val="00012724"/>
    <w:rsid w:val="0001283D"/>
    <w:rsid w:val="00012947"/>
    <w:rsid w:val="00012B2B"/>
    <w:rsid w:val="00012EFD"/>
    <w:rsid w:val="000144C4"/>
    <w:rsid w:val="0001451A"/>
    <w:rsid w:val="0001463B"/>
    <w:rsid w:val="00014F68"/>
    <w:rsid w:val="00015F33"/>
    <w:rsid w:val="00016919"/>
    <w:rsid w:val="00016FB6"/>
    <w:rsid w:val="0001779F"/>
    <w:rsid w:val="00017FC7"/>
    <w:rsid w:val="000214A1"/>
    <w:rsid w:val="00023B65"/>
    <w:rsid w:val="00024026"/>
    <w:rsid w:val="00025153"/>
    <w:rsid w:val="000254DE"/>
    <w:rsid w:val="00027DEA"/>
    <w:rsid w:val="00031A17"/>
    <w:rsid w:val="00034272"/>
    <w:rsid w:val="00035482"/>
    <w:rsid w:val="0003588C"/>
    <w:rsid w:val="00035E34"/>
    <w:rsid w:val="00036825"/>
    <w:rsid w:val="0003796A"/>
    <w:rsid w:val="00041E4F"/>
    <w:rsid w:val="000429CC"/>
    <w:rsid w:val="000440B7"/>
    <w:rsid w:val="000444C0"/>
    <w:rsid w:val="00045AF3"/>
    <w:rsid w:val="0004661A"/>
    <w:rsid w:val="0004689E"/>
    <w:rsid w:val="000500CA"/>
    <w:rsid w:val="00050637"/>
    <w:rsid w:val="00050C51"/>
    <w:rsid w:val="0005103C"/>
    <w:rsid w:val="000516CC"/>
    <w:rsid w:val="000537A8"/>
    <w:rsid w:val="00053BFB"/>
    <w:rsid w:val="00053C9F"/>
    <w:rsid w:val="00054169"/>
    <w:rsid w:val="0005598E"/>
    <w:rsid w:val="00055EC4"/>
    <w:rsid w:val="0005694F"/>
    <w:rsid w:val="00056DD8"/>
    <w:rsid w:val="00057342"/>
    <w:rsid w:val="0005769F"/>
    <w:rsid w:val="00060634"/>
    <w:rsid w:val="00060D9F"/>
    <w:rsid w:val="00061D6B"/>
    <w:rsid w:val="00061FBF"/>
    <w:rsid w:val="00062C65"/>
    <w:rsid w:val="00062E52"/>
    <w:rsid w:val="00062F62"/>
    <w:rsid w:val="0006300D"/>
    <w:rsid w:val="0006342E"/>
    <w:rsid w:val="00063AE5"/>
    <w:rsid w:val="00065098"/>
    <w:rsid w:val="000657D6"/>
    <w:rsid w:val="0006612B"/>
    <w:rsid w:val="00066DEA"/>
    <w:rsid w:val="00067DF0"/>
    <w:rsid w:val="00070B28"/>
    <w:rsid w:val="00071853"/>
    <w:rsid w:val="00072C6D"/>
    <w:rsid w:val="00075620"/>
    <w:rsid w:val="00076430"/>
    <w:rsid w:val="00076E6D"/>
    <w:rsid w:val="0007791F"/>
    <w:rsid w:val="0008028F"/>
    <w:rsid w:val="000807AC"/>
    <w:rsid w:val="00080C98"/>
    <w:rsid w:val="00080F0D"/>
    <w:rsid w:val="000816E3"/>
    <w:rsid w:val="00082483"/>
    <w:rsid w:val="000825B1"/>
    <w:rsid w:val="000836BE"/>
    <w:rsid w:val="0008392F"/>
    <w:rsid w:val="00083BE2"/>
    <w:rsid w:val="0008453C"/>
    <w:rsid w:val="000858B1"/>
    <w:rsid w:val="00086B50"/>
    <w:rsid w:val="000873BD"/>
    <w:rsid w:val="000873F5"/>
    <w:rsid w:val="00087D46"/>
    <w:rsid w:val="00090891"/>
    <w:rsid w:val="00090A3C"/>
    <w:rsid w:val="00091A21"/>
    <w:rsid w:val="00091ACC"/>
    <w:rsid w:val="00091F08"/>
    <w:rsid w:val="00092062"/>
    <w:rsid w:val="0009238A"/>
    <w:rsid w:val="00092F7B"/>
    <w:rsid w:val="00093104"/>
    <w:rsid w:val="0009345F"/>
    <w:rsid w:val="00094119"/>
    <w:rsid w:val="00094D09"/>
    <w:rsid w:val="00096022"/>
    <w:rsid w:val="000A0E58"/>
    <w:rsid w:val="000A1707"/>
    <w:rsid w:val="000A18DD"/>
    <w:rsid w:val="000A1CFC"/>
    <w:rsid w:val="000A1E25"/>
    <w:rsid w:val="000A2294"/>
    <w:rsid w:val="000A3D9B"/>
    <w:rsid w:val="000A4863"/>
    <w:rsid w:val="000A4AB0"/>
    <w:rsid w:val="000A4C44"/>
    <w:rsid w:val="000A4EAD"/>
    <w:rsid w:val="000A62F5"/>
    <w:rsid w:val="000A63E1"/>
    <w:rsid w:val="000A6B0A"/>
    <w:rsid w:val="000B0F65"/>
    <w:rsid w:val="000B1105"/>
    <w:rsid w:val="000B15F2"/>
    <w:rsid w:val="000B2503"/>
    <w:rsid w:val="000B290C"/>
    <w:rsid w:val="000B42AC"/>
    <w:rsid w:val="000B47D7"/>
    <w:rsid w:val="000B4A9E"/>
    <w:rsid w:val="000B5DF1"/>
    <w:rsid w:val="000B645A"/>
    <w:rsid w:val="000B669E"/>
    <w:rsid w:val="000B7292"/>
    <w:rsid w:val="000B72AD"/>
    <w:rsid w:val="000C14EC"/>
    <w:rsid w:val="000C16E1"/>
    <w:rsid w:val="000C1806"/>
    <w:rsid w:val="000C35A0"/>
    <w:rsid w:val="000C3AA0"/>
    <w:rsid w:val="000C6654"/>
    <w:rsid w:val="000C6995"/>
    <w:rsid w:val="000C77FA"/>
    <w:rsid w:val="000D1725"/>
    <w:rsid w:val="000D1AD7"/>
    <w:rsid w:val="000D2177"/>
    <w:rsid w:val="000D220F"/>
    <w:rsid w:val="000D273F"/>
    <w:rsid w:val="000D2D6E"/>
    <w:rsid w:val="000D3003"/>
    <w:rsid w:val="000D31F1"/>
    <w:rsid w:val="000D5E68"/>
    <w:rsid w:val="000D63CC"/>
    <w:rsid w:val="000D7871"/>
    <w:rsid w:val="000E0478"/>
    <w:rsid w:val="000E0AB2"/>
    <w:rsid w:val="000E2996"/>
    <w:rsid w:val="000E2C07"/>
    <w:rsid w:val="000E30DC"/>
    <w:rsid w:val="000E3641"/>
    <w:rsid w:val="000E3F00"/>
    <w:rsid w:val="000E4975"/>
    <w:rsid w:val="000E6019"/>
    <w:rsid w:val="000E6302"/>
    <w:rsid w:val="000F08AA"/>
    <w:rsid w:val="000F0912"/>
    <w:rsid w:val="000F0E78"/>
    <w:rsid w:val="000F24FB"/>
    <w:rsid w:val="000F34A2"/>
    <w:rsid w:val="000F3781"/>
    <w:rsid w:val="000F47F3"/>
    <w:rsid w:val="000F4B80"/>
    <w:rsid w:val="000F6051"/>
    <w:rsid w:val="000F62ED"/>
    <w:rsid w:val="000F6E0B"/>
    <w:rsid w:val="000F705A"/>
    <w:rsid w:val="000F73DE"/>
    <w:rsid w:val="00101F21"/>
    <w:rsid w:val="001035E2"/>
    <w:rsid w:val="00103C20"/>
    <w:rsid w:val="00105394"/>
    <w:rsid w:val="00105798"/>
    <w:rsid w:val="00105F2C"/>
    <w:rsid w:val="00105F83"/>
    <w:rsid w:val="00111B8E"/>
    <w:rsid w:val="00113694"/>
    <w:rsid w:val="00114ACC"/>
    <w:rsid w:val="00115780"/>
    <w:rsid w:val="00117542"/>
    <w:rsid w:val="0011760E"/>
    <w:rsid w:val="001206E9"/>
    <w:rsid w:val="00120838"/>
    <w:rsid w:val="00120A42"/>
    <w:rsid w:val="00120DA1"/>
    <w:rsid w:val="00121301"/>
    <w:rsid w:val="001224DA"/>
    <w:rsid w:val="00122A21"/>
    <w:rsid w:val="00123101"/>
    <w:rsid w:val="00123E98"/>
    <w:rsid w:val="00125BA8"/>
    <w:rsid w:val="00125F86"/>
    <w:rsid w:val="001266D9"/>
    <w:rsid w:val="0012713B"/>
    <w:rsid w:val="001303D0"/>
    <w:rsid w:val="00132213"/>
    <w:rsid w:val="00132D7C"/>
    <w:rsid w:val="0013321D"/>
    <w:rsid w:val="001334A5"/>
    <w:rsid w:val="001339DA"/>
    <w:rsid w:val="00136A77"/>
    <w:rsid w:val="00136B5B"/>
    <w:rsid w:val="00136BB9"/>
    <w:rsid w:val="00136CFD"/>
    <w:rsid w:val="0013727A"/>
    <w:rsid w:val="001379E9"/>
    <w:rsid w:val="00137DAA"/>
    <w:rsid w:val="00141A9B"/>
    <w:rsid w:val="00142411"/>
    <w:rsid w:val="001441A2"/>
    <w:rsid w:val="0014511F"/>
    <w:rsid w:val="001468D5"/>
    <w:rsid w:val="00147949"/>
    <w:rsid w:val="001510A2"/>
    <w:rsid w:val="00152736"/>
    <w:rsid w:val="00152B4C"/>
    <w:rsid w:val="00152C7D"/>
    <w:rsid w:val="00154818"/>
    <w:rsid w:val="001550CE"/>
    <w:rsid w:val="00155359"/>
    <w:rsid w:val="00155C7A"/>
    <w:rsid w:val="001569B2"/>
    <w:rsid w:val="00156D41"/>
    <w:rsid w:val="001573EC"/>
    <w:rsid w:val="00157786"/>
    <w:rsid w:val="001603EB"/>
    <w:rsid w:val="00161B46"/>
    <w:rsid w:val="001623E1"/>
    <w:rsid w:val="00163241"/>
    <w:rsid w:val="001636B9"/>
    <w:rsid w:val="001641B2"/>
    <w:rsid w:val="0016525D"/>
    <w:rsid w:val="0016555D"/>
    <w:rsid w:val="0016594E"/>
    <w:rsid w:val="00165BC3"/>
    <w:rsid w:val="00165BF3"/>
    <w:rsid w:val="00165DD6"/>
    <w:rsid w:val="0016633A"/>
    <w:rsid w:val="00171314"/>
    <w:rsid w:val="00171588"/>
    <w:rsid w:val="001722F2"/>
    <w:rsid w:val="001723CA"/>
    <w:rsid w:val="00172651"/>
    <w:rsid w:val="00172AF2"/>
    <w:rsid w:val="00172DE7"/>
    <w:rsid w:val="001737BC"/>
    <w:rsid w:val="00174439"/>
    <w:rsid w:val="001761A2"/>
    <w:rsid w:val="001767BE"/>
    <w:rsid w:val="001776E9"/>
    <w:rsid w:val="0018186E"/>
    <w:rsid w:val="00182986"/>
    <w:rsid w:val="001832EC"/>
    <w:rsid w:val="001843E7"/>
    <w:rsid w:val="00184E64"/>
    <w:rsid w:val="00186E0D"/>
    <w:rsid w:val="00187346"/>
    <w:rsid w:val="00187696"/>
    <w:rsid w:val="00190719"/>
    <w:rsid w:val="00190936"/>
    <w:rsid w:val="001918F9"/>
    <w:rsid w:val="0019197F"/>
    <w:rsid w:val="00191F31"/>
    <w:rsid w:val="00193155"/>
    <w:rsid w:val="001932C4"/>
    <w:rsid w:val="001961DF"/>
    <w:rsid w:val="001963EF"/>
    <w:rsid w:val="00196441"/>
    <w:rsid w:val="00196C7D"/>
    <w:rsid w:val="0019720D"/>
    <w:rsid w:val="001A14A3"/>
    <w:rsid w:val="001A1838"/>
    <w:rsid w:val="001A1A7F"/>
    <w:rsid w:val="001A33B1"/>
    <w:rsid w:val="001A5251"/>
    <w:rsid w:val="001A64AA"/>
    <w:rsid w:val="001A76DE"/>
    <w:rsid w:val="001B0568"/>
    <w:rsid w:val="001B0B02"/>
    <w:rsid w:val="001B1A6B"/>
    <w:rsid w:val="001B3523"/>
    <w:rsid w:val="001B4C9A"/>
    <w:rsid w:val="001B5545"/>
    <w:rsid w:val="001B564E"/>
    <w:rsid w:val="001B565E"/>
    <w:rsid w:val="001B58F5"/>
    <w:rsid w:val="001B7109"/>
    <w:rsid w:val="001B7A88"/>
    <w:rsid w:val="001B7BC1"/>
    <w:rsid w:val="001C0024"/>
    <w:rsid w:val="001C1066"/>
    <w:rsid w:val="001C1640"/>
    <w:rsid w:val="001C1994"/>
    <w:rsid w:val="001C20F9"/>
    <w:rsid w:val="001C2C78"/>
    <w:rsid w:val="001C31A1"/>
    <w:rsid w:val="001C4625"/>
    <w:rsid w:val="001C51D9"/>
    <w:rsid w:val="001C5A8C"/>
    <w:rsid w:val="001C5F25"/>
    <w:rsid w:val="001C6F77"/>
    <w:rsid w:val="001C7637"/>
    <w:rsid w:val="001C7EFF"/>
    <w:rsid w:val="001D0336"/>
    <w:rsid w:val="001D0D93"/>
    <w:rsid w:val="001D18C4"/>
    <w:rsid w:val="001D322C"/>
    <w:rsid w:val="001D379C"/>
    <w:rsid w:val="001D3FAB"/>
    <w:rsid w:val="001D49A7"/>
    <w:rsid w:val="001D4CAA"/>
    <w:rsid w:val="001D5468"/>
    <w:rsid w:val="001D5E93"/>
    <w:rsid w:val="001D668A"/>
    <w:rsid w:val="001D6E8A"/>
    <w:rsid w:val="001D6F38"/>
    <w:rsid w:val="001D761B"/>
    <w:rsid w:val="001D7860"/>
    <w:rsid w:val="001E1C44"/>
    <w:rsid w:val="001E269C"/>
    <w:rsid w:val="001E3AAC"/>
    <w:rsid w:val="001E4475"/>
    <w:rsid w:val="001E5533"/>
    <w:rsid w:val="001E5C0C"/>
    <w:rsid w:val="001E6720"/>
    <w:rsid w:val="001E761C"/>
    <w:rsid w:val="001E7E45"/>
    <w:rsid w:val="001F0210"/>
    <w:rsid w:val="001F0FF3"/>
    <w:rsid w:val="001F1451"/>
    <w:rsid w:val="001F14B5"/>
    <w:rsid w:val="001F3273"/>
    <w:rsid w:val="001F3EE0"/>
    <w:rsid w:val="001F41F3"/>
    <w:rsid w:val="001F472A"/>
    <w:rsid w:val="001F472B"/>
    <w:rsid w:val="001F498A"/>
    <w:rsid w:val="001F4A21"/>
    <w:rsid w:val="001F6D6D"/>
    <w:rsid w:val="001F75C6"/>
    <w:rsid w:val="001F783C"/>
    <w:rsid w:val="002005BA"/>
    <w:rsid w:val="00200E45"/>
    <w:rsid w:val="00200EDC"/>
    <w:rsid w:val="0020119C"/>
    <w:rsid w:val="002016D6"/>
    <w:rsid w:val="00203CC2"/>
    <w:rsid w:val="00204AC3"/>
    <w:rsid w:val="00205209"/>
    <w:rsid w:val="00206621"/>
    <w:rsid w:val="0021136D"/>
    <w:rsid w:val="0021254C"/>
    <w:rsid w:val="00213385"/>
    <w:rsid w:val="002144A1"/>
    <w:rsid w:val="00214C3B"/>
    <w:rsid w:val="0021663D"/>
    <w:rsid w:val="00216F62"/>
    <w:rsid w:val="0021743D"/>
    <w:rsid w:val="00220E0B"/>
    <w:rsid w:val="002213F8"/>
    <w:rsid w:val="002220AE"/>
    <w:rsid w:val="00222312"/>
    <w:rsid w:val="0022249F"/>
    <w:rsid w:val="002240A2"/>
    <w:rsid w:val="00226C83"/>
    <w:rsid w:val="002315CB"/>
    <w:rsid w:val="0023232D"/>
    <w:rsid w:val="0023355D"/>
    <w:rsid w:val="00233D99"/>
    <w:rsid w:val="002345EC"/>
    <w:rsid w:val="00235BC6"/>
    <w:rsid w:val="00235F0E"/>
    <w:rsid w:val="00236920"/>
    <w:rsid w:val="00240FA7"/>
    <w:rsid w:val="00241A9D"/>
    <w:rsid w:val="00243155"/>
    <w:rsid w:val="00244307"/>
    <w:rsid w:val="00245A7D"/>
    <w:rsid w:val="00245D5F"/>
    <w:rsid w:val="00246AE1"/>
    <w:rsid w:val="002478B3"/>
    <w:rsid w:val="00247CF6"/>
    <w:rsid w:val="0025004B"/>
    <w:rsid w:val="00250773"/>
    <w:rsid w:val="00252A00"/>
    <w:rsid w:val="00253E90"/>
    <w:rsid w:val="00253EF2"/>
    <w:rsid w:val="00255DB8"/>
    <w:rsid w:val="0025619A"/>
    <w:rsid w:val="002575A1"/>
    <w:rsid w:val="002577F9"/>
    <w:rsid w:val="00260504"/>
    <w:rsid w:val="00261C71"/>
    <w:rsid w:val="00261F82"/>
    <w:rsid w:val="002629D4"/>
    <w:rsid w:val="002633A5"/>
    <w:rsid w:val="002654FE"/>
    <w:rsid w:val="002660E1"/>
    <w:rsid w:val="002669AA"/>
    <w:rsid w:val="00267AE3"/>
    <w:rsid w:val="00271845"/>
    <w:rsid w:val="002718AF"/>
    <w:rsid w:val="00272C2F"/>
    <w:rsid w:val="002732B9"/>
    <w:rsid w:val="002752FE"/>
    <w:rsid w:val="002764A4"/>
    <w:rsid w:val="0027772F"/>
    <w:rsid w:val="00280DB0"/>
    <w:rsid w:val="00280FCB"/>
    <w:rsid w:val="0028117F"/>
    <w:rsid w:val="00281B41"/>
    <w:rsid w:val="00285FFE"/>
    <w:rsid w:val="00286974"/>
    <w:rsid w:val="00287666"/>
    <w:rsid w:val="00287E27"/>
    <w:rsid w:val="00290A6D"/>
    <w:rsid w:val="002918B9"/>
    <w:rsid w:val="00291C9B"/>
    <w:rsid w:val="00292164"/>
    <w:rsid w:val="00292350"/>
    <w:rsid w:val="00292751"/>
    <w:rsid w:val="00292CDE"/>
    <w:rsid w:val="002934D6"/>
    <w:rsid w:val="00293D2F"/>
    <w:rsid w:val="00294636"/>
    <w:rsid w:val="00294BF4"/>
    <w:rsid w:val="00294F9B"/>
    <w:rsid w:val="002950D6"/>
    <w:rsid w:val="00295A50"/>
    <w:rsid w:val="00295F1E"/>
    <w:rsid w:val="002966E6"/>
    <w:rsid w:val="00296793"/>
    <w:rsid w:val="002A2900"/>
    <w:rsid w:val="002A2E51"/>
    <w:rsid w:val="002A32D4"/>
    <w:rsid w:val="002A37A0"/>
    <w:rsid w:val="002A3DF5"/>
    <w:rsid w:val="002A4318"/>
    <w:rsid w:val="002A4787"/>
    <w:rsid w:val="002A50D5"/>
    <w:rsid w:val="002A61A1"/>
    <w:rsid w:val="002B1402"/>
    <w:rsid w:val="002B2042"/>
    <w:rsid w:val="002B2AE5"/>
    <w:rsid w:val="002B3A14"/>
    <w:rsid w:val="002B5534"/>
    <w:rsid w:val="002B661E"/>
    <w:rsid w:val="002B6756"/>
    <w:rsid w:val="002B6D7E"/>
    <w:rsid w:val="002B793D"/>
    <w:rsid w:val="002B7A66"/>
    <w:rsid w:val="002C0120"/>
    <w:rsid w:val="002C0495"/>
    <w:rsid w:val="002C058C"/>
    <w:rsid w:val="002C091D"/>
    <w:rsid w:val="002C0DDA"/>
    <w:rsid w:val="002C11F7"/>
    <w:rsid w:val="002C26C2"/>
    <w:rsid w:val="002C29C0"/>
    <w:rsid w:val="002C4555"/>
    <w:rsid w:val="002C4D8A"/>
    <w:rsid w:val="002C58B0"/>
    <w:rsid w:val="002C605E"/>
    <w:rsid w:val="002C6481"/>
    <w:rsid w:val="002C695A"/>
    <w:rsid w:val="002C6AC9"/>
    <w:rsid w:val="002C6CD9"/>
    <w:rsid w:val="002C6FB3"/>
    <w:rsid w:val="002C73EF"/>
    <w:rsid w:val="002D067B"/>
    <w:rsid w:val="002D094F"/>
    <w:rsid w:val="002D09DC"/>
    <w:rsid w:val="002D16F8"/>
    <w:rsid w:val="002D209E"/>
    <w:rsid w:val="002D2596"/>
    <w:rsid w:val="002D263E"/>
    <w:rsid w:val="002D26FB"/>
    <w:rsid w:val="002D2F8B"/>
    <w:rsid w:val="002D3162"/>
    <w:rsid w:val="002D387E"/>
    <w:rsid w:val="002D3BA0"/>
    <w:rsid w:val="002D4670"/>
    <w:rsid w:val="002D4E6A"/>
    <w:rsid w:val="002D5F37"/>
    <w:rsid w:val="002D79B9"/>
    <w:rsid w:val="002D7A9C"/>
    <w:rsid w:val="002E04CD"/>
    <w:rsid w:val="002E0A22"/>
    <w:rsid w:val="002E0CF8"/>
    <w:rsid w:val="002E138C"/>
    <w:rsid w:val="002E1F77"/>
    <w:rsid w:val="002E1F8F"/>
    <w:rsid w:val="002E3AF2"/>
    <w:rsid w:val="002E539C"/>
    <w:rsid w:val="002E56C6"/>
    <w:rsid w:val="002E5A6E"/>
    <w:rsid w:val="002E5DE3"/>
    <w:rsid w:val="002E6763"/>
    <w:rsid w:val="002E6A3D"/>
    <w:rsid w:val="002F0E3F"/>
    <w:rsid w:val="002F1F64"/>
    <w:rsid w:val="002F3DA3"/>
    <w:rsid w:val="002F4391"/>
    <w:rsid w:val="002F47AF"/>
    <w:rsid w:val="002F4950"/>
    <w:rsid w:val="002F4ED8"/>
    <w:rsid w:val="002F4F94"/>
    <w:rsid w:val="0030003C"/>
    <w:rsid w:val="00300D40"/>
    <w:rsid w:val="0030186B"/>
    <w:rsid w:val="00301C07"/>
    <w:rsid w:val="00303B31"/>
    <w:rsid w:val="003064CF"/>
    <w:rsid w:val="003069FF"/>
    <w:rsid w:val="00306C14"/>
    <w:rsid w:val="00306C2F"/>
    <w:rsid w:val="00307C69"/>
    <w:rsid w:val="00307C7A"/>
    <w:rsid w:val="00310EAF"/>
    <w:rsid w:val="003121D1"/>
    <w:rsid w:val="00313EE4"/>
    <w:rsid w:val="00315460"/>
    <w:rsid w:val="00316D14"/>
    <w:rsid w:val="00317F48"/>
    <w:rsid w:val="00321383"/>
    <w:rsid w:val="00322195"/>
    <w:rsid w:val="003226CB"/>
    <w:rsid w:val="00323809"/>
    <w:rsid w:val="00323907"/>
    <w:rsid w:val="00323B88"/>
    <w:rsid w:val="00324E3C"/>
    <w:rsid w:val="00325B1D"/>
    <w:rsid w:val="003263C9"/>
    <w:rsid w:val="003268A1"/>
    <w:rsid w:val="00327301"/>
    <w:rsid w:val="0033072C"/>
    <w:rsid w:val="00330C95"/>
    <w:rsid w:val="00331BC1"/>
    <w:rsid w:val="003326FA"/>
    <w:rsid w:val="00333515"/>
    <w:rsid w:val="00333BC9"/>
    <w:rsid w:val="00333DEF"/>
    <w:rsid w:val="003354A8"/>
    <w:rsid w:val="0033580B"/>
    <w:rsid w:val="00336F2E"/>
    <w:rsid w:val="00337AEB"/>
    <w:rsid w:val="0034014D"/>
    <w:rsid w:val="00340657"/>
    <w:rsid w:val="003407CA"/>
    <w:rsid w:val="00340BB8"/>
    <w:rsid w:val="0034391C"/>
    <w:rsid w:val="00344B63"/>
    <w:rsid w:val="00345F50"/>
    <w:rsid w:val="00345FDB"/>
    <w:rsid w:val="00352324"/>
    <w:rsid w:val="003529F5"/>
    <w:rsid w:val="0035428F"/>
    <w:rsid w:val="00354645"/>
    <w:rsid w:val="00354A68"/>
    <w:rsid w:val="00354CA1"/>
    <w:rsid w:val="00355B3C"/>
    <w:rsid w:val="003563F6"/>
    <w:rsid w:val="00360C39"/>
    <w:rsid w:val="00363540"/>
    <w:rsid w:val="003638A4"/>
    <w:rsid w:val="003645CA"/>
    <w:rsid w:val="00365236"/>
    <w:rsid w:val="0036553E"/>
    <w:rsid w:val="00365D56"/>
    <w:rsid w:val="00366AE8"/>
    <w:rsid w:val="003675C5"/>
    <w:rsid w:val="00367D54"/>
    <w:rsid w:val="00370F3F"/>
    <w:rsid w:val="0037283F"/>
    <w:rsid w:val="003736E2"/>
    <w:rsid w:val="0037444F"/>
    <w:rsid w:val="003752BF"/>
    <w:rsid w:val="003768FB"/>
    <w:rsid w:val="00376BBC"/>
    <w:rsid w:val="00377701"/>
    <w:rsid w:val="003813D4"/>
    <w:rsid w:val="003824DA"/>
    <w:rsid w:val="00383388"/>
    <w:rsid w:val="00383CBB"/>
    <w:rsid w:val="00383EA6"/>
    <w:rsid w:val="00384FFE"/>
    <w:rsid w:val="00385BFE"/>
    <w:rsid w:val="00385F16"/>
    <w:rsid w:val="003871BE"/>
    <w:rsid w:val="003873B3"/>
    <w:rsid w:val="0038741A"/>
    <w:rsid w:val="00387668"/>
    <w:rsid w:val="00387817"/>
    <w:rsid w:val="00387E58"/>
    <w:rsid w:val="00390608"/>
    <w:rsid w:val="003921D9"/>
    <w:rsid w:val="0039379F"/>
    <w:rsid w:val="00393AC7"/>
    <w:rsid w:val="00394902"/>
    <w:rsid w:val="00395D65"/>
    <w:rsid w:val="00395DE0"/>
    <w:rsid w:val="003A0341"/>
    <w:rsid w:val="003A060C"/>
    <w:rsid w:val="003A1640"/>
    <w:rsid w:val="003A23DA"/>
    <w:rsid w:val="003A2848"/>
    <w:rsid w:val="003A3CE7"/>
    <w:rsid w:val="003A3D90"/>
    <w:rsid w:val="003A4297"/>
    <w:rsid w:val="003A4C7C"/>
    <w:rsid w:val="003A4EA5"/>
    <w:rsid w:val="003A6386"/>
    <w:rsid w:val="003A675E"/>
    <w:rsid w:val="003A6DBB"/>
    <w:rsid w:val="003A6F7E"/>
    <w:rsid w:val="003A791B"/>
    <w:rsid w:val="003B027E"/>
    <w:rsid w:val="003B1489"/>
    <w:rsid w:val="003B17FF"/>
    <w:rsid w:val="003B1AEA"/>
    <w:rsid w:val="003B2256"/>
    <w:rsid w:val="003B29DE"/>
    <w:rsid w:val="003B329C"/>
    <w:rsid w:val="003B41AC"/>
    <w:rsid w:val="003B542C"/>
    <w:rsid w:val="003B6183"/>
    <w:rsid w:val="003B6C51"/>
    <w:rsid w:val="003B78C2"/>
    <w:rsid w:val="003C06E9"/>
    <w:rsid w:val="003C0F6F"/>
    <w:rsid w:val="003C10A7"/>
    <w:rsid w:val="003C241E"/>
    <w:rsid w:val="003C27A0"/>
    <w:rsid w:val="003C2A91"/>
    <w:rsid w:val="003C39F1"/>
    <w:rsid w:val="003C3EA3"/>
    <w:rsid w:val="003C3F39"/>
    <w:rsid w:val="003C549D"/>
    <w:rsid w:val="003C569A"/>
    <w:rsid w:val="003C5773"/>
    <w:rsid w:val="003C6DEF"/>
    <w:rsid w:val="003C7094"/>
    <w:rsid w:val="003D0F5B"/>
    <w:rsid w:val="003D11BD"/>
    <w:rsid w:val="003D1C86"/>
    <w:rsid w:val="003D214F"/>
    <w:rsid w:val="003D25A2"/>
    <w:rsid w:val="003D31F6"/>
    <w:rsid w:val="003D391D"/>
    <w:rsid w:val="003D3E1C"/>
    <w:rsid w:val="003D4294"/>
    <w:rsid w:val="003D42EE"/>
    <w:rsid w:val="003D4E06"/>
    <w:rsid w:val="003D5431"/>
    <w:rsid w:val="003D5E9B"/>
    <w:rsid w:val="003E1974"/>
    <w:rsid w:val="003E34BB"/>
    <w:rsid w:val="003E3F68"/>
    <w:rsid w:val="003E45B9"/>
    <w:rsid w:val="003E63F8"/>
    <w:rsid w:val="003E65B5"/>
    <w:rsid w:val="003E6833"/>
    <w:rsid w:val="003E7C96"/>
    <w:rsid w:val="003F023E"/>
    <w:rsid w:val="003F1263"/>
    <w:rsid w:val="003F159C"/>
    <w:rsid w:val="003F3B8A"/>
    <w:rsid w:val="003F4822"/>
    <w:rsid w:val="003F493E"/>
    <w:rsid w:val="003F4A17"/>
    <w:rsid w:val="003F55DC"/>
    <w:rsid w:val="003F5F2C"/>
    <w:rsid w:val="004024B1"/>
    <w:rsid w:val="0040435A"/>
    <w:rsid w:val="00404B0E"/>
    <w:rsid w:val="0040579B"/>
    <w:rsid w:val="0040646B"/>
    <w:rsid w:val="00406960"/>
    <w:rsid w:val="00407935"/>
    <w:rsid w:val="00407D18"/>
    <w:rsid w:val="004100A4"/>
    <w:rsid w:val="00410990"/>
    <w:rsid w:val="004110D2"/>
    <w:rsid w:val="00411FA0"/>
    <w:rsid w:val="004122BD"/>
    <w:rsid w:val="004132D8"/>
    <w:rsid w:val="004142C1"/>
    <w:rsid w:val="00415602"/>
    <w:rsid w:val="00415916"/>
    <w:rsid w:val="00416DC6"/>
    <w:rsid w:val="004175A8"/>
    <w:rsid w:val="0041771C"/>
    <w:rsid w:val="00424D5B"/>
    <w:rsid w:val="00424FF3"/>
    <w:rsid w:val="00425A45"/>
    <w:rsid w:val="00425F84"/>
    <w:rsid w:val="00426525"/>
    <w:rsid w:val="00426EEE"/>
    <w:rsid w:val="00427211"/>
    <w:rsid w:val="00430DA5"/>
    <w:rsid w:val="00430DFA"/>
    <w:rsid w:val="004319C2"/>
    <w:rsid w:val="0043214F"/>
    <w:rsid w:val="00433F98"/>
    <w:rsid w:val="0043431D"/>
    <w:rsid w:val="00434BDA"/>
    <w:rsid w:val="004356D6"/>
    <w:rsid w:val="0043699B"/>
    <w:rsid w:val="00437E27"/>
    <w:rsid w:val="00440310"/>
    <w:rsid w:val="00440A3E"/>
    <w:rsid w:val="0044105D"/>
    <w:rsid w:val="0044206F"/>
    <w:rsid w:val="0044228D"/>
    <w:rsid w:val="00443E5D"/>
    <w:rsid w:val="0044738A"/>
    <w:rsid w:val="00447A1A"/>
    <w:rsid w:val="00451087"/>
    <w:rsid w:val="004513F2"/>
    <w:rsid w:val="00451629"/>
    <w:rsid w:val="0045202F"/>
    <w:rsid w:val="00452341"/>
    <w:rsid w:val="00452645"/>
    <w:rsid w:val="00452817"/>
    <w:rsid w:val="00455DA0"/>
    <w:rsid w:val="00456268"/>
    <w:rsid w:val="00456E02"/>
    <w:rsid w:val="00457074"/>
    <w:rsid w:val="004573B3"/>
    <w:rsid w:val="00457879"/>
    <w:rsid w:val="00457BC0"/>
    <w:rsid w:val="00457D0C"/>
    <w:rsid w:val="00461F63"/>
    <w:rsid w:val="00462A52"/>
    <w:rsid w:val="0046443B"/>
    <w:rsid w:val="00464934"/>
    <w:rsid w:val="00464D80"/>
    <w:rsid w:val="004656B8"/>
    <w:rsid w:val="004663B8"/>
    <w:rsid w:val="00466437"/>
    <w:rsid w:val="00467950"/>
    <w:rsid w:val="00467985"/>
    <w:rsid w:val="00467A06"/>
    <w:rsid w:val="004700CC"/>
    <w:rsid w:val="00470337"/>
    <w:rsid w:val="004706D9"/>
    <w:rsid w:val="00470860"/>
    <w:rsid w:val="00470F6A"/>
    <w:rsid w:val="00471034"/>
    <w:rsid w:val="004716B8"/>
    <w:rsid w:val="00472BF8"/>
    <w:rsid w:val="00473FCA"/>
    <w:rsid w:val="0047405F"/>
    <w:rsid w:val="0047445D"/>
    <w:rsid w:val="004744EA"/>
    <w:rsid w:val="004748A5"/>
    <w:rsid w:val="00474FE7"/>
    <w:rsid w:val="00475680"/>
    <w:rsid w:val="00477511"/>
    <w:rsid w:val="004776F8"/>
    <w:rsid w:val="00480818"/>
    <w:rsid w:val="004809BE"/>
    <w:rsid w:val="004843FE"/>
    <w:rsid w:val="0048491B"/>
    <w:rsid w:val="004849A7"/>
    <w:rsid w:val="004854DB"/>
    <w:rsid w:val="0048575B"/>
    <w:rsid w:val="00486FC6"/>
    <w:rsid w:val="004873ED"/>
    <w:rsid w:val="0048751E"/>
    <w:rsid w:val="004875ED"/>
    <w:rsid w:val="00487978"/>
    <w:rsid w:val="00490369"/>
    <w:rsid w:val="004911CC"/>
    <w:rsid w:val="00492D39"/>
    <w:rsid w:val="00493E31"/>
    <w:rsid w:val="00494AC9"/>
    <w:rsid w:val="00497615"/>
    <w:rsid w:val="00497916"/>
    <w:rsid w:val="00497B9B"/>
    <w:rsid w:val="00497D2D"/>
    <w:rsid w:val="004A0D6D"/>
    <w:rsid w:val="004A17DB"/>
    <w:rsid w:val="004A1A62"/>
    <w:rsid w:val="004A1EA3"/>
    <w:rsid w:val="004A1F7F"/>
    <w:rsid w:val="004A2D57"/>
    <w:rsid w:val="004A441D"/>
    <w:rsid w:val="004A4FCB"/>
    <w:rsid w:val="004A66C5"/>
    <w:rsid w:val="004A6F7A"/>
    <w:rsid w:val="004A73E6"/>
    <w:rsid w:val="004A7BE7"/>
    <w:rsid w:val="004B07F5"/>
    <w:rsid w:val="004B0E47"/>
    <w:rsid w:val="004B29C8"/>
    <w:rsid w:val="004B4332"/>
    <w:rsid w:val="004B513E"/>
    <w:rsid w:val="004B5235"/>
    <w:rsid w:val="004B6E69"/>
    <w:rsid w:val="004B712F"/>
    <w:rsid w:val="004C0074"/>
    <w:rsid w:val="004C0CAC"/>
    <w:rsid w:val="004C14EE"/>
    <w:rsid w:val="004C271D"/>
    <w:rsid w:val="004C2DC4"/>
    <w:rsid w:val="004C3CE8"/>
    <w:rsid w:val="004C4748"/>
    <w:rsid w:val="004C5720"/>
    <w:rsid w:val="004D0932"/>
    <w:rsid w:val="004D252F"/>
    <w:rsid w:val="004D2722"/>
    <w:rsid w:val="004D3786"/>
    <w:rsid w:val="004D48C0"/>
    <w:rsid w:val="004D6886"/>
    <w:rsid w:val="004E03EC"/>
    <w:rsid w:val="004E0AB7"/>
    <w:rsid w:val="004E15B2"/>
    <w:rsid w:val="004E1BBC"/>
    <w:rsid w:val="004E371F"/>
    <w:rsid w:val="004E37C1"/>
    <w:rsid w:val="004E3BDD"/>
    <w:rsid w:val="004E43F1"/>
    <w:rsid w:val="004E443C"/>
    <w:rsid w:val="004E5B67"/>
    <w:rsid w:val="004E6A90"/>
    <w:rsid w:val="004E6EEC"/>
    <w:rsid w:val="004E6F6E"/>
    <w:rsid w:val="004F0A8A"/>
    <w:rsid w:val="004F12F0"/>
    <w:rsid w:val="004F1733"/>
    <w:rsid w:val="004F2561"/>
    <w:rsid w:val="004F4B64"/>
    <w:rsid w:val="004F5F6E"/>
    <w:rsid w:val="004F618D"/>
    <w:rsid w:val="004F72EC"/>
    <w:rsid w:val="004F7FD2"/>
    <w:rsid w:val="005004CC"/>
    <w:rsid w:val="00500ECF"/>
    <w:rsid w:val="0050275D"/>
    <w:rsid w:val="00502DDA"/>
    <w:rsid w:val="005030B0"/>
    <w:rsid w:val="00504D2C"/>
    <w:rsid w:val="00505201"/>
    <w:rsid w:val="00505384"/>
    <w:rsid w:val="00510165"/>
    <w:rsid w:val="0051075A"/>
    <w:rsid w:val="005119A9"/>
    <w:rsid w:val="005128AF"/>
    <w:rsid w:val="00514027"/>
    <w:rsid w:val="00514DAB"/>
    <w:rsid w:val="00515589"/>
    <w:rsid w:val="00515897"/>
    <w:rsid w:val="00515DD8"/>
    <w:rsid w:val="00515E2F"/>
    <w:rsid w:val="0051605A"/>
    <w:rsid w:val="00520149"/>
    <w:rsid w:val="00520828"/>
    <w:rsid w:val="0052125E"/>
    <w:rsid w:val="005228AB"/>
    <w:rsid w:val="00522ADD"/>
    <w:rsid w:val="00522CE9"/>
    <w:rsid w:val="00522EF6"/>
    <w:rsid w:val="0052393F"/>
    <w:rsid w:val="00524D7C"/>
    <w:rsid w:val="00524EA7"/>
    <w:rsid w:val="005254FF"/>
    <w:rsid w:val="005261BA"/>
    <w:rsid w:val="00527978"/>
    <w:rsid w:val="005304AE"/>
    <w:rsid w:val="0053177F"/>
    <w:rsid w:val="0053179C"/>
    <w:rsid w:val="00531F65"/>
    <w:rsid w:val="005320A6"/>
    <w:rsid w:val="0053267C"/>
    <w:rsid w:val="00533D7F"/>
    <w:rsid w:val="00533EBB"/>
    <w:rsid w:val="00533FE5"/>
    <w:rsid w:val="00534213"/>
    <w:rsid w:val="00534A3B"/>
    <w:rsid w:val="00534C1B"/>
    <w:rsid w:val="005356BC"/>
    <w:rsid w:val="00536954"/>
    <w:rsid w:val="005413AC"/>
    <w:rsid w:val="005416F2"/>
    <w:rsid w:val="00541706"/>
    <w:rsid w:val="0054309B"/>
    <w:rsid w:val="00543787"/>
    <w:rsid w:val="005442DB"/>
    <w:rsid w:val="00544F3C"/>
    <w:rsid w:val="00546773"/>
    <w:rsid w:val="0055009E"/>
    <w:rsid w:val="00551292"/>
    <w:rsid w:val="00551F44"/>
    <w:rsid w:val="005532B5"/>
    <w:rsid w:val="00555B97"/>
    <w:rsid w:val="00556300"/>
    <w:rsid w:val="005569FA"/>
    <w:rsid w:val="00556FC4"/>
    <w:rsid w:val="00560BC5"/>
    <w:rsid w:val="0056278E"/>
    <w:rsid w:val="00562F4D"/>
    <w:rsid w:val="005630C6"/>
    <w:rsid w:val="005635F4"/>
    <w:rsid w:val="00563844"/>
    <w:rsid w:val="00563B90"/>
    <w:rsid w:val="005649CC"/>
    <w:rsid w:val="00564ED8"/>
    <w:rsid w:val="005658D4"/>
    <w:rsid w:val="00566897"/>
    <w:rsid w:val="0057035C"/>
    <w:rsid w:val="00570B76"/>
    <w:rsid w:val="00571B57"/>
    <w:rsid w:val="00571D19"/>
    <w:rsid w:val="00572AC7"/>
    <w:rsid w:val="00573B75"/>
    <w:rsid w:val="00573DA4"/>
    <w:rsid w:val="005745E5"/>
    <w:rsid w:val="005775D1"/>
    <w:rsid w:val="00577CED"/>
    <w:rsid w:val="00580009"/>
    <w:rsid w:val="005809E1"/>
    <w:rsid w:val="00581943"/>
    <w:rsid w:val="0058220D"/>
    <w:rsid w:val="005823B6"/>
    <w:rsid w:val="00582441"/>
    <w:rsid w:val="005831DE"/>
    <w:rsid w:val="005833DE"/>
    <w:rsid w:val="0058485E"/>
    <w:rsid w:val="00584D17"/>
    <w:rsid w:val="00584D9F"/>
    <w:rsid w:val="00585069"/>
    <w:rsid w:val="00585265"/>
    <w:rsid w:val="00585C48"/>
    <w:rsid w:val="005860DB"/>
    <w:rsid w:val="00587C77"/>
    <w:rsid w:val="00587F5D"/>
    <w:rsid w:val="0059101E"/>
    <w:rsid w:val="00591793"/>
    <w:rsid w:val="00591D44"/>
    <w:rsid w:val="00592815"/>
    <w:rsid w:val="005937AE"/>
    <w:rsid w:val="00593CDD"/>
    <w:rsid w:val="0059413B"/>
    <w:rsid w:val="005952B2"/>
    <w:rsid w:val="0059568E"/>
    <w:rsid w:val="005963D9"/>
    <w:rsid w:val="00596705"/>
    <w:rsid w:val="00596910"/>
    <w:rsid w:val="00596967"/>
    <w:rsid w:val="005A0395"/>
    <w:rsid w:val="005A0BB3"/>
    <w:rsid w:val="005A0F96"/>
    <w:rsid w:val="005A133B"/>
    <w:rsid w:val="005A1933"/>
    <w:rsid w:val="005A1A43"/>
    <w:rsid w:val="005A3576"/>
    <w:rsid w:val="005A3A92"/>
    <w:rsid w:val="005A4DAD"/>
    <w:rsid w:val="005A5B2F"/>
    <w:rsid w:val="005A5CEC"/>
    <w:rsid w:val="005A69F2"/>
    <w:rsid w:val="005A6B15"/>
    <w:rsid w:val="005A7117"/>
    <w:rsid w:val="005A7E6D"/>
    <w:rsid w:val="005B00B5"/>
    <w:rsid w:val="005B0427"/>
    <w:rsid w:val="005B2305"/>
    <w:rsid w:val="005B23F5"/>
    <w:rsid w:val="005B2C73"/>
    <w:rsid w:val="005B3154"/>
    <w:rsid w:val="005B37B8"/>
    <w:rsid w:val="005B6631"/>
    <w:rsid w:val="005C02AE"/>
    <w:rsid w:val="005C05D4"/>
    <w:rsid w:val="005C1443"/>
    <w:rsid w:val="005C1D4C"/>
    <w:rsid w:val="005C39F0"/>
    <w:rsid w:val="005C4043"/>
    <w:rsid w:val="005C424D"/>
    <w:rsid w:val="005C4691"/>
    <w:rsid w:val="005C5132"/>
    <w:rsid w:val="005C7ADF"/>
    <w:rsid w:val="005C7EB9"/>
    <w:rsid w:val="005D24AD"/>
    <w:rsid w:val="005D24FB"/>
    <w:rsid w:val="005D2E76"/>
    <w:rsid w:val="005D2FA6"/>
    <w:rsid w:val="005D3BAE"/>
    <w:rsid w:val="005D453F"/>
    <w:rsid w:val="005D4DC6"/>
    <w:rsid w:val="005D4FBA"/>
    <w:rsid w:val="005D5057"/>
    <w:rsid w:val="005E01A8"/>
    <w:rsid w:val="005E1826"/>
    <w:rsid w:val="005E1AB3"/>
    <w:rsid w:val="005E2C65"/>
    <w:rsid w:val="005E3130"/>
    <w:rsid w:val="005E3702"/>
    <w:rsid w:val="005E5EC9"/>
    <w:rsid w:val="005E72DA"/>
    <w:rsid w:val="005F0734"/>
    <w:rsid w:val="005F0EF5"/>
    <w:rsid w:val="005F107C"/>
    <w:rsid w:val="005F1D2B"/>
    <w:rsid w:val="005F254B"/>
    <w:rsid w:val="005F4D20"/>
    <w:rsid w:val="005F657C"/>
    <w:rsid w:val="005F69D9"/>
    <w:rsid w:val="0060018D"/>
    <w:rsid w:val="00600F93"/>
    <w:rsid w:val="0060115A"/>
    <w:rsid w:val="00601C8E"/>
    <w:rsid w:val="006020F7"/>
    <w:rsid w:val="006028AF"/>
    <w:rsid w:val="00602F69"/>
    <w:rsid w:val="00602FAA"/>
    <w:rsid w:val="00603F39"/>
    <w:rsid w:val="00604D2A"/>
    <w:rsid w:val="00605527"/>
    <w:rsid w:val="00605D85"/>
    <w:rsid w:val="00606623"/>
    <w:rsid w:val="00606892"/>
    <w:rsid w:val="00606907"/>
    <w:rsid w:val="00606B15"/>
    <w:rsid w:val="00607A1D"/>
    <w:rsid w:val="00607BFF"/>
    <w:rsid w:val="006114D1"/>
    <w:rsid w:val="00611912"/>
    <w:rsid w:val="00611D06"/>
    <w:rsid w:val="00614A71"/>
    <w:rsid w:val="00614E95"/>
    <w:rsid w:val="0061532E"/>
    <w:rsid w:val="006160AC"/>
    <w:rsid w:val="00617672"/>
    <w:rsid w:val="00617F16"/>
    <w:rsid w:val="0062046B"/>
    <w:rsid w:val="00620A49"/>
    <w:rsid w:val="00621EF8"/>
    <w:rsid w:val="00621FAB"/>
    <w:rsid w:val="006226DC"/>
    <w:rsid w:val="0062301A"/>
    <w:rsid w:val="006233A3"/>
    <w:rsid w:val="00625932"/>
    <w:rsid w:val="006275C2"/>
    <w:rsid w:val="00627B95"/>
    <w:rsid w:val="00630E0F"/>
    <w:rsid w:val="0063100D"/>
    <w:rsid w:val="00631B45"/>
    <w:rsid w:val="006329A8"/>
    <w:rsid w:val="006346F5"/>
    <w:rsid w:val="0063470B"/>
    <w:rsid w:val="00634B84"/>
    <w:rsid w:val="006350EF"/>
    <w:rsid w:val="00635C62"/>
    <w:rsid w:val="00636227"/>
    <w:rsid w:val="00637051"/>
    <w:rsid w:val="00637C0F"/>
    <w:rsid w:val="0064121B"/>
    <w:rsid w:val="00641A02"/>
    <w:rsid w:val="00641D1F"/>
    <w:rsid w:val="00641DD3"/>
    <w:rsid w:val="00642ADB"/>
    <w:rsid w:val="00642BD2"/>
    <w:rsid w:val="0064384C"/>
    <w:rsid w:val="00644FC4"/>
    <w:rsid w:val="00645715"/>
    <w:rsid w:val="00646138"/>
    <w:rsid w:val="006461BF"/>
    <w:rsid w:val="00647EDB"/>
    <w:rsid w:val="00650456"/>
    <w:rsid w:val="00652473"/>
    <w:rsid w:val="006530A6"/>
    <w:rsid w:val="00653B71"/>
    <w:rsid w:val="00654ED7"/>
    <w:rsid w:val="00655799"/>
    <w:rsid w:val="0066073C"/>
    <w:rsid w:val="00660B36"/>
    <w:rsid w:val="0066117C"/>
    <w:rsid w:val="00661AE6"/>
    <w:rsid w:val="00662283"/>
    <w:rsid w:val="00662623"/>
    <w:rsid w:val="006634E6"/>
    <w:rsid w:val="00665824"/>
    <w:rsid w:val="00667E2C"/>
    <w:rsid w:val="0067009F"/>
    <w:rsid w:val="00672C89"/>
    <w:rsid w:val="006737C6"/>
    <w:rsid w:val="0067481C"/>
    <w:rsid w:val="006751F7"/>
    <w:rsid w:val="00675F82"/>
    <w:rsid w:val="006761DA"/>
    <w:rsid w:val="0067703B"/>
    <w:rsid w:val="00680F75"/>
    <w:rsid w:val="0068110E"/>
    <w:rsid w:val="00681A2B"/>
    <w:rsid w:val="00681B61"/>
    <w:rsid w:val="00684826"/>
    <w:rsid w:val="00684830"/>
    <w:rsid w:val="00684D7D"/>
    <w:rsid w:val="006872EC"/>
    <w:rsid w:val="0068764B"/>
    <w:rsid w:val="00687B2A"/>
    <w:rsid w:val="00687B94"/>
    <w:rsid w:val="00690D26"/>
    <w:rsid w:val="006914AC"/>
    <w:rsid w:val="0069196D"/>
    <w:rsid w:val="00691A73"/>
    <w:rsid w:val="006923E4"/>
    <w:rsid w:val="00695AB2"/>
    <w:rsid w:val="00696CFE"/>
    <w:rsid w:val="006A0BB3"/>
    <w:rsid w:val="006A14BA"/>
    <w:rsid w:val="006A1926"/>
    <w:rsid w:val="006A2BE4"/>
    <w:rsid w:val="006A2D4B"/>
    <w:rsid w:val="006A3214"/>
    <w:rsid w:val="006A3846"/>
    <w:rsid w:val="006A3DBA"/>
    <w:rsid w:val="006A5026"/>
    <w:rsid w:val="006A5BDC"/>
    <w:rsid w:val="006A5DA4"/>
    <w:rsid w:val="006A6BF7"/>
    <w:rsid w:val="006A76E9"/>
    <w:rsid w:val="006B05E2"/>
    <w:rsid w:val="006B1235"/>
    <w:rsid w:val="006B2043"/>
    <w:rsid w:val="006B3FB1"/>
    <w:rsid w:val="006B59A9"/>
    <w:rsid w:val="006B5D76"/>
    <w:rsid w:val="006B6EC7"/>
    <w:rsid w:val="006B73EC"/>
    <w:rsid w:val="006C0B3C"/>
    <w:rsid w:val="006C10B5"/>
    <w:rsid w:val="006C168C"/>
    <w:rsid w:val="006C16D2"/>
    <w:rsid w:val="006C1BB0"/>
    <w:rsid w:val="006C1CD6"/>
    <w:rsid w:val="006C26C4"/>
    <w:rsid w:val="006C26E1"/>
    <w:rsid w:val="006C2862"/>
    <w:rsid w:val="006C30DC"/>
    <w:rsid w:val="006C4C0C"/>
    <w:rsid w:val="006C5D21"/>
    <w:rsid w:val="006C5EE0"/>
    <w:rsid w:val="006C651C"/>
    <w:rsid w:val="006C6B21"/>
    <w:rsid w:val="006C7100"/>
    <w:rsid w:val="006C7235"/>
    <w:rsid w:val="006D1B71"/>
    <w:rsid w:val="006D1E75"/>
    <w:rsid w:val="006D2C4C"/>
    <w:rsid w:val="006D2CA9"/>
    <w:rsid w:val="006D2DC5"/>
    <w:rsid w:val="006D384A"/>
    <w:rsid w:val="006D5476"/>
    <w:rsid w:val="006D5755"/>
    <w:rsid w:val="006E0929"/>
    <w:rsid w:val="006E24C3"/>
    <w:rsid w:val="006E2F4C"/>
    <w:rsid w:val="006E3C39"/>
    <w:rsid w:val="006E3D3E"/>
    <w:rsid w:val="006E41B4"/>
    <w:rsid w:val="006E462A"/>
    <w:rsid w:val="006E4EEB"/>
    <w:rsid w:val="006E61E6"/>
    <w:rsid w:val="006E6462"/>
    <w:rsid w:val="006E6592"/>
    <w:rsid w:val="006E72B5"/>
    <w:rsid w:val="006E74B4"/>
    <w:rsid w:val="006E788D"/>
    <w:rsid w:val="006F2336"/>
    <w:rsid w:val="006F3528"/>
    <w:rsid w:val="006F3E97"/>
    <w:rsid w:val="006F5D8B"/>
    <w:rsid w:val="006F665D"/>
    <w:rsid w:val="006F7684"/>
    <w:rsid w:val="007009E5"/>
    <w:rsid w:val="0070219E"/>
    <w:rsid w:val="007031CD"/>
    <w:rsid w:val="00703B6D"/>
    <w:rsid w:val="007041DE"/>
    <w:rsid w:val="0070476B"/>
    <w:rsid w:val="00704A59"/>
    <w:rsid w:val="00705DE9"/>
    <w:rsid w:val="00706057"/>
    <w:rsid w:val="00707896"/>
    <w:rsid w:val="0071052F"/>
    <w:rsid w:val="007107C0"/>
    <w:rsid w:val="00710C73"/>
    <w:rsid w:val="00712B54"/>
    <w:rsid w:val="00713A80"/>
    <w:rsid w:val="0071572F"/>
    <w:rsid w:val="007160D0"/>
    <w:rsid w:val="00716DBD"/>
    <w:rsid w:val="007172B8"/>
    <w:rsid w:val="00717A36"/>
    <w:rsid w:val="00717BAA"/>
    <w:rsid w:val="00717BD5"/>
    <w:rsid w:val="00717E03"/>
    <w:rsid w:val="007215C6"/>
    <w:rsid w:val="00722670"/>
    <w:rsid w:val="00723E31"/>
    <w:rsid w:val="007265AB"/>
    <w:rsid w:val="00726F76"/>
    <w:rsid w:val="007276BB"/>
    <w:rsid w:val="0072783E"/>
    <w:rsid w:val="00727C42"/>
    <w:rsid w:val="00730AB0"/>
    <w:rsid w:val="00732010"/>
    <w:rsid w:val="00732836"/>
    <w:rsid w:val="00733C91"/>
    <w:rsid w:val="00733ED4"/>
    <w:rsid w:val="00734318"/>
    <w:rsid w:val="007345F2"/>
    <w:rsid w:val="00734D09"/>
    <w:rsid w:val="0073550D"/>
    <w:rsid w:val="007369B0"/>
    <w:rsid w:val="00736CAD"/>
    <w:rsid w:val="00737542"/>
    <w:rsid w:val="00737726"/>
    <w:rsid w:val="00737E18"/>
    <w:rsid w:val="0074012B"/>
    <w:rsid w:val="007410B1"/>
    <w:rsid w:val="00742A8F"/>
    <w:rsid w:val="0074326D"/>
    <w:rsid w:val="007446DE"/>
    <w:rsid w:val="007447D8"/>
    <w:rsid w:val="00744877"/>
    <w:rsid w:val="00747570"/>
    <w:rsid w:val="007478E9"/>
    <w:rsid w:val="007479BD"/>
    <w:rsid w:val="0075075B"/>
    <w:rsid w:val="0075231D"/>
    <w:rsid w:val="00752454"/>
    <w:rsid w:val="007528B6"/>
    <w:rsid w:val="00752E4B"/>
    <w:rsid w:val="007534B3"/>
    <w:rsid w:val="0075630A"/>
    <w:rsid w:val="0075648D"/>
    <w:rsid w:val="0075734E"/>
    <w:rsid w:val="00757D3E"/>
    <w:rsid w:val="00760F42"/>
    <w:rsid w:val="007612BC"/>
    <w:rsid w:val="0076147A"/>
    <w:rsid w:val="00761604"/>
    <w:rsid w:val="007619E5"/>
    <w:rsid w:val="00761F33"/>
    <w:rsid w:val="00762326"/>
    <w:rsid w:val="007627B4"/>
    <w:rsid w:val="00762D8D"/>
    <w:rsid w:val="0076321E"/>
    <w:rsid w:val="007646C1"/>
    <w:rsid w:val="0076543D"/>
    <w:rsid w:val="007663D0"/>
    <w:rsid w:val="00766988"/>
    <w:rsid w:val="00766D97"/>
    <w:rsid w:val="00767EC4"/>
    <w:rsid w:val="007703B2"/>
    <w:rsid w:val="007703DA"/>
    <w:rsid w:val="0077044B"/>
    <w:rsid w:val="0077081D"/>
    <w:rsid w:val="0077167A"/>
    <w:rsid w:val="007722C1"/>
    <w:rsid w:val="00773503"/>
    <w:rsid w:val="00773E27"/>
    <w:rsid w:val="00773F9B"/>
    <w:rsid w:val="00774D8D"/>
    <w:rsid w:val="00774E20"/>
    <w:rsid w:val="0077622E"/>
    <w:rsid w:val="00776391"/>
    <w:rsid w:val="0077665E"/>
    <w:rsid w:val="0077711F"/>
    <w:rsid w:val="00777FF5"/>
    <w:rsid w:val="007806AE"/>
    <w:rsid w:val="00782457"/>
    <w:rsid w:val="00782528"/>
    <w:rsid w:val="00782529"/>
    <w:rsid w:val="00783175"/>
    <w:rsid w:val="0078349E"/>
    <w:rsid w:val="007835C8"/>
    <w:rsid w:val="00783BC3"/>
    <w:rsid w:val="00783D6A"/>
    <w:rsid w:val="0078413F"/>
    <w:rsid w:val="007843F2"/>
    <w:rsid w:val="00786A8B"/>
    <w:rsid w:val="00787021"/>
    <w:rsid w:val="0078797D"/>
    <w:rsid w:val="0079050A"/>
    <w:rsid w:val="00791045"/>
    <w:rsid w:val="0079155E"/>
    <w:rsid w:val="00793EFE"/>
    <w:rsid w:val="00793FC1"/>
    <w:rsid w:val="00795093"/>
    <w:rsid w:val="0079693A"/>
    <w:rsid w:val="00797B41"/>
    <w:rsid w:val="007A12C3"/>
    <w:rsid w:val="007A16B5"/>
    <w:rsid w:val="007A2BCA"/>
    <w:rsid w:val="007A4421"/>
    <w:rsid w:val="007A490D"/>
    <w:rsid w:val="007A49C4"/>
    <w:rsid w:val="007A5322"/>
    <w:rsid w:val="007A57D7"/>
    <w:rsid w:val="007A6217"/>
    <w:rsid w:val="007A678C"/>
    <w:rsid w:val="007A69BB"/>
    <w:rsid w:val="007A701B"/>
    <w:rsid w:val="007B0863"/>
    <w:rsid w:val="007B0AFC"/>
    <w:rsid w:val="007B13D0"/>
    <w:rsid w:val="007B1EB6"/>
    <w:rsid w:val="007B348A"/>
    <w:rsid w:val="007B3EE0"/>
    <w:rsid w:val="007B4AB0"/>
    <w:rsid w:val="007B4E7A"/>
    <w:rsid w:val="007B508C"/>
    <w:rsid w:val="007B7585"/>
    <w:rsid w:val="007B758B"/>
    <w:rsid w:val="007B7911"/>
    <w:rsid w:val="007C0FBB"/>
    <w:rsid w:val="007C1985"/>
    <w:rsid w:val="007C2114"/>
    <w:rsid w:val="007C42AA"/>
    <w:rsid w:val="007C482F"/>
    <w:rsid w:val="007C5D9A"/>
    <w:rsid w:val="007D1040"/>
    <w:rsid w:val="007D15A2"/>
    <w:rsid w:val="007D2DF1"/>
    <w:rsid w:val="007D3358"/>
    <w:rsid w:val="007D4486"/>
    <w:rsid w:val="007D4840"/>
    <w:rsid w:val="007D4B7D"/>
    <w:rsid w:val="007D5634"/>
    <w:rsid w:val="007D58A6"/>
    <w:rsid w:val="007D5F4C"/>
    <w:rsid w:val="007D61F1"/>
    <w:rsid w:val="007E2F77"/>
    <w:rsid w:val="007E3847"/>
    <w:rsid w:val="007E389D"/>
    <w:rsid w:val="007E423D"/>
    <w:rsid w:val="007E5C90"/>
    <w:rsid w:val="007E62F8"/>
    <w:rsid w:val="007E6397"/>
    <w:rsid w:val="007E7740"/>
    <w:rsid w:val="007F037A"/>
    <w:rsid w:val="007F1F8E"/>
    <w:rsid w:val="007F2135"/>
    <w:rsid w:val="007F2390"/>
    <w:rsid w:val="007F2530"/>
    <w:rsid w:val="007F287B"/>
    <w:rsid w:val="007F2AE7"/>
    <w:rsid w:val="007F4F0B"/>
    <w:rsid w:val="007F58EC"/>
    <w:rsid w:val="007F64FB"/>
    <w:rsid w:val="007F7BE3"/>
    <w:rsid w:val="00802F0E"/>
    <w:rsid w:val="008034FD"/>
    <w:rsid w:val="00804297"/>
    <w:rsid w:val="008047B2"/>
    <w:rsid w:val="008066AE"/>
    <w:rsid w:val="00810784"/>
    <w:rsid w:val="008111F2"/>
    <w:rsid w:val="00812335"/>
    <w:rsid w:val="008132D9"/>
    <w:rsid w:val="00813633"/>
    <w:rsid w:val="00816867"/>
    <w:rsid w:val="008211A4"/>
    <w:rsid w:val="008219D5"/>
    <w:rsid w:val="008220EF"/>
    <w:rsid w:val="008221F8"/>
    <w:rsid w:val="0082296C"/>
    <w:rsid w:val="00822B52"/>
    <w:rsid w:val="00822E0B"/>
    <w:rsid w:val="0082309C"/>
    <w:rsid w:val="008230BA"/>
    <w:rsid w:val="00823365"/>
    <w:rsid w:val="00823D04"/>
    <w:rsid w:val="008242C5"/>
    <w:rsid w:val="00824526"/>
    <w:rsid w:val="008248CD"/>
    <w:rsid w:val="008254D7"/>
    <w:rsid w:val="00825ED3"/>
    <w:rsid w:val="00826259"/>
    <w:rsid w:val="00826A98"/>
    <w:rsid w:val="00826C0C"/>
    <w:rsid w:val="00826C44"/>
    <w:rsid w:val="00826F8A"/>
    <w:rsid w:val="00827B62"/>
    <w:rsid w:val="00830298"/>
    <w:rsid w:val="008304F9"/>
    <w:rsid w:val="008313B4"/>
    <w:rsid w:val="008316D8"/>
    <w:rsid w:val="00831736"/>
    <w:rsid w:val="00831B2F"/>
    <w:rsid w:val="008335CD"/>
    <w:rsid w:val="00833BBE"/>
    <w:rsid w:val="008341CD"/>
    <w:rsid w:val="008345FA"/>
    <w:rsid w:val="00834D14"/>
    <w:rsid w:val="008362C0"/>
    <w:rsid w:val="00837120"/>
    <w:rsid w:val="008376E6"/>
    <w:rsid w:val="00840839"/>
    <w:rsid w:val="008417BD"/>
    <w:rsid w:val="008421B0"/>
    <w:rsid w:val="008423D3"/>
    <w:rsid w:val="008434E3"/>
    <w:rsid w:val="0084456F"/>
    <w:rsid w:val="0084492B"/>
    <w:rsid w:val="00844A68"/>
    <w:rsid w:val="0084535D"/>
    <w:rsid w:val="008473FE"/>
    <w:rsid w:val="00847404"/>
    <w:rsid w:val="0084770F"/>
    <w:rsid w:val="00847A49"/>
    <w:rsid w:val="008504B5"/>
    <w:rsid w:val="0085081D"/>
    <w:rsid w:val="00850B81"/>
    <w:rsid w:val="00852924"/>
    <w:rsid w:val="008539C7"/>
    <w:rsid w:val="008546DE"/>
    <w:rsid w:val="00854C23"/>
    <w:rsid w:val="00855DF7"/>
    <w:rsid w:val="0085687C"/>
    <w:rsid w:val="00856E45"/>
    <w:rsid w:val="0085733E"/>
    <w:rsid w:val="00857D1A"/>
    <w:rsid w:val="00860260"/>
    <w:rsid w:val="00860E75"/>
    <w:rsid w:val="00860FE4"/>
    <w:rsid w:val="008610C7"/>
    <w:rsid w:val="008616A9"/>
    <w:rsid w:val="0086207C"/>
    <w:rsid w:val="00862642"/>
    <w:rsid w:val="00862885"/>
    <w:rsid w:val="00862A47"/>
    <w:rsid w:val="008636F8"/>
    <w:rsid w:val="00864DFC"/>
    <w:rsid w:val="008679DE"/>
    <w:rsid w:val="00871C8C"/>
    <w:rsid w:val="00872150"/>
    <w:rsid w:val="00872BCB"/>
    <w:rsid w:val="008740BD"/>
    <w:rsid w:val="0087468D"/>
    <w:rsid w:val="0087477F"/>
    <w:rsid w:val="00874D76"/>
    <w:rsid w:val="00874F5D"/>
    <w:rsid w:val="00875082"/>
    <w:rsid w:val="00875CB4"/>
    <w:rsid w:val="00877250"/>
    <w:rsid w:val="0087730E"/>
    <w:rsid w:val="00877316"/>
    <w:rsid w:val="00877C55"/>
    <w:rsid w:val="00880318"/>
    <w:rsid w:val="00881677"/>
    <w:rsid w:val="008816DD"/>
    <w:rsid w:val="00882010"/>
    <w:rsid w:val="008832DF"/>
    <w:rsid w:val="0088408A"/>
    <w:rsid w:val="00885A49"/>
    <w:rsid w:val="0088604B"/>
    <w:rsid w:val="00886086"/>
    <w:rsid w:val="00886EB8"/>
    <w:rsid w:val="008902BB"/>
    <w:rsid w:val="0089083E"/>
    <w:rsid w:val="008911EC"/>
    <w:rsid w:val="008928EE"/>
    <w:rsid w:val="00893D37"/>
    <w:rsid w:val="00895642"/>
    <w:rsid w:val="008958BE"/>
    <w:rsid w:val="00896FE9"/>
    <w:rsid w:val="00897093"/>
    <w:rsid w:val="00897E41"/>
    <w:rsid w:val="008A01AC"/>
    <w:rsid w:val="008A0361"/>
    <w:rsid w:val="008A1835"/>
    <w:rsid w:val="008A3312"/>
    <w:rsid w:val="008A3D07"/>
    <w:rsid w:val="008A521E"/>
    <w:rsid w:val="008A53DA"/>
    <w:rsid w:val="008A5B04"/>
    <w:rsid w:val="008A5BFB"/>
    <w:rsid w:val="008A68E4"/>
    <w:rsid w:val="008A6C61"/>
    <w:rsid w:val="008A6E1A"/>
    <w:rsid w:val="008B00D1"/>
    <w:rsid w:val="008B07B2"/>
    <w:rsid w:val="008B1105"/>
    <w:rsid w:val="008B1A48"/>
    <w:rsid w:val="008B1AED"/>
    <w:rsid w:val="008B22CE"/>
    <w:rsid w:val="008B4119"/>
    <w:rsid w:val="008B45BD"/>
    <w:rsid w:val="008B5F66"/>
    <w:rsid w:val="008B6429"/>
    <w:rsid w:val="008B7BAC"/>
    <w:rsid w:val="008C138F"/>
    <w:rsid w:val="008C1904"/>
    <w:rsid w:val="008C2A84"/>
    <w:rsid w:val="008C3517"/>
    <w:rsid w:val="008C3A44"/>
    <w:rsid w:val="008C3CCF"/>
    <w:rsid w:val="008C5706"/>
    <w:rsid w:val="008C6C04"/>
    <w:rsid w:val="008D0431"/>
    <w:rsid w:val="008D0859"/>
    <w:rsid w:val="008D08C8"/>
    <w:rsid w:val="008D1209"/>
    <w:rsid w:val="008D1F08"/>
    <w:rsid w:val="008D265E"/>
    <w:rsid w:val="008D33D1"/>
    <w:rsid w:val="008D3DB3"/>
    <w:rsid w:val="008D3F98"/>
    <w:rsid w:val="008D50EF"/>
    <w:rsid w:val="008D62B8"/>
    <w:rsid w:val="008D7CA6"/>
    <w:rsid w:val="008D7E53"/>
    <w:rsid w:val="008D7F43"/>
    <w:rsid w:val="008E01D8"/>
    <w:rsid w:val="008E0AB1"/>
    <w:rsid w:val="008E238F"/>
    <w:rsid w:val="008E25C6"/>
    <w:rsid w:val="008E2687"/>
    <w:rsid w:val="008E2BF2"/>
    <w:rsid w:val="008E329C"/>
    <w:rsid w:val="008E3B8B"/>
    <w:rsid w:val="008E45FC"/>
    <w:rsid w:val="008E5AEC"/>
    <w:rsid w:val="008E600C"/>
    <w:rsid w:val="008E6B8E"/>
    <w:rsid w:val="008E7732"/>
    <w:rsid w:val="008E7BCE"/>
    <w:rsid w:val="008F77E8"/>
    <w:rsid w:val="008F7D94"/>
    <w:rsid w:val="00902845"/>
    <w:rsid w:val="009041A0"/>
    <w:rsid w:val="009042E2"/>
    <w:rsid w:val="00904781"/>
    <w:rsid w:val="00904810"/>
    <w:rsid w:val="00904CCE"/>
    <w:rsid w:val="00905E71"/>
    <w:rsid w:val="00906056"/>
    <w:rsid w:val="00906238"/>
    <w:rsid w:val="0090627A"/>
    <w:rsid w:val="009066CC"/>
    <w:rsid w:val="00906AF5"/>
    <w:rsid w:val="00906BC3"/>
    <w:rsid w:val="009074C8"/>
    <w:rsid w:val="00907B56"/>
    <w:rsid w:val="00907E5A"/>
    <w:rsid w:val="00910505"/>
    <w:rsid w:val="0091141F"/>
    <w:rsid w:val="00912519"/>
    <w:rsid w:val="00912E67"/>
    <w:rsid w:val="0091335C"/>
    <w:rsid w:val="00913653"/>
    <w:rsid w:val="009136C9"/>
    <w:rsid w:val="00913BD8"/>
    <w:rsid w:val="00916300"/>
    <w:rsid w:val="00916EB5"/>
    <w:rsid w:val="00917B4E"/>
    <w:rsid w:val="0092180C"/>
    <w:rsid w:val="009223E7"/>
    <w:rsid w:val="0092392E"/>
    <w:rsid w:val="009239D5"/>
    <w:rsid w:val="009248F9"/>
    <w:rsid w:val="009249DD"/>
    <w:rsid w:val="009250F9"/>
    <w:rsid w:val="00925F57"/>
    <w:rsid w:val="00926EA1"/>
    <w:rsid w:val="0093038C"/>
    <w:rsid w:val="009303E5"/>
    <w:rsid w:val="00930CA7"/>
    <w:rsid w:val="00933D23"/>
    <w:rsid w:val="00933F2E"/>
    <w:rsid w:val="0093412A"/>
    <w:rsid w:val="00934A02"/>
    <w:rsid w:val="00940394"/>
    <w:rsid w:val="00940772"/>
    <w:rsid w:val="0094221A"/>
    <w:rsid w:val="00943581"/>
    <w:rsid w:val="009455D1"/>
    <w:rsid w:val="00945E2A"/>
    <w:rsid w:val="0094678B"/>
    <w:rsid w:val="00946F42"/>
    <w:rsid w:val="009521C5"/>
    <w:rsid w:val="0095519C"/>
    <w:rsid w:val="00956DA3"/>
    <w:rsid w:val="009572E4"/>
    <w:rsid w:val="00957C6D"/>
    <w:rsid w:val="009623CC"/>
    <w:rsid w:val="0096240F"/>
    <w:rsid w:val="009629F7"/>
    <w:rsid w:val="00962CB7"/>
    <w:rsid w:val="00965757"/>
    <w:rsid w:val="00966861"/>
    <w:rsid w:val="00966D82"/>
    <w:rsid w:val="00967331"/>
    <w:rsid w:val="0096747E"/>
    <w:rsid w:val="009675A3"/>
    <w:rsid w:val="0097008E"/>
    <w:rsid w:val="00970DF5"/>
    <w:rsid w:val="009715E6"/>
    <w:rsid w:val="00971E24"/>
    <w:rsid w:val="00972E86"/>
    <w:rsid w:val="0097362F"/>
    <w:rsid w:val="00973B11"/>
    <w:rsid w:val="00973E1C"/>
    <w:rsid w:val="009745FB"/>
    <w:rsid w:val="009745FC"/>
    <w:rsid w:val="00975C3E"/>
    <w:rsid w:val="00975DD0"/>
    <w:rsid w:val="00977803"/>
    <w:rsid w:val="009808A0"/>
    <w:rsid w:val="00982351"/>
    <w:rsid w:val="00983D8D"/>
    <w:rsid w:val="00983F74"/>
    <w:rsid w:val="00984626"/>
    <w:rsid w:val="009858C0"/>
    <w:rsid w:val="00986946"/>
    <w:rsid w:val="0098706C"/>
    <w:rsid w:val="0098709F"/>
    <w:rsid w:val="0098727B"/>
    <w:rsid w:val="009874F8"/>
    <w:rsid w:val="00987D83"/>
    <w:rsid w:val="00990245"/>
    <w:rsid w:val="00990321"/>
    <w:rsid w:val="00990720"/>
    <w:rsid w:val="00990D69"/>
    <w:rsid w:val="00993860"/>
    <w:rsid w:val="00996890"/>
    <w:rsid w:val="00997835"/>
    <w:rsid w:val="009A071F"/>
    <w:rsid w:val="009A2A6B"/>
    <w:rsid w:val="009A316F"/>
    <w:rsid w:val="009A3317"/>
    <w:rsid w:val="009A4754"/>
    <w:rsid w:val="009A5155"/>
    <w:rsid w:val="009A5874"/>
    <w:rsid w:val="009A5E3A"/>
    <w:rsid w:val="009A6099"/>
    <w:rsid w:val="009A7270"/>
    <w:rsid w:val="009A7B2F"/>
    <w:rsid w:val="009B18E0"/>
    <w:rsid w:val="009B3F38"/>
    <w:rsid w:val="009B4099"/>
    <w:rsid w:val="009B473E"/>
    <w:rsid w:val="009B52E6"/>
    <w:rsid w:val="009C090C"/>
    <w:rsid w:val="009C0D7D"/>
    <w:rsid w:val="009C1099"/>
    <w:rsid w:val="009C1498"/>
    <w:rsid w:val="009C1E80"/>
    <w:rsid w:val="009C2006"/>
    <w:rsid w:val="009C2096"/>
    <w:rsid w:val="009C220E"/>
    <w:rsid w:val="009C252A"/>
    <w:rsid w:val="009C25F2"/>
    <w:rsid w:val="009C2937"/>
    <w:rsid w:val="009C295B"/>
    <w:rsid w:val="009C2C7E"/>
    <w:rsid w:val="009C344D"/>
    <w:rsid w:val="009C397D"/>
    <w:rsid w:val="009C4BBF"/>
    <w:rsid w:val="009C536C"/>
    <w:rsid w:val="009C6042"/>
    <w:rsid w:val="009C6580"/>
    <w:rsid w:val="009C7383"/>
    <w:rsid w:val="009C75D3"/>
    <w:rsid w:val="009D0ECD"/>
    <w:rsid w:val="009D1383"/>
    <w:rsid w:val="009D13E6"/>
    <w:rsid w:val="009D17D1"/>
    <w:rsid w:val="009D2164"/>
    <w:rsid w:val="009D28A6"/>
    <w:rsid w:val="009D38FA"/>
    <w:rsid w:val="009D4305"/>
    <w:rsid w:val="009D5325"/>
    <w:rsid w:val="009D7888"/>
    <w:rsid w:val="009E2230"/>
    <w:rsid w:val="009E27B3"/>
    <w:rsid w:val="009E3667"/>
    <w:rsid w:val="009E38A5"/>
    <w:rsid w:val="009E3ECE"/>
    <w:rsid w:val="009E4EE7"/>
    <w:rsid w:val="009E528B"/>
    <w:rsid w:val="009E5905"/>
    <w:rsid w:val="009E654B"/>
    <w:rsid w:val="009F0BF3"/>
    <w:rsid w:val="009F14A2"/>
    <w:rsid w:val="009F14CC"/>
    <w:rsid w:val="009F1C3B"/>
    <w:rsid w:val="009F2F7D"/>
    <w:rsid w:val="009F37B5"/>
    <w:rsid w:val="009F38B9"/>
    <w:rsid w:val="009F4533"/>
    <w:rsid w:val="009F47A1"/>
    <w:rsid w:val="009F4BE5"/>
    <w:rsid w:val="009F6723"/>
    <w:rsid w:val="009F6922"/>
    <w:rsid w:val="009F6B6E"/>
    <w:rsid w:val="009F7951"/>
    <w:rsid w:val="009F797E"/>
    <w:rsid w:val="00A00B33"/>
    <w:rsid w:val="00A01115"/>
    <w:rsid w:val="00A0155F"/>
    <w:rsid w:val="00A01884"/>
    <w:rsid w:val="00A02A0B"/>
    <w:rsid w:val="00A054F4"/>
    <w:rsid w:val="00A061E9"/>
    <w:rsid w:val="00A06917"/>
    <w:rsid w:val="00A07915"/>
    <w:rsid w:val="00A10919"/>
    <w:rsid w:val="00A1197D"/>
    <w:rsid w:val="00A119BB"/>
    <w:rsid w:val="00A11C04"/>
    <w:rsid w:val="00A1242B"/>
    <w:rsid w:val="00A131B1"/>
    <w:rsid w:val="00A135C7"/>
    <w:rsid w:val="00A13670"/>
    <w:rsid w:val="00A1513C"/>
    <w:rsid w:val="00A153CB"/>
    <w:rsid w:val="00A15834"/>
    <w:rsid w:val="00A15D92"/>
    <w:rsid w:val="00A16657"/>
    <w:rsid w:val="00A16965"/>
    <w:rsid w:val="00A16CF3"/>
    <w:rsid w:val="00A200E9"/>
    <w:rsid w:val="00A20EDA"/>
    <w:rsid w:val="00A21445"/>
    <w:rsid w:val="00A21A68"/>
    <w:rsid w:val="00A23507"/>
    <w:rsid w:val="00A24F22"/>
    <w:rsid w:val="00A254F6"/>
    <w:rsid w:val="00A25D03"/>
    <w:rsid w:val="00A26030"/>
    <w:rsid w:val="00A26063"/>
    <w:rsid w:val="00A26A7A"/>
    <w:rsid w:val="00A26AB2"/>
    <w:rsid w:val="00A301D5"/>
    <w:rsid w:val="00A3021B"/>
    <w:rsid w:val="00A30704"/>
    <w:rsid w:val="00A325FA"/>
    <w:rsid w:val="00A32B72"/>
    <w:rsid w:val="00A3317F"/>
    <w:rsid w:val="00A3390F"/>
    <w:rsid w:val="00A344FF"/>
    <w:rsid w:val="00A37DC8"/>
    <w:rsid w:val="00A41191"/>
    <w:rsid w:val="00A41FEF"/>
    <w:rsid w:val="00A42399"/>
    <w:rsid w:val="00A426B9"/>
    <w:rsid w:val="00A433EB"/>
    <w:rsid w:val="00A435DD"/>
    <w:rsid w:val="00A440FB"/>
    <w:rsid w:val="00A455A7"/>
    <w:rsid w:val="00A45881"/>
    <w:rsid w:val="00A461C2"/>
    <w:rsid w:val="00A50AF1"/>
    <w:rsid w:val="00A51B08"/>
    <w:rsid w:val="00A53D84"/>
    <w:rsid w:val="00A544F4"/>
    <w:rsid w:val="00A55C9B"/>
    <w:rsid w:val="00A564A0"/>
    <w:rsid w:val="00A56B1E"/>
    <w:rsid w:val="00A60A90"/>
    <w:rsid w:val="00A61088"/>
    <w:rsid w:val="00A61561"/>
    <w:rsid w:val="00A620B7"/>
    <w:rsid w:val="00A63363"/>
    <w:rsid w:val="00A63C38"/>
    <w:rsid w:val="00A6625A"/>
    <w:rsid w:val="00A70387"/>
    <w:rsid w:val="00A70485"/>
    <w:rsid w:val="00A70A25"/>
    <w:rsid w:val="00A70AFF"/>
    <w:rsid w:val="00A71C27"/>
    <w:rsid w:val="00A7208B"/>
    <w:rsid w:val="00A72977"/>
    <w:rsid w:val="00A74203"/>
    <w:rsid w:val="00A74ED1"/>
    <w:rsid w:val="00A7588E"/>
    <w:rsid w:val="00A75BC3"/>
    <w:rsid w:val="00A75F38"/>
    <w:rsid w:val="00A75F44"/>
    <w:rsid w:val="00A764A0"/>
    <w:rsid w:val="00A768F8"/>
    <w:rsid w:val="00A775E8"/>
    <w:rsid w:val="00A77E46"/>
    <w:rsid w:val="00A81840"/>
    <w:rsid w:val="00A82292"/>
    <w:rsid w:val="00A82B1F"/>
    <w:rsid w:val="00A82E74"/>
    <w:rsid w:val="00A84C90"/>
    <w:rsid w:val="00A85385"/>
    <w:rsid w:val="00A857F1"/>
    <w:rsid w:val="00A86549"/>
    <w:rsid w:val="00A8678C"/>
    <w:rsid w:val="00A90B83"/>
    <w:rsid w:val="00A90EB1"/>
    <w:rsid w:val="00A93BEF"/>
    <w:rsid w:val="00A945A2"/>
    <w:rsid w:val="00A94BEB"/>
    <w:rsid w:val="00A9685C"/>
    <w:rsid w:val="00A977E2"/>
    <w:rsid w:val="00AA01DD"/>
    <w:rsid w:val="00AA0203"/>
    <w:rsid w:val="00AA04BA"/>
    <w:rsid w:val="00AA1C26"/>
    <w:rsid w:val="00AA2515"/>
    <w:rsid w:val="00AA2BDD"/>
    <w:rsid w:val="00AA564A"/>
    <w:rsid w:val="00AA641D"/>
    <w:rsid w:val="00AA6989"/>
    <w:rsid w:val="00AA6DE3"/>
    <w:rsid w:val="00AA7CAA"/>
    <w:rsid w:val="00AB0DF1"/>
    <w:rsid w:val="00AB1674"/>
    <w:rsid w:val="00AB18A9"/>
    <w:rsid w:val="00AB1B6E"/>
    <w:rsid w:val="00AB1B87"/>
    <w:rsid w:val="00AB2B11"/>
    <w:rsid w:val="00AB45FF"/>
    <w:rsid w:val="00AB4CC5"/>
    <w:rsid w:val="00AB5D25"/>
    <w:rsid w:val="00AB652B"/>
    <w:rsid w:val="00AB7999"/>
    <w:rsid w:val="00AC0B36"/>
    <w:rsid w:val="00AC0BA2"/>
    <w:rsid w:val="00AC0E73"/>
    <w:rsid w:val="00AC13BA"/>
    <w:rsid w:val="00AC3094"/>
    <w:rsid w:val="00AD10AA"/>
    <w:rsid w:val="00AD1A90"/>
    <w:rsid w:val="00AD1FA5"/>
    <w:rsid w:val="00AD3016"/>
    <w:rsid w:val="00AD4BAA"/>
    <w:rsid w:val="00AD6C9C"/>
    <w:rsid w:val="00AD6D43"/>
    <w:rsid w:val="00AD70A0"/>
    <w:rsid w:val="00AD72E6"/>
    <w:rsid w:val="00AD742D"/>
    <w:rsid w:val="00AD75DC"/>
    <w:rsid w:val="00AD79D7"/>
    <w:rsid w:val="00AE0D55"/>
    <w:rsid w:val="00AE0EBF"/>
    <w:rsid w:val="00AE1E76"/>
    <w:rsid w:val="00AE32E8"/>
    <w:rsid w:val="00AE3DC7"/>
    <w:rsid w:val="00AE4F75"/>
    <w:rsid w:val="00AE5150"/>
    <w:rsid w:val="00AE6652"/>
    <w:rsid w:val="00AF0A4D"/>
    <w:rsid w:val="00AF0A6F"/>
    <w:rsid w:val="00AF0DF3"/>
    <w:rsid w:val="00AF1E28"/>
    <w:rsid w:val="00AF3C72"/>
    <w:rsid w:val="00AF4CFE"/>
    <w:rsid w:val="00AF5309"/>
    <w:rsid w:val="00AF5CB7"/>
    <w:rsid w:val="00AF610B"/>
    <w:rsid w:val="00AF63F4"/>
    <w:rsid w:val="00AF7278"/>
    <w:rsid w:val="00AF775E"/>
    <w:rsid w:val="00B00202"/>
    <w:rsid w:val="00B00ED3"/>
    <w:rsid w:val="00B01710"/>
    <w:rsid w:val="00B02D5A"/>
    <w:rsid w:val="00B04522"/>
    <w:rsid w:val="00B04745"/>
    <w:rsid w:val="00B05F39"/>
    <w:rsid w:val="00B060A2"/>
    <w:rsid w:val="00B06DB7"/>
    <w:rsid w:val="00B07456"/>
    <w:rsid w:val="00B108FC"/>
    <w:rsid w:val="00B116D9"/>
    <w:rsid w:val="00B1374E"/>
    <w:rsid w:val="00B1492C"/>
    <w:rsid w:val="00B14FB9"/>
    <w:rsid w:val="00B15D33"/>
    <w:rsid w:val="00B17F70"/>
    <w:rsid w:val="00B21D7B"/>
    <w:rsid w:val="00B22388"/>
    <w:rsid w:val="00B22460"/>
    <w:rsid w:val="00B224AB"/>
    <w:rsid w:val="00B22747"/>
    <w:rsid w:val="00B229EE"/>
    <w:rsid w:val="00B23C91"/>
    <w:rsid w:val="00B23E67"/>
    <w:rsid w:val="00B23E7B"/>
    <w:rsid w:val="00B2733B"/>
    <w:rsid w:val="00B27619"/>
    <w:rsid w:val="00B31699"/>
    <w:rsid w:val="00B318FB"/>
    <w:rsid w:val="00B31985"/>
    <w:rsid w:val="00B33B81"/>
    <w:rsid w:val="00B33EEE"/>
    <w:rsid w:val="00B3425B"/>
    <w:rsid w:val="00B35B76"/>
    <w:rsid w:val="00B35F7A"/>
    <w:rsid w:val="00B406A7"/>
    <w:rsid w:val="00B41C01"/>
    <w:rsid w:val="00B41DD2"/>
    <w:rsid w:val="00B4271F"/>
    <w:rsid w:val="00B42829"/>
    <w:rsid w:val="00B43118"/>
    <w:rsid w:val="00B43DD6"/>
    <w:rsid w:val="00B44171"/>
    <w:rsid w:val="00B4469C"/>
    <w:rsid w:val="00B44D45"/>
    <w:rsid w:val="00B459F2"/>
    <w:rsid w:val="00B45ADA"/>
    <w:rsid w:val="00B465A8"/>
    <w:rsid w:val="00B46F05"/>
    <w:rsid w:val="00B47431"/>
    <w:rsid w:val="00B500B6"/>
    <w:rsid w:val="00B509D0"/>
    <w:rsid w:val="00B52086"/>
    <w:rsid w:val="00B522C7"/>
    <w:rsid w:val="00B524CC"/>
    <w:rsid w:val="00B5272B"/>
    <w:rsid w:val="00B528FF"/>
    <w:rsid w:val="00B53B06"/>
    <w:rsid w:val="00B53B49"/>
    <w:rsid w:val="00B53D16"/>
    <w:rsid w:val="00B54E26"/>
    <w:rsid w:val="00B558B8"/>
    <w:rsid w:val="00B55949"/>
    <w:rsid w:val="00B565A9"/>
    <w:rsid w:val="00B5668A"/>
    <w:rsid w:val="00B57065"/>
    <w:rsid w:val="00B57C59"/>
    <w:rsid w:val="00B57CDD"/>
    <w:rsid w:val="00B60E2D"/>
    <w:rsid w:val="00B6184A"/>
    <w:rsid w:val="00B61E60"/>
    <w:rsid w:val="00B625A7"/>
    <w:rsid w:val="00B63037"/>
    <w:rsid w:val="00B63243"/>
    <w:rsid w:val="00B63265"/>
    <w:rsid w:val="00B63ACF"/>
    <w:rsid w:val="00B6470E"/>
    <w:rsid w:val="00B64C8B"/>
    <w:rsid w:val="00B64D2A"/>
    <w:rsid w:val="00B6548D"/>
    <w:rsid w:val="00B67017"/>
    <w:rsid w:val="00B7219D"/>
    <w:rsid w:val="00B72275"/>
    <w:rsid w:val="00B72F8E"/>
    <w:rsid w:val="00B744F9"/>
    <w:rsid w:val="00B75D21"/>
    <w:rsid w:val="00B779DD"/>
    <w:rsid w:val="00B81E34"/>
    <w:rsid w:val="00B835A3"/>
    <w:rsid w:val="00B85022"/>
    <w:rsid w:val="00B868E5"/>
    <w:rsid w:val="00B86D58"/>
    <w:rsid w:val="00B87ABE"/>
    <w:rsid w:val="00B90645"/>
    <w:rsid w:val="00B90C00"/>
    <w:rsid w:val="00B90F11"/>
    <w:rsid w:val="00B91E46"/>
    <w:rsid w:val="00B92988"/>
    <w:rsid w:val="00B92CC2"/>
    <w:rsid w:val="00B93ABA"/>
    <w:rsid w:val="00B9408C"/>
    <w:rsid w:val="00B94E64"/>
    <w:rsid w:val="00B96232"/>
    <w:rsid w:val="00B9733E"/>
    <w:rsid w:val="00B9773F"/>
    <w:rsid w:val="00B9785D"/>
    <w:rsid w:val="00B97AD7"/>
    <w:rsid w:val="00BA24E9"/>
    <w:rsid w:val="00BA3306"/>
    <w:rsid w:val="00BA4D0B"/>
    <w:rsid w:val="00BA5BA0"/>
    <w:rsid w:val="00BA62AC"/>
    <w:rsid w:val="00BA64DD"/>
    <w:rsid w:val="00BB040C"/>
    <w:rsid w:val="00BB07BA"/>
    <w:rsid w:val="00BB15CB"/>
    <w:rsid w:val="00BB317D"/>
    <w:rsid w:val="00BB3CF7"/>
    <w:rsid w:val="00BB3E12"/>
    <w:rsid w:val="00BB52B7"/>
    <w:rsid w:val="00BB5F63"/>
    <w:rsid w:val="00BB65C5"/>
    <w:rsid w:val="00BC09F5"/>
    <w:rsid w:val="00BC0F7F"/>
    <w:rsid w:val="00BC166C"/>
    <w:rsid w:val="00BC217E"/>
    <w:rsid w:val="00BC3B28"/>
    <w:rsid w:val="00BC4960"/>
    <w:rsid w:val="00BC62F4"/>
    <w:rsid w:val="00BD00E8"/>
    <w:rsid w:val="00BD1003"/>
    <w:rsid w:val="00BD22F8"/>
    <w:rsid w:val="00BD296F"/>
    <w:rsid w:val="00BD2B72"/>
    <w:rsid w:val="00BD4406"/>
    <w:rsid w:val="00BD4EA8"/>
    <w:rsid w:val="00BD5B76"/>
    <w:rsid w:val="00BD6315"/>
    <w:rsid w:val="00BD632E"/>
    <w:rsid w:val="00BD66D7"/>
    <w:rsid w:val="00BD6941"/>
    <w:rsid w:val="00BD6AF1"/>
    <w:rsid w:val="00BD6C49"/>
    <w:rsid w:val="00BD6D26"/>
    <w:rsid w:val="00BE0F65"/>
    <w:rsid w:val="00BE0FD9"/>
    <w:rsid w:val="00BE2A77"/>
    <w:rsid w:val="00BE336A"/>
    <w:rsid w:val="00BE3701"/>
    <w:rsid w:val="00BE40B0"/>
    <w:rsid w:val="00BE4246"/>
    <w:rsid w:val="00BE4D9B"/>
    <w:rsid w:val="00BE5F89"/>
    <w:rsid w:val="00BE7567"/>
    <w:rsid w:val="00BE78DF"/>
    <w:rsid w:val="00BF141C"/>
    <w:rsid w:val="00BF2A46"/>
    <w:rsid w:val="00BF369D"/>
    <w:rsid w:val="00BF3A5A"/>
    <w:rsid w:val="00BF623E"/>
    <w:rsid w:val="00BF765E"/>
    <w:rsid w:val="00C001EB"/>
    <w:rsid w:val="00C01579"/>
    <w:rsid w:val="00C017E5"/>
    <w:rsid w:val="00C01CF8"/>
    <w:rsid w:val="00C01FC1"/>
    <w:rsid w:val="00C03513"/>
    <w:rsid w:val="00C04594"/>
    <w:rsid w:val="00C05B0F"/>
    <w:rsid w:val="00C1047A"/>
    <w:rsid w:val="00C107B2"/>
    <w:rsid w:val="00C110D7"/>
    <w:rsid w:val="00C11976"/>
    <w:rsid w:val="00C122A8"/>
    <w:rsid w:val="00C12483"/>
    <w:rsid w:val="00C13F52"/>
    <w:rsid w:val="00C149B7"/>
    <w:rsid w:val="00C15506"/>
    <w:rsid w:val="00C15764"/>
    <w:rsid w:val="00C15C5E"/>
    <w:rsid w:val="00C15CFD"/>
    <w:rsid w:val="00C17790"/>
    <w:rsid w:val="00C20216"/>
    <w:rsid w:val="00C20337"/>
    <w:rsid w:val="00C218F6"/>
    <w:rsid w:val="00C23A4E"/>
    <w:rsid w:val="00C23C37"/>
    <w:rsid w:val="00C2644F"/>
    <w:rsid w:val="00C268F9"/>
    <w:rsid w:val="00C26A43"/>
    <w:rsid w:val="00C26F94"/>
    <w:rsid w:val="00C30F72"/>
    <w:rsid w:val="00C32CCF"/>
    <w:rsid w:val="00C33B4D"/>
    <w:rsid w:val="00C33CC5"/>
    <w:rsid w:val="00C340AA"/>
    <w:rsid w:val="00C3457B"/>
    <w:rsid w:val="00C3604C"/>
    <w:rsid w:val="00C361CC"/>
    <w:rsid w:val="00C3662D"/>
    <w:rsid w:val="00C4143C"/>
    <w:rsid w:val="00C41782"/>
    <w:rsid w:val="00C43D5C"/>
    <w:rsid w:val="00C44004"/>
    <w:rsid w:val="00C4435A"/>
    <w:rsid w:val="00C44F7A"/>
    <w:rsid w:val="00C464EA"/>
    <w:rsid w:val="00C50E39"/>
    <w:rsid w:val="00C50ECB"/>
    <w:rsid w:val="00C51A18"/>
    <w:rsid w:val="00C52F42"/>
    <w:rsid w:val="00C5325F"/>
    <w:rsid w:val="00C53963"/>
    <w:rsid w:val="00C54DF6"/>
    <w:rsid w:val="00C55AC7"/>
    <w:rsid w:val="00C55DF2"/>
    <w:rsid w:val="00C56BD5"/>
    <w:rsid w:val="00C5720E"/>
    <w:rsid w:val="00C575E3"/>
    <w:rsid w:val="00C609C9"/>
    <w:rsid w:val="00C62DFC"/>
    <w:rsid w:val="00C62EED"/>
    <w:rsid w:val="00C63411"/>
    <w:rsid w:val="00C63CB4"/>
    <w:rsid w:val="00C64151"/>
    <w:rsid w:val="00C643DF"/>
    <w:rsid w:val="00C646B4"/>
    <w:rsid w:val="00C64F1E"/>
    <w:rsid w:val="00C64F87"/>
    <w:rsid w:val="00C6591E"/>
    <w:rsid w:val="00C66042"/>
    <w:rsid w:val="00C669E9"/>
    <w:rsid w:val="00C70BFE"/>
    <w:rsid w:val="00C71A26"/>
    <w:rsid w:val="00C734FC"/>
    <w:rsid w:val="00C73D36"/>
    <w:rsid w:val="00C74D9E"/>
    <w:rsid w:val="00C770B2"/>
    <w:rsid w:val="00C802AA"/>
    <w:rsid w:val="00C8055D"/>
    <w:rsid w:val="00C80AB5"/>
    <w:rsid w:val="00C8126B"/>
    <w:rsid w:val="00C8127F"/>
    <w:rsid w:val="00C81593"/>
    <w:rsid w:val="00C815F3"/>
    <w:rsid w:val="00C81898"/>
    <w:rsid w:val="00C834B3"/>
    <w:rsid w:val="00C84DE0"/>
    <w:rsid w:val="00C84E73"/>
    <w:rsid w:val="00C8669B"/>
    <w:rsid w:val="00C87962"/>
    <w:rsid w:val="00C87DAC"/>
    <w:rsid w:val="00C90602"/>
    <w:rsid w:val="00C90616"/>
    <w:rsid w:val="00C9261E"/>
    <w:rsid w:val="00C935EC"/>
    <w:rsid w:val="00C93B96"/>
    <w:rsid w:val="00C93F8B"/>
    <w:rsid w:val="00C93F97"/>
    <w:rsid w:val="00C955DE"/>
    <w:rsid w:val="00C9604A"/>
    <w:rsid w:val="00C96C55"/>
    <w:rsid w:val="00C96CA4"/>
    <w:rsid w:val="00C97342"/>
    <w:rsid w:val="00C976DE"/>
    <w:rsid w:val="00CA2846"/>
    <w:rsid w:val="00CA4107"/>
    <w:rsid w:val="00CA4404"/>
    <w:rsid w:val="00CA48FF"/>
    <w:rsid w:val="00CA4C78"/>
    <w:rsid w:val="00CA5AF0"/>
    <w:rsid w:val="00CA61BB"/>
    <w:rsid w:val="00CA625D"/>
    <w:rsid w:val="00CA6765"/>
    <w:rsid w:val="00CA6E3A"/>
    <w:rsid w:val="00CA793A"/>
    <w:rsid w:val="00CB0315"/>
    <w:rsid w:val="00CB032F"/>
    <w:rsid w:val="00CB035A"/>
    <w:rsid w:val="00CB0F0A"/>
    <w:rsid w:val="00CB19D8"/>
    <w:rsid w:val="00CB2456"/>
    <w:rsid w:val="00CB4111"/>
    <w:rsid w:val="00CB46E8"/>
    <w:rsid w:val="00CB4B9F"/>
    <w:rsid w:val="00CB6757"/>
    <w:rsid w:val="00CC0827"/>
    <w:rsid w:val="00CC106C"/>
    <w:rsid w:val="00CC118C"/>
    <w:rsid w:val="00CC2FC2"/>
    <w:rsid w:val="00CC3D1E"/>
    <w:rsid w:val="00CC4FEE"/>
    <w:rsid w:val="00CC6067"/>
    <w:rsid w:val="00CC6E56"/>
    <w:rsid w:val="00CC6FFA"/>
    <w:rsid w:val="00CC7F26"/>
    <w:rsid w:val="00CD0989"/>
    <w:rsid w:val="00CD0C7A"/>
    <w:rsid w:val="00CD1765"/>
    <w:rsid w:val="00CD24FA"/>
    <w:rsid w:val="00CD2ADB"/>
    <w:rsid w:val="00CD30D2"/>
    <w:rsid w:val="00CD3E45"/>
    <w:rsid w:val="00CD3F6F"/>
    <w:rsid w:val="00CD450A"/>
    <w:rsid w:val="00CD53E4"/>
    <w:rsid w:val="00CD643C"/>
    <w:rsid w:val="00CD7234"/>
    <w:rsid w:val="00CD7D6E"/>
    <w:rsid w:val="00CE0B81"/>
    <w:rsid w:val="00CE1DAB"/>
    <w:rsid w:val="00CE3357"/>
    <w:rsid w:val="00CE5062"/>
    <w:rsid w:val="00CE6CDB"/>
    <w:rsid w:val="00CE79CB"/>
    <w:rsid w:val="00CF0008"/>
    <w:rsid w:val="00CF1138"/>
    <w:rsid w:val="00CF1718"/>
    <w:rsid w:val="00CF1BE0"/>
    <w:rsid w:val="00CF1C75"/>
    <w:rsid w:val="00CF2633"/>
    <w:rsid w:val="00CF3E58"/>
    <w:rsid w:val="00CF42CB"/>
    <w:rsid w:val="00CF514E"/>
    <w:rsid w:val="00CF5312"/>
    <w:rsid w:val="00CF5559"/>
    <w:rsid w:val="00CF6BF6"/>
    <w:rsid w:val="00CF7A97"/>
    <w:rsid w:val="00D00679"/>
    <w:rsid w:val="00D00D58"/>
    <w:rsid w:val="00D01D63"/>
    <w:rsid w:val="00D01F0C"/>
    <w:rsid w:val="00D022DD"/>
    <w:rsid w:val="00D032F2"/>
    <w:rsid w:val="00D03854"/>
    <w:rsid w:val="00D038A8"/>
    <w:rsid w:val="00D03EC2"/>
    <w:rsid w:val="00D045A0"/>
    <w:rsid w:val="00D04FE9"/>
    <w:rsid w:val="00D05313"/>
    <w:rsid w:val="00D0548B"/>
    <w:rsid w:val="00D05B44"/>
    <w:rsid w:val="00D05B6A"/>
    <w:rsid w:val="00D072C0"/>
    <w:rsid w:val="00D07C33"/>
    <w:rsid w:val="00D112D6"/>
    <w:rsid w:val="00D1218A"/>
    <w:rsid w:val="00D12345"/>
    <w:rsid w:val="00D12A8F"/>
    <w:rsid w:val="00D1354E"/>
    <w:rsid w:val="00D13698"/>
    <w:rsid w:val="00D159B0"/>
    <w:rsid w:val="00D16ED6"/>
    <w:rsid w:val="00D20013"/>
    <w:rsid w:val="00D20102"/>
    <w:rsid w:val="00D20783"/>
    <w:rsid w:val="00D20AF6"/>
    <w:rsid w:val="00D21833"/>
    <w:rsid w:val="00D22B4A"/>
    <w:rsid w:val="00D22E48"/>
    <w:rsid w:val="00D26140"/>
    <w:rsid w:val="00D26591"/>
    <w:rsid w:val="00D2676A"/>
    <w:rsid w:val="00D26B4C"/>
    <w:rsid w:val="00D26B89"/>
    <w:rsid w:val="00D278F8"/>
    <w:rsid w:val="00D279CE"/>
    <w:rsid w:val="00D3086E"/>
    <w:rsid w:val="00D319B5"/>
    <w:rsid w:val="00D31B29"/>
    <w:rsid w:val="00D31C07"/>
    <w:rsid w:val="00D32FE5"/>
    <w:rsid w:val="00D3358A"/>
    <w:rsid w:val="00D347BC"/>
    <w:rsid w:val="00D34D21"/>
    <w:rsid w:val="00D35312"/>
    <w:rsid w:val="00D378CE"/>
    <w:rsid w:val="00D4024E"/>
    <w:rsid w:val="00D41941"/>
    <w:rsid w:val="00D422F7"/>
    <w:rsid w:val="00D42CCD"/>
    <w:rsid w:val="00D45E29"/>
    <w:rsid w:val="00D45E48"/>
    <w:rsid w:val="00D5025F"/>
    <w:rsid w:val="00D502FF"/>
    <w:rsid w:val="00D5061C"/>
    <w:rsid w:val="00D52892"/>
    <w:rsid w:val="00D53355"/>
    <w:rsid w:val="00D54173"/>
    <w:rsid w:val="00D5577B"/>
    <w:rsid w:val="00D55ABF"/>
    <w:rsid w:val="00D5646D"/>
    <w:rsid w:val="00D56952"/>
    <w:rsid w:val="00D56BD0"/>
    <w:rsid w:val="00D57F4A"/>
    <w:rsid w:val="00D607AD"/>
    <w:rsid w:val="00D6152D"/>
    <w:rsid w:val="00D618F1"/>
    <w:rsid w:val="00D62E78"/>
    <w:rsid w:val="00D64477"/>
    <w:rsid w:val="00D64BD5"/>
    <w:rsid w:val="00D64D6F"/>
    <w:rsid w:val="00D678AE"/>
    <w:rsid w:val="00D71474"/>
    <w:rsid w:val="00D71856"/>
    <w:rsid w:val="00D740B9"/>
    <w:rsid w:val="00D74F5E"/>
    <w:rsid w:val="00D7567C"/>
    <w:rsid w:val="00D76C14"/>
    <w:rsid w:val="00D77D12"/>
    <w:rsid w:val="00D80365"/>
    <w:rsid w:val="00D80522"/>
    <w:rsid w:val="00D809AF"/>
    <w:rsid w:val="00D80B24"/>
    <w:rsid w:val="00D80BFF"/>
    <w:rsid w:val="00D80D65"/>
    <w:rsid w:val="00D832ED"/>
    <w:rsid w:val="00D84448"/>
    <w:rsid w:val="00D8478C"/>
    <w:rsid w:val="00D8666D"/>
    <w:rsid w:val="00D86818"/>
    <w:rsid w:val="00D8699B"/>
    <w:rsid w:val="00D8742A"/>
    <w:rsid w:val="00D878A4"/>
    <w:rsid w:val="00D90341"/>
    <w:rsid w:val="00D927A7"/>
    <w:rsid w:val="00D933EE"/>
    <w:rsid w:val="00D93836"/>
    <w:rsid w:val="00D95476"/>
    <w:rsid w:val="00D95B27"/>
    <w:rsid w:val="00D974BA"/>
    <w:rsid w:val="00D97A87"/>
    <w:rsid w:val="00DA00A0"/>
    <w:rsid w:val="00DA039E"/>
    <w:rsid w:val="00DA0935"/>
    <w:rsid w:val="00DA1035"/>
    <w:rsid w:val="00DA11E9"/>
    <w:rsid w:val="00DA1CD1"/>
    <w:rsid w:val="00DA1ED9"/>
    <w:rsid w:val="00DA2658"/>
    <w:rsid w:val="00DA2976"/>
    <w:rsid w:val="00DA2E8C"/>
    <w:rsid w:val="00DA2F4C"/>
    <w:rsid w:val="00DA4123"/>
    <w:rsid w:val="00DA4FE8"/>
    <w:rsid w:val="00DA52E8"/>
    <w:rsid w:val="00DA6AAF"/>
    <w:rsid w:val="00DA7954"/>
    <w:rsid w:val="00DB070D"/>
    <w:rsid w:val="00DB1948"/>
    <w:rsid w:val="00DB1977"/>
    <w:rsid w:val="00DB28E6"/>
    <w:rsid w:val="00DB35FA"/>
    <w:rsid w:val="00DB405A"/>
    <w:rsid w:val="00DB6FA2"/>
    <w:rsid w:val="00DC00DD"/>
    <w:rsid w:val="00DC11C3"/>
    <w:rsid w:val="00DC215C"/>
    <w:rsid w:val="00DC2C05"/>
    <w:rsid w:val="00DC3EF5"/>
    <w:rsid w:val="00DC3F6F"/>
    <w:rsid w:val="00DC4182"/>
    <w:rsid w:val="00DC4A8E"/>
    <w:rsid w:val="00DC4AAE"/>
    <w:rsid w:val="00DC57FD"/>
    <w:rsid w:val="00DC5C74"/>
    <w:rsid w:val="00DC7714"/>
    <w:rsid w:val="00DD0315"/>
    <w:rsid w:val="00DD139F"/>
    <w:rsid w:val="00DD286D"/>
    <w:rsid w:val="00DD34CD"/>
    <w:rsid w:val="00DD353B"/>
    <w:rsid w:val="00DD4ED0"/>
    <w:rsid w:val="00DD5258"/>
    <w:rsid w:val="00DD566E"/>
    <w:rsid w:val="00DD5E61"/>
    <w:rsid w:val="00DD62D7"/>
    <w:rsid w:val="00DE1EA5"/>
    <w:rsid w:val="00DE2834"/>
    <w:rsid w:val="00DE313D"/>
    <w:rsid w:val="00DE4164"/>
    <w:rsid w:val="00DE47AB"/>
    <w:rsid w:val="00DE4F13"/>
    <w:rsid w:val="00DE5159"/>
    <w:rsid w:val="00DE565F"/>
    <w:rsid w:val="00DE639F"/>
    <w:rsid w:val="00DE641F"/>
    <w:rsid w:val="00DE6607"/>
    <w:rsid w:val="00DE744C"/>
    <w:rsid w:val="00DE7AD8"/>
    <w:rsid w:val="00DF042D"/>
    <w:rsid w:val="00DF0DE4"/>
    <w:rsid w:val="00DF1EEB"/>
    <w:rsid w:val="00DF3369"/>
    <w:rsid w:val="00DF538F"/>
    <w:rsid w:val="00DF54DA"/>
    <w:rsid w:val="00DF578C"/>
    <w:rsid w:val="00DF60E6"/>
    <w:rsid w:val="00DF69F9"/>
    <w:rsid w:val="00DF7AD9"/>
    <w:rsid w:val="00E0071A"/>
    <w:rsid w:val="00E00F8E"/>
    <w:rsid w:val="00E011FA"/>
    <w:rsid w:val="00E0183F"/>
    <w:rsid w:val="00E025C7"/>
    <w:rsid w:val="00E02D87"/>
    <w:rsid w:val="00E04855"/>
    <w:rsid w:val="00E04FAC"/>
    <w:rsid w:val="00E05E9D"/>
    <w:rsid w:val="00E05F42"/>
    <w:rsid w:val="00E060B2"/>
    <w:rsid w:val="00E06BED"/>
    <w:rsid w:val="00E06C8B"/>
    <w:rsid w:val="00E10648"/>
    <w:rsid w:val="00E11202"/>
    <w:rsid w:val="00E11D24"/>
    <w:rsid w:val="00E125D7"/>
    <w:rsid w:val="00E142BA"/>
    <w:rsid w:val="00E146F2"/>
    <w:rsid w:val="00E14726"/>
    <w:rsid w:val="00E1598A"/>
    <w:rsid w:val="00E1611B"/>
    <w:rsid w:val="00E16924"/>
    <w:rsid w:val="00E17CF2"/>
    <w:rsid w:val="00E2007E"/>
    <w:rsid w:val="00E21E20"/>
    <w:rsid w:val="00E22C19"/>
    <w:rsid w:val="00E23DB3"/>
    <w:rsid w:val="00E23F15"/>
    <w:rsid w:val="00E243D6"/>
    <w:rsid w:val="00E24D84"/>
    <w:rsid w:val="00E24DF3"/>
    <w:rsid w:val="00E2536F"/>
    <w:rsid w:val="00E25492"/>
    <w:rsid w:val="00E25F90"/>
    <w:rsid w:val="00E26BC3"/>
    <w:rsid w:val="00E27052"/>
    <w:rsid w:val="00E27822"/>
    <w:rsid w:val="00E309B5"/>
    <w:rsid w:val="00E32D9D"/>
    <w:rsid w:val="00E32E7B"/>
    <w:rsid w:val="00E33459"/>
    <w:rsid w:val="00E33662"/>
    <w:rsid w:val="00E34285"/>
    <w:rsid w:val="00E349FD"/>
    <w:rsid w:val="00E37019"/>
    <w:rsid w:val="00E37F2E"/>
    <w:rsid w:val="00E40CEA"/>
    <w:rsid w:val="00E43F3F"/>
    <w:rsid w:val="00E446A3"/>
    <w:rsid w:val="00E446D8"/>
    <w:rsid w:val="00E45271"/>
    <w:rsid w:val="00E456F1"/>
    <w:rsid w:val="00E46A6A"/>
    <w:rsid w:val="00E46B01"/>
    <w:rsid w:val="00E50F8A"/>
    <w:rsid w:val="00E5463D"/>
    <w:rsid w:val="00E546A1"/>
    <w:rsid w:val="00E559CE"/>
    <w:rsid w:val="00E55B81"/>
    <w:rsid w:val="00E56098"/>
    <w:rsid w:val="00E62672"/>
    <w:rsid w:val="00E62BE4"/>
    <w:rsid w:val="00E63409"/>
    <w:rsid w:val="00E64CCB"/>
    <w:rsid w:val="00E656FF"/>
    <w:rsid w:val="00E65A45"/>
    <w:rsid w:val="00E6698C"/>
    <w:rsid w:val="00E66A5B"/>
    <w:rsid w:val="00E70476"/>
    <w:rsid w:val="00E70776"/>
    <w:rsid w:val="00E70C50"/>
    <w:rsid w:val="00E711C3"/>
    <w:rsid w:val="00E7179B"/>
    <w:rsid w:val="00E71C21"/>
    <w:rsid w:val="00E71F47"/>
    <w:rsid w:val="00E723C2"/>
    <w:rsid w:val="00E73890"/>
    <w:rsid w:val="00E7479C"/>
    <w:rsid w:val="00E74838"/>
    <w:rsid w:val="00E7521B"/>
    <w:rsid w:val="00E76C76"/>
    <w:rsid w:val="00E80352"/>
    <w:rsid w:val="00E80F94"/>
    <w:rsid w:val="00E81765"/>
    <w:rsid w:val="00E8258C"/>
    <w:rsid w:val="00E833F5"/>
    <w:rsid w:val="00E83D82"/>
    <w:rsid w:val="00E841F7"/>
    <w:rsid w:val="00E8441B"/>
    <w:rsid w:val="00E84B65"/>
    <w:rsid w:val="00E853C8"/>
    <w:rsid w:val="00E86D22"/>
    <w:rsid w:val="00E8760F"/>
    <w:rsid w:val="00E87822"/>
    <w:rsid w:val="00E87DA5"/>
    <w:rsid w:val="00E910C3"/>
    <w:rsid w:val="00E91290"/>
    <w:rsid w:val="00E9228E"/>
    <w:rsid w:val="00E92E35"/>
    <w:rsid w:val="00E92E93"/>
    <w:rsid w:val="00E92F11"/>
    <w:rsid w:val="00E934BA"/>
    <w:rsid w:val="00E94944"/>
    <w:rsid w:val="00E95335"/>
    <w:rsid w:val="00E95C99"/>
    <w:rsid w:val="00E95D74"/>
    <w:rsid w:val="00E96ACF"/>
    <w:rsid w:val="00E9797D"/>
    <w:rsid w:val="00E97A7F"/>
    <w:rsid w:val="00EA055E"/>
    <w:rsid w:val="00EA18A7"/>
    <w:rsid w:val="00EA2618"/>
    <w:rsid w:val="00EA351F"/>
    <w:rsid w:val="00EA3D78"/>
    <w:rsid w:val="00EA5B1E"/>
    <w:rsid w:val="00EA5B51"/>
    <w:rsid w:val="00EA6583"/>
    <w:rsid w:val="00EA67C2"/>
    <w:rsid w:val="00EA77B0"/>
    <w:rsid w:val="00EB0190"/>
    <w:rsid w:val="00EB05CB"/>
    <w:rsid w:val="00EB07B8"/>
    <w:rsid w:val="00EB15B3"/>
    <w:rsid w:val="00EB192E"/>
    <w:rsid w:val="00EB2256"/>
    <w:rsid w:val="00EB338C"/>
    <w:rsid w:val="00EB538B"/>
    <w:rsid w:val="00EB5E80"/>
    <w:rsid w:val="00EB5FAB"/>
    <w:rsid w:val="00EB725F"/>
    <w:rsid w:val="00EB735E"/>
    <w:rsid w:val="00EC191C"/>
    <w:rsid w:val="00EC20A4"/>
    <w:rsid w:val="00EC2493"/>
    <w:rsid w:val="00EC2AFB"/>
    <w:rsid w:val="00EC4DBD"/>
    <w:rsid w:val="00EC6069"/>
    <w:rsid w:val="00EC65CD"/>
    <w:rsid w:val="00EC6707"/>
    <w:rsid w:val="00EC6DEB"/>
    <w:rsid w:val="00EC7192"/>
    <w:rsid w:val="00EC7FDF"/>
    <w:rsid w:val="00ED0187"/>
    <w:rsid w:val="00ED1CE1"/>
    <w:rsid w:val="00ED25D9"/>
    <w:rsid w:val="00ED2EF2"/>
    <w:rsid w:val="00ED3B87"/>
    <w:rsid w:val="00ED3D9D"/>
    <w:rsid w:val="00ED404A"/>
    <w:rsid w:val="00ED4786"/>
    <w:rsid w:val="00ED4CCB"/>
    <w:rsid w:val="00ED529E"/>
    <w:rsid w:val="00ED57AD"/>
    <w:rsid w:val="00ED6459"/>
    <w:rsid w:val="00ED64C8"/>
    <w:rsid w:val="00ED6D40"/>
    <w:rsid w:val="00ED7729"/>
    <w:rsid w:val="00ED7995"/>
    <w:rsid w:val="00EE0F83"/>
    <w:rsid w:val="00EE13AC"/>
    <w:rsid w:val="00EE215C"/>
    <w:rsid w:val="00EE296D"/>
    <w:rsid w:val="00EE3E63"/>
    <w:rsid w:val="00EE4F6A"/>
    <w:rsid w:val="00EE51AE"/>
    <w:rsid w:val="00EE6993"/>
    <w:rsid w:val="00EE7DF2"/>
    <w:rsid w:val="00EF13C2"/>
    <w:rsid w:val="00EF1736"/>
    <w:rsid w:val="00EF27EC"/>
    <w:rsid w:val="00EF2955"/>
    <w:rsid w:val="00EF39EE"/>
    <w:rsid w:val="00EF5B3F"/>
    <w:rsid w:val="00EF62F5"/>
    <w:rsid w:val="00F00B2F"/>
    <w:rsid w:val="00F0125E"/>
    <w:rsid w:val="00F01B3D"/>
    <w:rsid w:val="00F03074"/>
    <w:rsid w:val="00F03E4E"/>
    <w:rsid w:val="00F043F4"/>
    <w:rsid w:val="00F04F94"/>
    <w:rsid w:val="00F058BC"/>
    <w:rsid w:val="00F05A49"/>
    <w:rsid w:val="00F064D7"/>
    <w:rsid w:val="00F06FBE"/>
    <w:rsid w:val="00F10312"/>
    <w:rsid w:val="00F109EC"/>
    <w:rsid w:val="00F10E36"/>
    <w:rsid w:val="00F121A6"/>
    <w:rsid w:val="00F13C13"/>
    <w:rsid w:val="00F14058"/>
    <w:rsid w:val="00F14114"/>
    <w:rsid w:val="00F14797"/>
    <w:rsid w:val="00F150F5"/>
    <w:rsid w:val="00F15337"/>
    <w:rsid w:val="00F156FF"/>
    <w:rsid w:val="00F15ADB"/>
    <w:rsid w:val="00F15DFC"/>
    <w:rsid w:val="00F162DC"/>
    <w:rsid w:val="00F17039"/>
    <w:rsid w:val="00F17A66"/>
    <w:rsid w:val="00F2007D"/>
    <w:rsid w:val="00F2063C"/>
    <w:rsid w:val="00F2156B"/>
    <w:rsid w:val="00F22E03"/>
    <w:rsid w:val="00F24663"/>
    <w:rsid w:val="00F24993"/>
    <w:rsid w:val="00F24D13"/>
    <w:rsid w:val="00F2572D"/>
    <w:rsid w:val="00F272B1"/>
    <w:rsid w:val="00F27831"/>
    <w:rsid w:val="00F27836"/>
    <w:rsid w:val="00F3086F"/>
    <w:rsid w:val="00F30E8E"/>
    <w:rsid w:val="00F3102E"/>
    <w:rsid w:val="00F320B1"/>
    <w:rsid w:val="00F320BA"/>
    <w:rsid w:val="00F328CF"/>
    <w:rsid w:val="00F33CED"/>
    <w:rsid w:val="00F33D71"/>
    <w:rsid w:val="00F35950"/>
    <w:rsid w:val="00F366A4"/>
    <w:rsid w:val="00F40802"/>
    <w:rsid w:val="00F40C33"/>
    <w:rsid w:val="00F41D89"/>
    <w:rsid w:val="00F420A6"/>
    <w:rsid w:val="00F42D10"/>
    <w:rsid w:val="00F43332"/>
    <w:rsid w:val="00F442A2"/>
    <w:rsid w:val="00F44D05"/>
    <w:rsid w:val="00F453A2"/>
    <w:rsid w:val="00F45ABF"/>
    <w:rsid w:val="00F46436"/>
    <w:rsid w:val="00F4707D"/>
    <w:rsid w:val="00F517E7"/>
    <w:rsid w:val="00F54B97"/>
    <w:rsid w:val="00F55980"/>
    <w:rsid w:val="00F569C9"/>
    <w:rsid w:val="00F60C6C"/>
    <w:rsid w:val="00F62078"/>
    <w:rsid w:val="00F627F3"/>
    <w:rsid w:val="00F63DB7"/>
    <w:rsid w:val="00F641CC"/>
    <w:rsid w:val="00F642DE"/>
    <w:rsid w:val="00F648FE"/>
    <w:rsid w:val="00F64D77"/>
    <w:rsid w:val="00F65B57"/>
    <w:rsid w:val="00F66460"/>
    <w:rsid w:val="00F6717B"/>
    <w:rsid w:val="00F6736B"/>
    <w:rsid w:val="00F67E86"/>
    <w:rsid w:val="00F703AC"/>
    <w:rsid w:val="00F70C75"/>
    <w:rsid w:val="00F7105F"/>
    <w:rsid w:val="00F7131C"/>
    <w:rsid w:val="00F74203"/>
    <w:rsid w:val="00F75B11"/>
    <w:rsid w:val="00F75F48"/>
    <w:rsid w:val="00F76219"/>
    <w:rsid w:val="00F7699F"/>
    <w:rsid w:val="00F8044C"/>
    <w:rsid w:val="00F830DD"/>
    <w:rsid w:val="00F83348"/>
    <w:rsid w:val="00F83439"/>
    <w:rsid w:val="00F8459E"/>
    <w:rsid w:val="00F852FB"/>
    <w:rsid w:val="00F85FF3"/>
    <w:rsid w:val="00F86EC0"/>
    <w:rsid w:val="00F87AA1"/>
    <w:rsid w:val="00F90636"/>
    <w:rsid w:val="00F91E3C"/>
    <w:rsid w:val="00F93296"/>
    <w:rsid w:val="00F9337B"/>
    <w:rsid w:val="00F97B88"/>
    <w:rsid w:val="00F97C0B"/>
    <w:rsid w:val="00FA1405"/>
    <w:rsid w:val="00FA1536"/>
    <w:rsid w:val="00FA1BCA"/>
    <w:rsid w:val="00FA4060"/>
    <w:rsid w:val="00FA4364"/>
    <w:rsid w:val="00FA4493"/>
    <w:rsid w:val="00FA62E2"/>
    <w:rsid w:val="00FA65CD"/>
    <w:rsid w:val="00FA7EA2"/>
    <w:rsid w:val="00FB0726"/>
    <w:rsid w:val="00FB0F00"/>
    <w:rsid w:val="00FB1862"/>
    <w:rsid w:val="00FB30E5"/>
    <w:rsid w:val="00FB3325"/>
    <w:rsid w:val="00FB36BD"/>
    <w:rsid w:val="00FB4529"/>
    <w:rsid w:val="00FB551C"/>
    <w:rsid w:val="00FB6B0C"/>
    <w:rsid w:val="00FB7A91"/>
    <w:rsid w:val="00FC08A7"/>
    <w:rsid w:val="00FC0D73"/>
    <w:rsid w:val="00FC1452"/>
    <w:rsid w:val="00FC1766"/>
    <w:rsid w:val="00FC1DA5"/>
    <w:rsid w:val="00FC2722"/>
    <w:rsid w:val="00FC317E"/>
    <w:rsid w:val="00FC3B36"/>
    <w:rsid w:val="00FC3D34"/>
    <w:rsid w:val="00FC3E5F"/>
    <w:rsid w:val="00FC424E"/>
    <w:rsid w:val="00FC4A74"/>
    <w:rsid w:val="00FC5121"/>
    <w:rsid w:val="00FC5232"/>
    <w:rsid w:val="00FC5F28"/>
    <w:rsid w:val="00FC648F"/>
    <w:rsid w:val="00FC7536"/>
    <w:rsid w:val="00FC7701"/>
    <w:rsid w:val="00FD1086"/>
    <w:rsid w:val="00FD6C75"/>
    <w:rsid w:val="00FD6CCF"/>
    <w:rsid w:val="00FE0400"/>
    <w:rsid w:val="00FE040A"/>
    <w:rsid w:val="00FE0C2B"/>
    <w:rsid w:val="00FE0F0F"/>
    <w:rsid w:val="00FE1D9B"/>
    <w:rsid w:val="00FE1E7B"/>
    <w:rsid w:val="00FE2B19"/>
    <w:rsid w:val="00FE4328"/>
    <w:rsid w:val="00FE47F2"/>
    <w:rsid w:val="00FE6CD2"/>
    <w:rsid w:val="00FE704A"/>
    <w:rsid w:val="00FE7337"/>
    <w:rsid w:val="00FE7747"/>
    <w:rsid w:val="00FF042B"/>
    <w:rsid w:val="00FF0681"/>
    <w:rsid w:val="00FF2853"/>
    <w:rsid w:val="00FF311B"/>
    <w:rsid w:val="00FF312D"/>
    <w:rsid w:val="00FF47C5"/>
    <w:rsid w:val="00FF4C93"/>
    <w:rsid w:val="00FF4F6E"/>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079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paragraph" w:styleId="DocumentMap">
    <w:name w:val="Document Map"/>
    <w:basedOn w:val="Normal"/>
    <w:link w:val="DocumentMapChar"/>
    <w:uiPriority w:val="99"/>
    <w:semiHidden/>
    <w:unhideWhenUsed/>
    <w:rsid w:val="001761A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761A2"/>
    <w:rPr>
      <w:rFonts w:ascii="Times New Roman" w:hAnsi="Times New Roman" w:cs="Times New Roman"/>
      <w:sz w:val="24"/>
      <w:szCs w:val="24"/>
    </w:rPr>
  </w:style>
  <w:style w:type="character" w:styleId="PageNumber">
    <w:name w:val="page number"/>
    <w:basedOn w:val="DefaultParagraphFont"/>
    <w:uiPriority w:val="99"/>
    <w:semiHidden/>
    <w:unhideWhenUsed/>
    <w:rsid w:val="00541706"/>
  </w:style>
  <w:style w:type="table" w:styleId="TableGrid">
    <w:name w:val="Table Grid"/>
    <w:basedOn w:val="TableNormal"/>
    <w:uiPriority w:val="59"/>
    <w:rsid w:val="00620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19596954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355347932">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705645920">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852575206">
      <w:bodyDiv w:val="1"/>
      <w:marLeft w:val="0"/>
      <w:marRight w:val="0"/>
      <w:marTop w:val="0"/>
      <w:marBottom w:val="0"/>
      <w:divBdr>
        <w:top w:val="none" w:sz="0" w:space="0" w:color="auto"/>
        <w:left w:val="none" w:sz="0" w:space="0" w:color="auto"/>
        <w:bottom w:val="none" w:sz="0" w:space="0" w:color="auto"/>
        <w:right w:val="none" w:sz="0" w:space="0" w:color="auto"/>
      </w:divBdr>
    </w:div>
    <w:div w:id="893273522">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530876873">
      <w:bodyDiv w:val="1"/>
      <w:marLeft w:val="0"/>
      <w:marRight w:val="0"/>
      <w:marTop w:val="0"/>
      <w:marBottom w:val="0"/>
      <w:divBdr>
        <w:top w:val="none" w:sz="0" w:space="0" w:color="auto"/>
        <w:left w:val="none" w:sz="0" w:space="0" w:color="auto"/>
        <w:bottom w:val="none" w:sz="0" w:space="0" w:color="auto"/>
        <w:right w:val="none" w:sz="0" w:space="0" w:color="auto"/>
      </w:divBdr>
    </w:div>
    <w:div w:id="1663969140">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731805222">
      <w:bodyDiv w:val="1"/>
      <w:marLeft w:val="0"/>
      <w:marRight w:val="0"/>
      <w:marTop w:val="0"/>
      <w:marBottom w:val="0"/>
      <w:divBdr>
        <w:top w:val="none" w:sz="0" w:space="0" w:color="auto"/>
        <w:left w:val="none" w:sz="0" w:space="0" w:color="auto"/>
        <w:bottom w:val="none" w:sz="0" w:space="0" w:color="auto"/>
        <w:right w:val="none" w:sz="0" w:space="0" w:color="auto"/>
      </w:divBdr>
    </w:div>
    <w:div w:id="1740901886">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viwapa.vi/docs/default-source/default-document-library/draft----2019-wapa-integrated-resource-plan.pdf?sfvrsn=7a383714_2" TargetMode="Externa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57549-49AB-EE4E-A317-B8072A9A4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264</TotalTime>
  <Pages>6</Pages>
  <Words>1474</Words>
  <Characters>8405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Bolla</dc:creator>
  <cp:keywords/>
  <dc:description/>
  <cp:lastModifiedBy>Greg Bolla</cp:lastModifiedBy>
  <cp:revision>103</cp:revision>
  <dcterms:created xsi:type="dcterms:W3CDTF">2020-01-11T16:53:00Z</dcterms:created>
  <dcterms:modified xsi:type="dcterms:W3CDTF">2020-03-27T21:18:00Z</dcterms:modified>
</cp:coreProperties>
</file>