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8DFAC" w14:textId="3F437DDE" w:rsidR="001B5FEC" w:rsidRPr="00DD7B93" w:rsidRDefault="001B5FEC" w:rsidP="001B5FEC">
      <w:pPr>
        <w:pStyle w:val="Heading1"/>
        <w:rPr>
          <w:rFonts w:ascii="Arial" w:hAnsi="Arial" w:cs="Arial"/>
          <w:color w:val="auto"/>
          <w:sz w:val="32"/>
          <w:szCs w:val="32"/>
        </w:rPr>
      </w:pPr>
      <w:r w:rsidRPr="00DD7B93">
        <w:rPr>
          <w:rFonts w:ascii="Arial" w:hAnsi="Arial" w:cs="Arial"/>
          <w:color w:val="auto"/>
          <w:sz w:val="32"/>
          <w:szCs w:val="32"/>
        </w:rPr>
        <w:t>HEDIS</w:t>
      </w:r>
      <w:r w:rsidRPr="00DD7B93">
        <w:rPr>
          <w:rFonts w:ascii="Arial" w:hAnsi="Arial" w:cs="Arial"/>
          <w:color w:val="auto"/>
          <w:sz w:val="32"/>
          <w:szCs w:val="32"/>
          <w:vertAlign w:val="superscript"/>
        </w:rPr>
        <w:t>®</w:t>
      </w:r>
      <w:r w:rsidRPr="00DD7B93">
        <w:rPr>
          <w:rFonts w:ascii="Arial" w:hAnsi="Arial" w:cs="Arial"/>
          <w:color w:val="auto"/>
          <w:sz w:val="32"/>
          <w:szCs w:val="32"/>
        </w:rPr>
        <w:t xml:space="preserve"> </w:t>
      </w:r>
      <w:r w:rsidR="002F44DF">
        <w:rPr>
          <w:rFonts w:ascii="Arial" w:hAnsi="Arial" w:cs="Arial"/>
          <w:color w:val="auto"/>
          <w:sz w:val="32"/>
          <w:szCs w:val="32"/>
        </w:rPr>
        <w:t>2021</w:t>
      </w:r>
      <w:r w:rsidRPr="00DD7B93">
        <w:rPr>
          <w:rFonts w:ascii="Arial" w:hAnsi="Arial" w:cs="Arial"/>
          <w:color w:val="auto"/>
          <w:sz w:val="32"/>
          <w:szCs w:val="32"/>
        </w:rPr>
        <w:t xml:space="preserve"> (Summary) Documentation for Reporting Year </w:t>
      </w:r>
      <w:r w:rsidR="002F44DF">
        <w:rPr>
          <w:rFonts w:ascii="Arial" w:hAnsi="Arial" w:cs="Arial"/>
          <w:color w:val="auto"/>
          <w:sz w:val="32"/>
          <w:szCs w:val="32"/>
        </w:rPr>
        <w:t>2020</w:t>
      </w:r>
    </w:p>
    <w:p w14:paraId="6BE991F0" w14:textId="77777777" w:rsidR="001B5FEC" w:rsidRPr="00DD7B93" w:rsidRDefault="001B5FEC" w:rsidP="001B5FEC">
      <w:pPr>
        <w:pStyle w:val="Heading2"/>
      </w:pPr>
      <w:r w:rsidRPr="00DD7B93">
        <w:t>General Information</w:t>
      </w:r>
    </w:p>
    <w:p w14:paraId="7A9096D3" w14:textId="29E3EEA7" w:rsidR="001B5FEC" w:rsidRPr="00DD7B93" w:rsidRDefault="001B5FEC" w:rsidP="001B5FEC">
      <w:r w:rsidRPr="00DD7B93">
        <w:t>This documentation presents a description of each HEDIS</w:t>
      </w:r>
      <w:r w:rsidRPr="00DD7B93">
        <w:rPr>
          <w:vertAlign w:val="superscript"/>
        </w:rPr>
        <w:t>®</w:t>
      </w:r>
      <w:r w:rsidRPr="00DD7B93">
        <w:t xml:space="preserve"> measure that CMS collected for </w:t>
      </w:r>
      <w:r w:rsidR="00EE2236">
        <w:fldChar w:fldCharType="begin"/>
      </w:r>
      <w:r w:rsidR="00EE2236">
        <w:instrText xml:space="preserve"> DOCPROPERTY  Contracts  \* MERGEFORMAT </w:instrText>
      </w:r>
      <w:r w:rsidR="00EE2236">
        <w:fldChar w:fldCharType="separate"/>
      </w:r>
      <w:r w:rsidR="00DD7B93" w:rsidRPr="00DD7B93">
        <w:t>45</w:t>
      </w:r>
      <w:r w:rsidR="003338FC" w:rsidRPr="00DD7B93">
        <w:t>0</w:t>
      </w:r>
      <w:r w:rsidR="00EE2236">
        <w:fldChar w:fldCharType="end"/>
      </w:r>
      <w:r w:rsidRPr="00DD7B93">
        <w:t xml:space="preserve"> Medicare managed care organizations for health care provided in calendar year </w:t>
      </w:r>
      <w:r w:rsidR="00EE2236">
        <w:fldChar w:fldCharType="begin"/>
      </w:r>
      <w:r w:rsidR="00EE2236">
        <w:instrText xml:space="preserve"> DOCPROPERTY  HEDISYear  \* MERGEFORMAT </w:instrText>
      </w:r>
      <w:r w:rsidR="00EE2236">
        <w:fldChar w:fldCharType="separate"/>
      </w:r>
      <w:r w:rsidR="003338FC" w:rsidRPr="00DD7B93">
        <w:t>20</w:t>
      </w:r>
      <w:r w:rsidR="002F44DF">
        <w:t>20</w:t>
      </w:r>
      <w:r w:rsidR="00EE2236">
        <w:fldChar w:fldCharType="end"/>
      </w:r>
      <w:r w:rsidRPr="00DD7B93">
        <w:t xml:space="preserve"> to Medicare beneficiaries</w:t>
      </w:r>
      <w:r w:rsidR="00DD7B93" w:rsidRPr="00DD7B93">
        <w:t>.</w:t>
      </w:r>
      <w:r w:rsidRPr="00DD7B93">
        <w:t xml:space="preserve"> CMS took the description and additional information for each measure from HEDIS</w:t>
      </w:r>
      <w:r w:rsidR="00D35EAA">
        <w:t xml:space="preserve"> Measurement Year</w:t>
      </w:r>
      <w:r w:rsidRPr="00DD7B93">
        <w:t xml:space="preserve"> </w:t>
      </w:r>
      <w:r w:rsidR="00D35EAA">
        <w:t>2020 and 2021</w:t>
      </w:r>
      <w:r w:rsidRPr="00DD7B93">
        <w:t xml:space="preserve"> Volume 2: Technical Specifications. This release contains only those rates, percentages, or averages for each measure and not the numerator or denominator used to create those measures. CMS has made minor modifications to the original data. CMS confirmed that all reported rates are commensurate with the HEDIS general guidelines. For example, the HEDIS guidelines advise plans to report "not applicable" for measures that rely on a small number of observations, and CMS appropriately suppressed these rates. CMS also added two variables to the database. A brief discussion of each issue identified here appears below. </w:t>
      </w:r>
    </w:p>
    <w:p w14:paraId="17F71990" w14:textId="77777777" w:rsidR="001B5FEC" w:rsidRPr="00DD7B93" w:rsidRDefault="001B5FEC" w:rsidP="001B5FEC">
      <w:r w:rsidRPr="00DD7B93">
        <w:t>CMS requires that all managed care organizations undergo an audit on all HEDIS measures. The summary data file includes all submitted data following the audit.</w:t>
      </w:r>
    </w:p>
    <w:p w14:paraId="7D9C54FE" w14:textId="3F4BB8C8" w:rsidR="001B5FEC" w:rsidRPr="00DD7B93" w:rsidRDefault="001B5FEC" w:rsidP="001B5FEC">
      <w:pPr>
        <w:rPr>
          <w:b/>
        </w:rPr>
      </w:pPr>
      <w:r w:rsidRPr="00DD7B93">
        <w:t xml:space="preserve">The HEDIS measure descriptions reprinted here are done with the permission of the National Committee for Quality Assurance (NCQA). HEDIS is a registered trademark of NCQA, and a copyright for HEDIS </w:t>
      </w:r>
      <w:r w:rsidR="00EE2236">
        <w:fldChar w:fldCharType="begin"/>
      </w:r>
      <w:r w:rsidR="00EE2236">
        <w:instrText xml:space="preserve"> DOCPROPERTY  HEDISYear  \* MERGEFORMAT </w:instrText>
      </w:r>
      <w:r w:rsidR="00EE2236">
        <w:fldChar w:fldCharType="separate"/>
      </w:r>
      <w:r w:rsidR="002F44DF">
        <w:t>2021</w:t>
      </w:r>
      <w:r w:rsidR="00EE2236">
        <w:fldChar w:fldCharType="end"/>
      </w:r>
      <w:r w:rsidRPr="00DD7B93">
        <w:t xml:space="preserve"> is held by the National Committee for Quality Assurance, 1100 13th Street, NW, Suite 1000, Washington, DC 20005. All rights reserved.</w:t>
      </w:r>
    </w:p>
    <w:p w14:paraId="71759080" w14:textId="77777777" w:rsidR="001B5FEC" w:rsidRPr="00DD7B93" w:rsidRDefault="001B5FEC" w:rsidP="001B5FEC">
      <w:pPr>
        <w:pStyle w:val="Heading2"/>
      </w:pPr>
      <w:r w:rsidRPr="00DD7B93">
        <w:t xml:space="preserve">Medicare HEDIS Reporting </w:t>
      </w:r>
    </w:p>
    <w:p w14:paraId="463584FF" w14:textId="58875344" w:rsidR="001B5FEC" w:rsidRPr="00DD7B93" w:rsidRDefault="001B5FEC" w:rsidP="001B5FEC">
      <w:r w:rsidRPr="00DD7B93">
        <w:t xml:space="preserve">In </w:t>
      </w:r>
      <w:r w:rsidR="00EE2236">
        <w:fldChar w:fldCharType="begin"/>
      </w:r>
      <w:r w:rsidR="00EE2236">
        <w:instrText xml:space="preserve"> DOCPROPERTY  HEDISYear  \* MERGEFOR</w:instrText>
      </w:r>
      <w:r w:rsidR="00EE2236">
        <w:instrText xml:space="preserve">MAT </w:instrText>
      </w:r>
      <w:r w:rsidR="00EE2236">
        <w:fldChar w:fldCharType="separate"/>
      </w:r>
      <w:r w:rsidR="002F44DF">
        <w:t>2021</w:t>
      </w:r>
      <w:r w:rsidR="00EE2236">
        <w:fldChar w:fldCharType="end"/>
      </w:r>
      <w:r w:rsidRPr="00DD7B93">
        <w:t xml:space="preserve">, CMS collected data from </w:t>
      </w:r>
      <w:r w:rsidR="00626497">
        <w:t>531</w:t>
      </w:r>
      <w:r w:rsidRPr="00DD7B93">
        <w:t xml:space="preserve"> Medicare managed care contracts for health care delivered in </w:t>
      </w:r>
      <w:r w:rsidR="00EE2236">
        <w:fldChar w:fldCharType="begin"/>
      </w:r>
      <w:r w:rsidR="00EE2236">
        <w:instrText xml:space="preserve"> DOCPROPERTY  ReportYear  \* MERGEFORMAT </w:instrText>
      </w:r>
      <w:r w:rsidR="00EE2236">
        <w:fldChar w:fldCharType="separate"/>
      </w:r>
      <w:r w:rsidR="003338FC" w:rsidRPr="00DD7B93">
        <w:t>20</w:t>
      </w:r>
      <w:r w:rsidR="00EE2236">
        <w:fldChar w:fldCharType="end"/>
      </w:r>
      <w:r w:rsidR="002F44DF">
        <w:t>20</w:t>
      </w:r>
      <w:r w:rsidRPr="00DD7B93">
        <w:t>. CMS considers the reporting unit for a health plan as the equivalent to a contract. CMS signs a contract with health plans to provide health care for a given geographic service area.</w:t>
      </w:r>
    </w:p>
    <w:p w14:paraId="0E3C0647" w14:textId="77777777" w:rsidR="001B5FEC" w:rsidRPr="00DD7B93" w:rsidRDefault="001B5FEC" w:rsidP="001B5FEC">
      <w:pPr>
        <w:pStyle w:val="Heading2"/>
      </w:pPr>
      <w:r w:rsidRPr="00DD7B93">
        <w:t>CMS copied the description of each measure from the HEDIS Technical Specifications</w:t>
      </w:r>
    </w:p>
    <w:p w14:paraId="2FC98AE4" w14:textId="3FE4FE3C" w:rsidR="001B5FEC" w:rsidRPr="00DD7B93" w:rsidRDefault="001B5FEC" w:rsidP="001B5FEC">
      <w:r w:rsidRPr="00DD7B93">
        <w:t xml:space="preserve">The description and related information provided for each measure in this documentation are taken from the HEDIS </w:t>
      </w:r>
      <w:r w:rsidR="002F44DF">
        <w:t>2021</w:t>
      </w:r>
      <w:r w:rsidR="00D744BE" w:rsidRPr="00DD7B93">
        <w:t xml:space="preserve"> </w:t>
      </w:r>
      <w:r w:rsidRPr="00DD7B93">
        <w:t>Technical Specifications, which are the specific instructions for calculating HEDIS measures that NCQA provides to Medicare managed care plans. For each measure, the Technical Specifications detail the precise method for sampling (when appropriate), identification of the numerator and denominator, measure calculation, and any other important considerations specific to that measure. The technical specifications also contain general guidelines that apply to all measures, such as the use of medical records and when a plan should not report a measure because its eligible membership is too small. Some measures require more detailed specifications tha</w:t>
      </w:r>
      <w:r w:rsidRPr="009D4EC5">
        <w:t xml:space="preserve">n others. </w:t>
      </w:r>
      <w:r w:rsidR="00570669" w:rsidRPr="009D4EC5">
        <w:t>Compared</w:t>
      </w:r>
      <w:r w:rsidRPr="009D4EC5">
        <w:t xml:space="preserve"> to the </w:t>
      </w:r>
      <w:r w:rsidRPr="00DD7B93">
        <w:t xml:space="preserve">Beta Blocker measure described below, the calculation of the measure for the number of years a plan has had a commercial product is fairly straightforward. The technical specifications necessary to produce HEDIS measures are available from NCQA in </w:t>
      </w:r>
      <w:r w:rsidR="00D35EAA">
        <w:t>HEDIS Measurement Year 2020 and 2021</w:t>
      </w:r>
      <w:r w:rsidRPr="00DD7B93">
        <w:t>, Volume 2: Technical Specifications.</w:t>
      </w:r>
    </w:p>
    <w:p w14:paraId="61E21009" w14:textId="77777777" w:rsidR="001B5FEC" w:rsidRPr="00DD7B93" w:rsidRDefault="001B5FEC" w:rsidP="001B5FEC">
      <w:r w:rsidRPr="00DD7B93">
        <w:t>The specifications for Beta Blocker Treatment After Heart Attack demonstrate the extent of detailed instructions provided for many measures. For this measure, the specifications describe the unit of measurement (members vs. procedures or discharges); data sources used to identify the numerator and denominator (membership, claims/encounter, hospital discharge, and pharmacy data); the period of time under consideration (the reporting year); age ranges for member inclusion in the measure (35 and older); diagnosis codes to identify acute myocardial infarction (AMI); diagnosis codes to identify exclusions for beta blocker; a list of beta blocker prescriptions; appropriate sample size if the plan chooses to use a sample; and other instructions, such as the appropriate interpretation of two AMI episodes for an individual member.</w:t>
      </w:r>
    </w:p>
    <w:p w14:paraId="388E26DA" w14:textId="77777777" w:rsidR="001B5FEC" w:rsidRPr="00DD7B93" w:rsidRDefault="001B5FEC" w:rsidP="001B5FEC">
      <w:pPr>
        <w:pStyle w:val="Heading2"/>
      </w:pPr>
      <w:r w:rsidRPr="00DD7B93">
        <w:t>HEDIS Guidelines identify three types of missing values: NA, NB and NR</w:t>
      </w:r>
    </w:p>
    <w:p w14:paraId="40753D28" w14:textId="5C711146" w:rsidR="001B5FEC" w:rsidRPr="00DD7B93" w:rsidRDefault="001B5FEC" w:rsidP="001B5FEC">
      <w:r w:rsidRPr="00DD7B93">
        <w:t>The HEDIS guideline</w:t>
      </w:r>
      <w:r w:rsidRPr="009D4EC5">
        <w:t xml:space="preserve">s </w:t>
      </w:r>
      <w:r w:rsidR="00570669" w:rsidRPr="009D4EC5">
        <w:t>specify</w:t>
      </w:r>
      <w:r w:rsidRPr="009D4EC5">
        <w:t xml:space="preserve"> three different types of missing values in the rate field: Not Applicable (NA), No Benefit (NB) and Not Report</w:t>
      </w:r>
      <w:r w:rsidR="002210A0" w:rsidRPr="009D4EC5">
        <w:t>ed</w:t>
      </w:r>
      <w:r w:rsidRPr="009D4EC5">
        <w:t xml:space="preserve"> (N</w:t>
      </w:r>
      <w:r w:rsidRPr="00DD7B93">
        <w:t>R). Health plans report NA when they: do not have a large enough population to calculate a representative rate (e.g., many measures require that rates be based on at least 30 members) or are not eligible for a measure (e.g., a health plan cannot calculate outpatient drug utilization if it does not offer an outpatient drug benefit; a health plan cannot calculate a measure requiring a year of continuous enrollment if its first enrollment began mid-way through the reporting year.)</w:t>
      </w:r>
    </w:p>
    <w:p w14:paraId="6CB7F7B4" w14:textId="77777777" w:rsidR="001B5FEC" w:rsidRPr="00DD7B93" w:rsidRDefault="001B5FEC" w:rsidP="001B5FEC">
      <w:r w:rsidRPr="00DD7B93">
        <w:lastRenderedPageBreak/>
        <w:t>A value of NB is recorded when the health plan did not offer the health benefit required by the measure (e.g., Mental Health/Chemical Dependenc</w:t>
      </w:r>
      <w:r w:rsidR="00B50308">
        <w:t>y). Health plans report NR when</w:t>
      </w:r>
      <w:r w:rsidRPr="00DD7B93">
        <w:t xml:space="preserve"> they choose not to calculate and report a rate, or the health plan’s HEDIS Compliance Auditor determines that a rate is materially biased (applicable only to audited measures).</w:t>
      </w:r>
    </w:p>
    <w:p w14:paraId="68A69BDD" w14:textId="77777777" w:rsidR="001B5FEC" w:rsidRPr="00DD7B93" w:rsidRDefault="001B5FEC" w:rsidP="001B5FEC">
      <w:r w:rsidRPr="00DD7B93">
        <w:t xml:space="preserve">For measures reported as a percentage, material bias is defined as a deviation of more than five percentage points from the true rate. For other measures (e.g., procedures per </w:t>
      </w:r>
      <w:proofErr w:type="gramStart"/>
      <w:r w:rsidRPr="00DD7B93">
        <w:t>1,000 member</w:t>
      </w:r>
      <w:proofErr w:type="gramEnd"/>
      <w:r w:rsidRPr="00DD7B93">
        <w:t xml:space="preserve"> years), material bias exists if the number of counted procedures deviates by more than ten percent from the true number of procedures.</w:t>
      </w:r>
    </w:p>
    <w:p w14:paraId="5AB667A4" w14:textId="77777777" w:rsidR="001B5FEC" w:rsidRPr="00DD7B93" w:rsidRDefault="001B5FEC" w:rsidP="001B5FEC">
      <w:pPr>
        <w:pStyle w:val="Heading2"/>
      </w:pPr>
      <w:r w:rsidRPr="00DD7B93">
        <w:t>CMS suppressed a small number of rates to meet privacy requirements.</w:t>
      </w:r>
    </w:p>
    <w:p w14:paraId="22B2F02C" w14:textId="2F702A64" w:rsidR="001B5FEC" w:rsidRPr="00DD7B93" w:rsidRDefault="001B5FEC" w:rsidP="001B5FEC">
      <w:r w:rsidRPr="00DD7B93">
        <w:t xml:space="preserve">Under the Privacy Act, CMS cannot publish or otherwise disclose the data in a form raising unacceptable possibilities that an individual could be identified (i.e., the data must not be beneficiary-specific and must be aggregated to a level where no data cells have 10 or fewer beneficiaries). To ensure that no beneficiary can be identified, CMS has chosen not to report certain measures, specifically reported enrollment by age category, and has suppressed </w:t>
      </w:r>
      <w:r w:rsidR="00B50308">
        <w:t xml:space="preserve">a </w:t>
      </w:r>
      <w:r w:rsidRPr="00DD7B93">
        <w:t xml:space="preserve">small number of rates. CMS has </w:t>
      </w:r>
      <w:r w:rsidR="00ED3E12">
        <w:t xml:space="preserve">replaced suppressed rates with </w:t>
      </w:r>
      <w:r w:rsidRPr="00DD7B93">
        <w:t>‘NA.' Please see the section on missing values above for an explanation of missing value designations.</w:t>
      </w:r>
    </w:p>
    <w:p w14:paraId="45B4898C" w14:textId="77777777" w:rsidR="001B5FEC" w:rsidRPr="00DD7B93" w:rsidRDefault="001B5FEC" w:rsidP="001B5FEC">
      <w:pPr>
        <w:pStyle w:val="Heading2"/>
      </w:pPr>
      <w:r w:rsidRPr="00DD7B93">
        <w:t>CMS has added variables to the HEDIS data.</w:t>
      </w:r>
    </w:p>
    <w:p w14:paraId="3A0D973A" w14:textId="77777777" w:rsidR="001B5FEC" w:rsidRPr="00DD7B93" w:rsidRDefault="001B5FEC" w:rsidP="001B5FEC">
      <w:r w:rsidRPr="00DD7B93">
        <w:t xml:space="preserve">CMS includes our record of enrollment as of December </w:t>
      </w:r>
      <w:r w:rsidR="00ED3E12">
        <w:t>for</w:t>
      </w:r>
      <w:r w:rsidRPr="00DD7B93">
        <w:t xml:space="preserve"> the measurement year in the "GENERAL" sheet in the HEDIS workbook. The HEDIS reported value is adjusted for individuals with partial-year enrollment and reflects the entire contract's enrollment. CMS's enrollment is now broken down by the number enrolled in the CMS approved contract market area.</w:t>
      </w:r>
    </w:p>
    <w:p w14:paraId="366F5DF8" w14:textId="66D1E163" w:rsidR="001B5FEC" w:rsidRPr="00DD7B93" w:rsidRDefault="001B5FEC" w:rsidP="001B5FEC">
      <w:r w:rsidRPr="00DD7B93">
        <w:t xml:space="preserve">We have included the Medicare Modernization Act plan type designations as well as indicators if the contract offers a Special Needs benefit packages or </w:t>
      </w:r>
      <w:r w:rsidR="00ED3E12">
        <w:t xml:space="preserve">offered </w:t>
      </w:r>
      <w:r w:rsidRPr="00DD7B93">
        <w:t xml:space="preserve">a Part D Drug benefit in </w:t>
      </w:r>
      <w:r w:rsidR="00EE2236">
        <w:fldChar w:fldCharType="begin"/>
      </w:r>
      <w:r w:rsidR="00EE2236">
        <w:instrText xml:space="preserve"> DOCPROPERTY  ReportYear  \* MER</w:instrText>
      </w:r>
      <w:r w:rsidR="00EE2236">
        <w:instrText xml:space="preserve">GEFORMAT </w:instrText>
      </w:r>
      <w:r w:rsidR="00EE2236">
        <w:fldChar w:fldCharType="separate"/>
      </w:r>
      <w:r w:rsidR="002F44DF">
        <w:t>2020</w:t>
      </w:r>
      <w:r w:rsidR="00EE2236">
        <w:fldChar w:fldCharType="end"/>
      </w:r>
      <w:r w:rsidRPr="00DD7B93">
        <w:t>. These values can be found on the sheet named "GENERAL".</w:t>
      </w:r>
    </w:p>
    <w:p w14:paraId="6974BB06" w14:textId="04DD583C" w:rsidR="001B5FEC" w:rsidRPr="00DD7B93" w:rsidRDefault="001B5FEC" w:rsidP="001B5FEC">
      <w:r w:rsidRPr="00DD7B93">
        <w:t>We have also changed the way we are reporting the area served by each contract. The states served by each contract used to be reported within every measure. Since this data is constant for the measurement year and the size of the</w:t>
      </w:r>
      <w:r w:rsidR="009D4EC5">
        <w:t xml:space="preserve"> areas covered by each contr</w:t>
      </w:r>
      <w:r w:rsidR="009D4EC5" w:rsidRPr="009D4EC5">
        <w:t>act</w:t>
      </w:r>
      <w:r w:rsidRPr="009D4EC5">
        <w:t xml:space="preserve"> </w:t>
      </w:r>
      <w:r w:rsidR="00AE4EBF" w:rsidRPr="009D4EC5">
        <w:t xml:space="preserve">has </w:t>
      </w:r>
      <w:r w:rsidRPr="009D4EC5">
        <w:t>increase</w:t>
      </w:r>
      <w:r w:rsidRPr="00DD7B93">
        <w:t xml:space="preserve">d dramatically, we have moved the area served into its own separate reports. You will find a separate sheet called "Service Area" in the HEDIS workbook which contains the contract, state(s) and counties served by the contracts reporting HEDIS. There is </w:t>
      </w:r>
      <w:r w:rsidR="00AE4EBF">
        <w:t xml:space="preserve">an </w:t>
      </w:r>
      <w:r w:rsidRPr="00DD7B93">
        <w:t>additional field "EGHP" which indicates if the county is available only to beneficiaries in Employer Groups. The old "Service State" field in each measure now just lists the Market Area served by the contract for the contracts still reporting by market area.</w:t>
      </w:r>
    </w:p>
    <w:p w14:paraId="3E37BD68" w14:textId="77777777" w:rsidR="001B5FEC" w:rsidRPr="00DD7B93" w:rsidRDefault="001B5FEC" w:rsidP="001B5FEC">
      <w:pPr>
        <w:pStyle w:val="Heading2"/>
      </w:pPr>
      <w:r w:rsidRPr="00DD7B93">
        <w:t>National Enrollment Weighted Average Score</w:t>
      </w:r>
    </w:p>
    <w:p w14:paraId="7B6A0BA8" w14:textId="77777777" w:rsidR="001B5FEC" w:rsidRPr="00DD7B93" w:rsidRDefault="001B5FEC" w:rsidP="001B5FEC">
      <w:r w:rsidRPr="00DD7B93">
        <w:t>CMS has calculated and included a weighted national average for all of the Effectiveness of Care (EOC) measures. These rates are reported on a separate sheet called "National Rates" in the SNP HEDIS workbook. The rate for each of the EOC measures was calculated using the following formula:</w:t>
      </w:r>
    </w:p>
    <w:p w14:paraId="2E4E13CF" w14:textId="77777777" w:rsidR="001B5FEC" w:rsidRPr="00DD7B93" w:rsidRDefault="001B5FEC" w:rsidP="001B5FEC">
      <w:r w:rsidRPr="00DD7B93">
        <w:t>((En</w:t>
      </w:r>
      <w:r w:rsidRPr="00DD7B93">
        <w:rPr>
          <w:vertAlign w:val="subscript"/>
        </w:rPr>
        <w:t>1</w:t>
      </w:r>
      <w:r w:rsidRPr="00DD7B93">
        <w:t>/</w:t>
      </w:r>
      <w:proofErr w:type="spellStart"/>
      <w:proofErr w:type="gramStart"/>
      <w:r w:rsidRPr="00DD7B93">
        <w:t>TotE</w:t>
      </w:r>
      <w:proofErr w:type="spellEnd"/>
      <w:r w:rsidRPr="00DD7B93">
        <w:t>)*</w:t>
      </w:r>
      <w:proofErr w:type="gramEnd"/>
      <w:r w:rsidRPr="00DD7B93">
        <w:t>Sn</w:t>
      </w:r>
      <w:r w:rsidRPr="00DD7B93">
        <w:rPr>
          <w:vertAlign w:val="subscript"/>
        </w:rPr>
        <w:t>1</w:t>
      </w:r>
      <w:r w:rsidRPr="00DD7B93">
        <w:t>)+((En</w:t>
      </w:r>
      <w:r w:rsidRPr="00DD7B93">
        <w:rPr>
          <w:vertAlign w:val="subscript"/>
        </w:rPr>
        <w:t>2</w:t>
      </w:r>
      <w:r w:rsidRPr="00DD7B93">
        <w:t>/</w:t>
      </w:r>
      <w:proofErr w:type="spellStart"/>
      <w:r w:rsidRPr="00DD7B93">
        <w:t>TotE</w:t>
      </w:r>
      <w:proofErr w:type="spellEnd"/>
      <w:r w:rsidRPr="00DD7B93">
        <w:t>)*Sn</w:t>
      </w:r>
      <w:r w:rsidRPr="00DD7B93">
        <w:rPr>
          <w:vertAlign w:val="subscript"/>
        </w:rPr>
        <w:t>2</w:t>
      </w:r>
      <w:r w:rsidRPr="00DD7B93">
        <w:t>)+…+((</w:t>
      </w:r>
      <w:proofErr w:type="spellStart"/>
      <w:r w:rsidRPr="00DD7B93">
        <w:t>En</w:t>
      </w:r>
      <w:r w:rsidRPr="00DD7B93">
        <w:rPr>
          <w:vertAlign w:val="subscript"/>
        </w:rPr>
        <w:t>x</w:t>
      </w:r>
      <w:proofErr w:type="spellEnd"/>
      <w:r w:rsidRPr="00DD7B93">
        <w:t>/</w:t>
      </w:r>
      <w:proofErr w:type="spellStart"/>
      <w:r w:rsidRPr="00DD7B93">
        <w:t>TotE</w:t>
      </w:r>
      <w:proofErr w:type="spellEnd"/>
      <w:r w:rsidRPr="00DD7B93">
        <w:t>)*</w:t>
      </w:r>
      <w:proofErr w:type="spellStart"/>
      <w:r w:rsidRPr="00DD7B93">
        <w:t>Sn</w:t>
      </w:r>
      <w:r w:rsidRPr="00DD7B93">
        <w:rPr>
          <w:vertAlign w:val="subscript"/>
        </w:rPr>
        <w:t>x</w:t>
      </w:r>
      <w:proofErr w:type="spellEnd"/>
      <w:r w:rsidRPr="00DD7B93">
        <w:t>)=National Enrollment Weighted Average Score</w:t>
      </w:r>
    </w:p>
    <w:p w14:paraId="045AB5B5" w14:textId="77777777" w:rsidR="001B5FEC" w:rsidRPr="00DD7B93" w:rsidRDefault="001B5FEC" w:rsidP="001B5FEC">
      <w:pPr>
        <w:tabs>
          <w:tab w:val="left" w:pos="900"/>
        </w:tabs>
        <w:ind w:left="900" w:hanging="900"/>
        <w:sectPr w:rsidR="001B5FEC" w:rsidRPr="00DD7B93" w:rsidSect="003E7660">
          <w:footerReference w:type="default" r:id="rId8"/>
          <w:pgSz w:w="12240" w:h="15840" w:code="1"/>
          <w:pgMar w:top="360" w:right="720" w:bottom="720" w:left="720" w:header="360" w:footer="360" w:gutter="0"/>
          <w:cols w:space="720"/>
          <w:docGrid w:linePitch="360"/>
        </w:sectPr>
      </w:pPr>
      <w:r w:rsidRPr="00DD7B93">
        <w:t>Where:</w:t>
      </w:r>
      <w:r w:rsidRPr="00DD7B93">
        <w:tab/>
      </w:r>
      <w:proofErr w:type="spellStart"/>
      <w:r w:rsidRPr="00DD7B93">
        <w:t>TotE</w:t>
      </w:r>
      <w:proofErr w:type="spellEnd"/>
      <w:r w:rsidRPr="00DD7B93">
        <w:t xml:space="preserve"> = Total enrollment for all PBPs with a valid numeric rate in the measure</w:t>
      </w:r>
      <w:r w:rsidRPr="00DD7B93">
        <w:br/>
        <w:t>En</w:t>
      </w:r>
      <w:r w:rsidRPr="00DD7B93">
        <w:rPr>
          <w:vertAlign w:val="subscript"/>
        </w:rPr>
        <w:t>1</w:t>
      </w:r>
      <w:r w:rsidRPr="00DD7B93">
        <w:t xml:space="preserve"> = Enrollment in the first PBP with a valid numeric rate</w:t>
      </w:r>
      <w:r w:rsidRPr="00DD7B93">
        <w:br/>
        <w:t>Sn</w:t>
      </w:r>
      <w:r w:rsidRPr="00DD7B93">
        <w:rPr>
          <w:vertAlign w:val="subscript"/>
        </w:rPr>
        <w:t>1</w:t>
      </w:r>
      <w:r w:rsidRPr="00DD7B93">
        <w:t xml:space="preserve"> = Reported rate for the first PBP with a valid numeric rate</w:t>
      </w:r>
      <w:r w:rsidRPr="00DD7B93">
        <w:br/>
      </w:r>
      <w:proofErr w:type="spellStart"/>
      <w:r w:rsidRPr="00DD7B93">
        <w:t>En</w:t>
      </w:r>
      <w:r w:rsidRPr="00DD7B93">
        <w:rPr>
          <w:vertAlign w:val="subscript"/>
        </w:rPr>
        <w:t>x</w:t>
      </w:r>
      <w:proofErr w:type="spellEnd"/>
      <w:r w:rsidRPr="00DD7B93">
        <w:t xml:space="preserve"> = Enrollment in the last PBP with a valid numeric rate</w:t>
      </w:r>
      <w:r w:rsidRPr="00DD7B93">
        <w:br/>
      </w:r>
      <w:proofErr w:type="spellStart"/>
      <w:r w:rsidRPr="00DD7B93">
        <w:t>Sn</w:t>
      </w:r>
      <w:r w:rsidRPr="00DD7B93">
        <w:rPr>
          <w:vertAlign w:val="subscript"/>
        </w:rPr>
        <w:t>x</w:t>
      </w:r>
      <w:proofErr w:type="spellEnd"/>
      <w:r w:rsidRPr="00DD7B93">
        <w:t xml:space="preserve"> = Reported rate for the last PBP with a valid numeric rate</w:t>
      </w:r>
    </w:p>
    <w:p w14:paraId="26F99B80" w14:textId="77777777" w:rsidR="003338FC" w:rsidRPr="00DD7B93" w:rsidRDefault="003338FC" w:rsidP="003338FC">
      <w:pPr>
        <w:pStyle w:val="Heading4"/>
        <w:rPr>
          <w:color w:val="auto"/>
        </w:rPr>
      </w:pPr>
      <w:bookmarkStart w:id="0" w:name="Measures"/>
      <w:bookmarkEnd w:id="0"/>
      <w:r w:rsidRPr="00DD7B93">
        <w:rPr>
          <w:color w:val="auto"/>
        </w:rPr>
        <w:lastRenderedPageBreak/>
        <w:t>General - General Information</w:t>
      </w:r>
    </w:p>
    <w:p w14:paraId="50CF408F" w14:textId="77777777" w:rsidR="003338FC" w:rsidRPr="00DD7B93" w:rsidRDefault="003338FC" w:rsidP="003338FC">
      <w:pPr>
        <w:pStyle w:val="Description"/>
      </w:pPr>
      <w:r w:rsidRPr="00DD7B93">
        <w:tab/>
        <w:t>DESCRIPTION - General organization Information. These fields are not explicitly identified in the HEDIS Technical Specifications.</w:t>
      </w:r>
    </w:p>
    <w:p w14:paraId="39EC9D98" w14:textId="77777777" w:rsidR="003338FC" w:rsidRPr="00DD7B93" w:rsidRDefault="003338FC" w:rsidP="003338FC">
      <w:pPr>
        <w:pStyle w:val="Heading5"/>
      </w:pPr>
      <w:r w:rsidRPr="00DD7B93">
        <w:tab/>
        <w:t>REPORTING LEVEL - N/A</w:t>
      </w:r>
    </w:p>
    <w:p w14:paraId="45669C6C" w14:textId="77777777" w:rsidR="003338FC" w:rsidRPr="00DD7B93" w:rsidRDefault="003338FC" w:rsidP="003338FC">
      <w:pPr>
        <w:pStyle w:val="MeasureList"/>
      </w:pPr>
      <w:r w:rsidRPr="00DD7B93">
        <w:tab/>
        <w:t>General-0010</w:t>
      </w:r>
      <w:r w:rsidRPr="00DD7B93">
        <w:tab/>
        <w:t>Type of Organization (Local CCP, 1876 Cost, etc.)</w:t>
      </w:r>
    </w:p>
    <w:p w14:paraId="0C8BAAA9" w14:textId="77777777" w:rsidR="003338FC" w:rsidRPr="00DD7B93" w:rsidRDefault="003338FC" w:rsidP="003338FC">
      <w:pPr>
        <w:pStyle w:val="MeasureList"/>
      </w:pPr>
      <w:r w:rsidRPr="00DD7B93">
        <w:tab/>
        <w:t>General-0011</w:t>
      </w:r>
      <w:r w:rsidRPr="00DD7B93">
        <w:tab/>
        <w:t>Type of Plan (Post Balanced Budget Amendment Naming)</w:t>
      </w:r>
    </w:p>
    <w:p w14:paraId="651EDD8C" w14:textId="77777777" w:rsidR="003338FC" w:rsidRPr="00DD7B93" w:rsidRDefault="003338FC" w:rsidP="003338FC">
      <w:pPr>
        <w:pStyle w:val="MeasureList"/>
      </w:pPr>
      <w:r w:rsidRPr="00DD7B93">
        <w:tab/>
        <w:t>General-0014</w:t>
      </w:r>
      <w:r w:rsidRPr="00DD7B93">
        <w:tab/>
        <w:t>Offers Special Needs Plans to beneficiaries (Yes or No)</w:t>
      </w:r>
    </w:p>
    <w:p w14:paraId="6C2640FD" w14:textId="77777777" w:rsidR="003338FC" w:rsidRPr="00DD7B93" w:rsidRDefault="003338FC" w:rsidP="003338FC">
      <w:pPr>
        <w:pStyle w:val="MeasureList"/>
      </w:pPr>
      <w:r w:rsidRPr="00DD7B93">
        <w:tab/>
        <w:t>General-0015</w:t>
      </w:r>
      <w:r w:rsidRPr="00DD7B93">
        <w:tab/>
        <w:t>Offers Part D benefits (Yes or No)</w:t>
      </w:r>
    </w:p>
    <w:p w14:paraId="129810CA" w14:textId="77777777" w:rsidR="003338FC" w:rsidRPr="00DD7B93" w:rsidRDefault="003338FC" w:rsidP="003338FC">
      <w:pPr>
        <w:pStyle w:val="MeasureList"/>
      </w:pPr>
      <w:r w:rsidRPr="00DD7B93">
        <w:tab/>
        <w:t>General-0020</w:t>
      </w:r>
      <w:r w:rsidRPr="00DD7B93">
        <w:tab/>
        <w:t>Line of Business (HMO, POS, etc.)</w:t>
      </w:r>
    </w:p>
    <w:p w14:paraId="6EC8D7FE" w14:textId="053148DA" w:rsidR="003338FC" w:rsidRPr="00DD7B93" w:rsidRDefault="003338FC" w:rsidP="003338FC">
      <w:pPr>
        <w:pStyle w:val="MeasureList"/>
      </w:pPr>
      <w:r w:rsidRPr="00DD7B93">
        <w:tab/>
        <w:t>General-0050</w:t>
      </w:r>
      <w:r w:rsidRPr="00DD7B93">
        <w:tab/>
        <w:t>12/20</w:t>
      </w:r>
      <w:r w:rsidR="00782ABB">
        <w:t>20</w:t>
      </w:r>
      <w:r w:rsidRPr="00DD7B93">
        <w:t xml:space="preserve"> Enrollment as reported by the Medicare Advantage Prescription Drug (</w:t>
      </w:r>
      <w:proofErr w:type="spellStart"/>
      <w:r w:rsidRPr="00DD7B93">
        <w:t>MARx</w:t>
      </w:r>
      <w:proofErr w:type="spellEnd"/>
      <w:r w:rsidRPr="00DD7B93">
        <w:t>) system</w:t>
      </w:r>
    </w:p>
    <w:p w14:paraId="2A131779" w14:textId="77777777" w:rsidR="003338FC" w:rsidRPr="00DD7B93" w:rsidRDefault="003338FC" w:rsidP="003338FC">
      <w:pPr>
        <w:pStyle w:val="MeasureList"/>
      </w:pPr>
      <w:r w:rsidRPr="00DD7B93">
        <w:tab/>
        <w:t>General-0060</w:t>
      </w:r>
      <w:r w:rsidRPr="00DD7B93">
        <w:tab/>
        <w:t>CMS Region Number</w:t>
      </w:r>
    </w:p>
    <w:p w14:paraId="39783B86" w14:textId="77777777" w:rsidR="003338FC" w:rsidRPr="00DD7B93" w:rsidRDefault="003338FC" w:rsidP="003338FC">
      <w:pPr>
        <w:pStyle w:val="MeasureList"/>
      </w:pPr>
      <w:r w:rsidRPr="00DD7B93">
        <w:tab/>
        <w:t>General-0070</w:t>
      </w:r>
      <w:r w:rsidRPr="00DD7B93">
        <w:tab/>
        <w:t>CMS Region Name</w:t>
      </w:r>
    </w:p>
    <w:p w14:paraId="549050DB" w14:textId="77777777" w:rsidR="003338FC" w:rsidRPr="00DD7B93" w:rsidRDefault="003338FC" w:rsidP="003338FC">
      <w:pPr>
        <w:pStyle w:val="MeasureList"/>
      </w:pPr>
      <w:r w:rsidRPr="00DD7B93">
        <w:tab/>
        <w:t>General-0080</w:t>
      </w:r>
      <w:r w:rsidRPr="00DD7B93">
        <w:tab/>
        <w:t>Patient Population</w:t>
      </w:r>
    </w:p>
    <w:p w14:paraId="3F7ABED8" w14:textId="77777777" w:rsidR="003338FC" w:rsidRPr="00DD7B93" w:rsidRDefault="003338FC" w:rsidP="003338FC">
      <w:pPr>
        <w:pStyle w:val="MeasureList"/>
      </w:pPr>
      <w:r w:rsidRPr="00DD7B93">
        <w:tab/>
        <w:t>General-0085</w:t>
      </w:r>
      <w:r w:rsidRPr="00DD7B93">
        <w:tab/>
        <w:t>Submitted summary level HEDIS 2008 data to NCQA</w:t>
      </w:r>
    </w:p>
    <w:p w14:paraId="62F843C7" w14:textId="77777777" w:rsidR="003338FC" w:rsidRPr="00DD7B93" w:rsidRDefault="003338FC" w:rsidP="003338FC">
      <w:pPr>
        <w:pStyle w:val="MeasureList"/>
      </w:pPr>
      <w:r w:rsidRPr="00DD7B93">
        <w:tab/>
        <w:t>General-0087</w:t>
      </w:r>
      <w:r w:rsidRPr="00DD7B93">
        <w:tab/>
        <w:t>Included in HOS data from NCQA</w:t>
      </w:r>
    </w:p>
    <w:p w14:paraId="694D04EE" w14:textId="77777777" w:rsidR="003338FC" w:rsidRPr="00DD7B93" w:rsidRDefault="003338FC" w:rsidP="003338FC">
      <w:pPr>
        <w:pStyle w:val="Heading4"/>
        <w:rPr>
          <w:color w:val="auto"/>
        </w:rPr>
      </w:pPr>
      <w:proofErr w:type="spellStart"/>
      <w:r w:rsidRPr="00DD7B93">
        <w:rPr>
          <w:color w:val="auto"/>
        </w:rPr>
        <w:t>Service_Area</w:t>
      </w:r>
      <w:proofErr w:type="spellEnd"/>
      <w:r w:rsidRPr="00DD7B93">
        <w:rPr>
          <w:color w:val="auto"/>
        </w:rPr>
        <w:t xml:space="preserve"> - Contract Service Area</w:t>
      </w:r>
    </w:p>
    <w:p w14:paraId="4AC2FDEB" w14:textId="4D8DFAEB" w:rsidR="003338FC" w:rsidRPr="00DD7B93" w:rsidRDefault="003338FC" w:rsidP="003338FC">
      <w:pPr>
        <w:pStyle w:val="Description"/>
      </w:pPr>
      <w:r w:rsidRPr="00DD7B93">
        <w:tab/>
        <w:t>DESCRIPTION - The area where the contrac</w:t>
      </w:r>
      <w:r w:rsidR="009D4EC5">
        <w:t>t provides services to Medicare</w:t>
      </w:r>
      <w:r w:rsidRPr="00DD7B93">
        <w:t xml:space="preserve"> beneficiaries. This data comes from the Health Plan Management System (HPMS) as reported by the contract.</w:t>
      </w:r>
    </w:p>
    <w:p w14:paraId="359409F2" w14:textId="77777777" w:rsidR="003338FC" w:rsidRPr="00DD7B93" w:rsidRDefault="003338FC" w:rsidP="003338FC">
      <w:pPr>
        <w:pStyle w:val="Heading5"/>
      </w:pPr>
      <w:r w:rsidRPr="00DD7B93">
        <w:tab/>
        <w:t>REPORTING LEVEL - N/A</w:t>
      </w:r>
    </w:p>
    <w:p w14:paraId="0B4E6022" w14:textId="77777777" w:rsidR="003338FC" w:rsidRPr="00DD7B93" w:rsidRDefault="003338FC" w:rsidP="003338FC">
      <w:pPr>
        <w:pStyle w:val="MeasureList"/>
      </w:pPr>
      <w:r w:rsidRPr="00DD7B93">
        <w:tab/>
        <w:t>SA-0030</w:t>
      </w:r>
      <w:r w:rsidRPr="00DD7B93">
        <w:tab/>
        <w:t>Social Security Administration (SSA) State/County Code</w:t>
      </w:r>
    </w:p>
    <w:p w14:paraId="58CABC4F" w14:textId="77777777" w:rsidR="003338FC" w:rsidRPr="00DD7B93" w:rsidRDefault="003338FC" w:rsidP="003338FC">
      <w:pPr>
        <w:pStyle w:val="MeasureList"/>
      </w:pPr>
      <w:r w:rsidRPr="00DD7B93">
        <w:tab/>
        <w:t>SA-0040</w:t>
      </w:r>
      <w:r w:rsidRPr="00DD7B93">
        <w:tab/>
        <w:t>American National Standards Institute (ANSI) State/County Code INCITS 31-2009 (formerly Federal Information Processing Standard [FIPS] State/County codes)</w:t>
      </w:r>
    </w:p>
    <w:p w14:paraId="74A7193C" w14:textId="77777777" w:rsidR="003338FC" w:rsidRPr="00DD7B93" w:rsidRDefault="003338FC" w:rsidP="003338FC">
      <w:pPr>
        <w:pStyle w:val="MeasureList"/>
      </w:pPr>
      <w:r w:rsidRPr="00DD7B93">
        <w:tab/>
        <w:t>SA-0050</w:t>
      </w:r>
      <w:r w:rsidRPr="00DD7B93">
        <w:tab/>
        <w:t>State Abbreviation (United States Postal Service (USPS) State Code)</w:t>
      </w:r>
    </w:p>
    <w:p w14:paraId="497FFA46" w14:textId="77777777" w:rsidR="003338FC" w:rsidRPr="00DD7B93" w:rsidRDefault="003338FC" w:rsidP="003338FC">
      <w:pPr>
        <w:pStyle w:val="MeasureList"/>
      </w:pPr>
      <w:r w:rsidRPr="00DD7B93">
        <w:tab/>
        <w:t>SA-0060</w:t>
      </w:r>
      <w:r w:rsidRPr="00DD7B93">
        <w:tab/>
        <w:t>County Name</w:t>
      </w:r>
    </w:p>
    <w:p w14:paraId="4DB1236C" w14:textId="77777777" w:rsidR="003338FC" w:rsidRPr="00DD7B93" w:rsidRDefault="003338FC" w:rsidP="003338FC">
      <w:pPr>
        <w:pStyle w:val="MeasureList"/>
      </w:pPr>
      <w:r w:rsidRPr="00DD7B93">
        <w:tab/>
        <w:t>SA-0070</w:t>
      </w:r>
      <w:r w:rsidRPr="00DD7B93">
        <w:tab/>
        <w:t>County serves only beneficiaries in an Employer Group Health Plan (Y = Yes, N = No)</w:t>
      </w:r>
    </w:p>
    <w:p w14:paraId="1FA8D7D4" w14:textId="77777777" w:rsidR="003338FC" w:rsidRPr="00DD7B93" w:rsidRDefault="003338FC" w:rsidP="003338FC">
      <w:pPr>
        <w:pStyle w:val="Heading4"/>
        <w:rPr>
          <w:color w:val="auto"/>
        </w:rPr>
      </w:pPr>
      <w:proofErr w:type="spellStart"/>
      <w:r w:rsidRPr="00DD7B93">
        <w:rPr>
          <w:color w:val="auto"/>
        </w:rPr>
        <w:t>National_Rates</w:t>
      </w:r>
      <w:proofErr w:type="spellEnd"/>
      <w:r w:rsidRPr="00DD7B93">
        <w:rPr>
          <w:color w:val="auto"/>
        </w:rPr>
        <w:t xml:space="preserve"> - National Rates</w:t>
      </w:r>
    </w:p>
    <w:p w14:paraId="2B6CA194" w14:textId="77777777" w:rsidR="003338FC" w:rsidRPr="00DD7B93" w:rsidRDefault="003338FC" w:rsidP="003338FC">
      <w:pPr>
        <w:pStyle w:val="Description"/>
      </w:pPr>
      <w:r w:rsidRPr="00DD7B93">
        <w:tab/>
        <w:t>CMS has calculated and included a weighted National average for all of the Effectiveness of Care (EOC) measures. These rates are reported on a separate sheet called "National Rates" in the HEDIS Workbook. The rate for each of the EOC measures was calculated using the following formula:</w:t>
      </w:r>
    </w:p>
    <w:p w14:paraId="017F8223" w14:textId="77777777" w:rsidR="003338FC" w:rsidRPr="00DD7B93" w:rsidRDefault="003338FC" w:rsidP="003338FC">
      <w:pPr>
        <w:pStyle w:val="Description"/>
      </w:pPr>
      <w:r w:rsidRPr="00DD7B93">
        <w:tab/>
      </w:r>
    </w:p>
    <w:p w14:paraId="13B02440" w14:textId="77777777" w:rsidR="003338FC" w:rsidRPr="00DD7B93" w:rsidRDefault="003338FC" w:rsidP="003338FC">
      <w:pPr>
        <w:pStyle w:val="Description"/>
      </w:pPr>
      <w:r w:rsidRPr="00DD7B93">
        <w:tab/>
        <w:t>((En1/</w:t>
      </w:r>
      <w:proofErr w:type="spellStart"/>
      <w:proofErr w:type="gramStart"/>
      <w:r w:rsidRPr="00DD7B93">
        <w:t>TotE</w:t>
      </w:r>
      <w:proofErr w:type="spellEnd"/>
      <w:r w:rsidRPr="00DD7B93">
        <w:t>)*</w:t>
      </w:r>
      <w:proofErr w:type="gramEnd"/>
      <w:r w:rsidRPr="00DD7B93">
        <w:t>Sn1)+((En2/</w:t>
      </w:r>
      <w:proofErr w:type="spellStart"/>
      <w:r w:rsidRPr="00DD7B93">
        <w:t>TotE</w:t>
      </w:r>
      <w:proofErr w:type="spellEnd"/>
      <w:r w:rsidRPr="00DD7B93">
        <w:t>)*Sn2)+...+((</w:t>
      </w:r>
      <w:proofErr w:type="spellStart"/>
      <w:r w:rsidRPr="00DD7B93">
        <w:t>Enx</w:t>
      </w:r>
      <w:proofErr w:type="spellEnd"/>
      <w:r w:rsidRPr="00DD7B93">
        <w:t>/</w:t>
      </w:r>
      <w:proofErr w:type="spellStart"/>
      <w:r w:rsidRPr="00DD7B93">
        <w:t>TotE</w:t>
      </w:r>
      <w:proofErr w:type="spellEnd"/>
      <w:r w:rsidRPr="00DD7B93">
        <w:t>)*</w:t>
      </w:r>
      <w:proofErr w:type="spellStart"/>
      <w:r w:rsidRPr="00DD7B93">
        <w:t>Snx</w:t>
      </w:r>
      <w:proofErr w:type="spellEnd"/>
      <w:r w:rsidRPr="00DD7B93">
        <w:t>)=National Weighted Average Score</w:t>
      </w:r>
    </w:p>
    <w:p w14:paraId="676B732E" w14:textId="77777777" w:rsidR="003338FC" w:rsidRPr="00DD7B93" w:rsidRDefault="003338FC" w:rsidP="003338FC">
      <w:pPr>
        <w:pStyle w:val="Description"/>
      </w:pPr>
      <w:r w:rsidRPr="00DD7B93">
        <w:tab/>
      </w:r>
    </w:p>
    <w:p w14:paraId="202E9F71" w14:textId="77777777" w:rsidR="003338FC" w:rsidRPr="00DD7B93" w:rsidRDefault="003338FC" w:rsidP="003338FC">
      <w:pPr>
        <w:pStyle w:val="Description"/>
      </w:pPr>
      <w:r w:rsidRPr="00DD7B93">
        <w:tab/>
        <w:t>Where:</w:t>
      </w:r>
    </w:p>
    <w:p w14:paraId="37A76740" w14:textId="77777777" w:rsidR="003338FC" w:rsidRPr="00DD7B93" w:rsidRDefault="003338FC" w:rsidP="003338FC">
      <w:pPr>
        <w:pStyle w:val="Description"/>
      </w:pPr>
      <w:r w:rsidRPr="00DD7B93">
        <w:tab/>
      </w:r>
      <w:proofErr w:type="spellStart"/>
      <w:r w:rsidRPr="00DD7B93">
        <w:t>TotE</w:t>
      </w:r>
      <w:proofErr w:type="spellEnd"/>
      <w:r w:rsidRPr="00DD7B93">
        <w:t xml:space="preserve"> = Total enrollment for all contracts with a valid numeric rate in the measure</w:t>
      </w:r>
    </w:p>
    <w:p w14:paraId="2C30DABE" w14:textId="77777777" w:rsidR="003338FC" w:rsidRPr="00DD7B93" w:rsidRDefault="003338FC" w:rsidP="003338FC">
      <w:pPr>
        <w:pStyle w:val="Description"/>
      </w:pPr>
      <w:r w:rsidRPr="00DD7B93">
        <w:tab/>
        <w:t>En</w:t>
      </w:r>
      <w:r w:rsidRPr="00E23F15">
        <w:rPr>
          <w:vertAlign w:val="subscript"/>
        </w:rPr>
        <w:t>1</w:t>
      </w:r>
      <w:r w:rsidRPr="00DD7B93">
        <w:t xml:space="preserve"> = Enrollment in the first contract with a valid numeric rate</w:t>
      </w:r>
    </w:p>
    <w:p w14:paraId="6944725A" w14:textId="77777777" w:rsidR="003338FC" w:rsidRPr="00DD7B93" w:rsidRDefault="003338FC" w:rsidP="003338FC">
      <w:pPr>
        <w:pStyle w:val="Description"/>
      </w:pPr>
      <w:r w:rsidRPr="00DD7B93">
        <w:tab/>
        <w:t>Sn</w:t>
      </w:r>
      <w:r w:rsidRPr="00E23F15">
        <w:rPr>
          <w:vertAlign w:val="subscript"/>
        </w:rPr>
        <w:t>1</w:t>
      </w:r>
      <w:r w:rsidRPr="00DD7B93">
        <w:t xml:space="preserve"> = Reported rate for the first contract with a valid numeric rate</w:t>
      </w:r>
    </w:p>
    <w:p w14:paraId="01E3E3E8" w14:textId="77777777" w:rsidR="003338FC" w:rsidRPr="00DD7B93" w:rsidRDefault="003338FC" w:rsidP="003338FC">
      <w:pPr>
        <w:pStyle w:val="Description"/>
      </w:pPr>
      <w:r w:rsidRPr="00DD7B93">
        <w:tab/>
      </w:r>
      <w:proofErr w:type="spellStart"/>
      <w:r w:rsidRPr="00DD7B93">
        <w:t>En</w:t>
      </w:r>
      <w:r w:rsidRPr="00E23F15">
        <w:rPr>
          <w:vertAlign w:val="subscript"/>
        </w:rPr>
        <w:t>x</w:t>
      </w:r>
      <w:proofErr w:type="spellEnd"/>
      <w:r w:rsidRPr="00DD7B93">
        <w:t xml:space="preserve"> = Enrollment in the last contract with a valid numeric rate</w:t>
      </w:r>
    </w:p>
    <w:p w14:paraId="1EAADC67" w14:textId="77777777" w:rsidR="003338FC" w:rsidRPr="00DD7B93" w:rsidRDefault="003338FC" w:rsidP="003338FC">
      <w:pPr>
        <w:pStyle w:val="Description"/>
      </w:pPr>
      <w:r w:rsidRPr="00DD7B93">
        <w:tab/>
      </w:r>
      <w:proofErr w:type="spellStart"/>
      <w:r w:rsidRPr="00DD7B93">
        <w:t>Sn</w:t>
      </w:r>
      <w:r w:rsidRPr="00E23F15">
        <w:rPr>
          <w:vertAlign w:val="subscript"/>
        </w:rPr>
        <w:t>x</w:t>
      </w:r>
      <w:proofErr w:type="spellEnd"/>
      <w:r w:rsidRPr="00DD7B93">
        <w:t xml:space="preserve"> = Reported rate for the last contract with a valid numeric rate</w:t>
      </w:r>
    </w:p>
    <w:p w14:paraId="1BD619D7" w14:textId="77777777" w:rsidR="003338FC" w:rsidRPr="00DD7B93" w:rsidRDefault="003338FC" w:rsidP="003338FC">
      <w:pPr>
        <w:pStyle w:val="Heading5"/>
      </w:pPr>
      <w:r w:rsidRPr="00DD7B93">
        <w:tab/>
        <w:t>REPORTING LEVEL - National</w:t>
      </w:r>
    </w:p>
    <w:p w14:paraId="7FA9FCFB" w14:textId="77777777" w:rsidR="003338FC" w:rsidRPr="00DD7B93" w:rsidRDefault="003338FC" w:rsidP="003338FC">
      <w:pPr>
        <w:pStyle w:val="MeasureList"/>
      </w:pPr>
      <w:r w:rsidRPr="00DD7B93">
        <w:tab/>
        <w:t>NR-0010</w:t>
      </w:r>
      <w:r w:rsidRPr="00DD7B93">
        <w:tab/>
        <w:t>The HEDIS Year of the data (the measurement year is one year prior)</w:t>
      </w:r>
    </w:p>
    <w:p w14:paraId="375B2C02" w14:textId="77777777" w:rsidR="003338FC" w:rsidRPr="00DD7B93" w:rsidRDefault="003338FC" w:rsidP="003338FC">
      <w:pPr>
        <w:pStyle w:val="MeasureList"/>
      </w:pPr>
      <w:r w:rsidRPr="00DD7B93">
        <w:tab/>
        <w:t>NR-0020</w:t>
      </w:r>
      <w:r w:rsidRPr="00DD7B93">
        <w:tab/>
        <w:t>Measure from the HEDIS Public Use File for which the national rate has been calculated</w:t>
      </w:r>
    </w:p>
    <w:p w14:paraId="3FB42843" w14:textId="77777777" w:rsidR="003338FC" w:rsidRPr="00DD7B93" w:rsidRDefault="003338FC" w:rsidP="003338FC">
      <w:pPr>
        <w:pStyle w:val="MeasureList"/>
      </w:pPr>
      <w:r w:rsidRPr="00DD7B93">
        <w:tab/>
        <w:t>NR-0030</w:t>
      </w:r>
      <w:r w:rsidRPr="00DD7B93">
        <w:tab/>
        <w:t>Field from the HEDIS Public Use File for which the national rate has been calculated</w:t>
      </w:r>
    </w:p>
    <w:p w14:paraId="7D795C84" w14:textId="77777777" w:rsidR="00D744BE" w:rsidRPr="00DD7B93" w:rsidRDefault="00D744BE" w:rsidP="003338FC">
      <w:pPr>
        <w:pStyle w:val="MeasureList"/>
      </w:pPr>
      <w:r w:rsidRPr="00DD7B93">
        <w:tab/>
        <w:t>NR-0040</w:t>
      </w:r>
      <w:r w:rsidRPr="00DD7B93">
        <w:tab/>
        <w:t>Indicator key from the HEDIS Public Use File for which the national rate has been calculated</w:t>
      </w:r>
    </w:p>
    <w:p w14:paraId="33DF2D6A" w14:textId="77777777" w:rsidR="003338FC" w:rsidRPr="00DD7B93" w:rsidRDefault="003338FC" w:rsidP="003338FC">
      <w:pPr>
        <w:pStyle w:val="MeasureList"/>
      </w:pPr>
      <w:r w:rsidRPr="00DD7B93">
        <w:tab/>
        <w:t>NR-00</w:t>
      </w:r>
      <w:r w:rsidR="00D744BE" w:rsidRPr="00DD7B93">
        <w:t>5</w:t>
      </w:r>
      <w:r w:rsidRPr="00DD7B93">
        <w:t>0</w:t>
      </w:r>
      <w:r w:rsidRPr="00DD7B93">
        <w:tab/>
        <w:t>The National Rate for this measure and field</w:t>
      </w:r>
    </w:p>
    <w:p w14:paraId="13DDFFEC" w14:textId="77777777" w:rsidR="003338FC" w:rsidRPr="00DD7B93" w:rsidRDefault="003338FC" w:rsidP="003338FC">
      <w:pPr>
        <w:pStyle w:val="MeasureList"/>
      </w:pPr>
      <w:r w:rsidRPr="00DD7B93">
        <w:tab/>
        <w:t>NR-00</w:t>
      </w:r>
      <w:r w:rsidR="00D744BE" w:rsidRPr="00DD7B93">
        <w:t>6</w:t>
      </w:r>
      <w:r w:rsidRPr="00DD7B93">
        <w:t>0</w:t>
      </w:r>
      <w:r w:rsidRPr="00DD7B93">
        <w:tab/>
        <w:t>The number of contracts that submitted a numeric HEDIS rate for this measure and field</w:t>
      </w:r>
    </w:p>
    <w:p w14:paraId="46AFADFE" w14:textId="77777777" w:rsidR="003338FC" w:rsidRPr="00DD7B93" w:rsidRDefault="003338FC" w:rsidP="003338FC">
      <w:pPr>
        <w:pStyle w:val="MeasureList"/>
      </w:pPr>
      <w:r w:rsidRPr="00DD7B93">
        <w:tab/>
        <w:t>NR-00</w:t>
      </w:r>
      <w:r w:rsidR="00D744BE" w:rsidRPr="00DD7B93">
        <w:t>7</w:t>
      </w:r>
      <w:r w:rsidRPr="00DD7B93">
        <w:t>0</w:t>
      </w:r>
      <w:r w:rsidRPr="00DD7B93">
        <w:tab/>
        <w:t>The total number of enrollees in the contracts that submitted a numeric HEDIS rate for this measure and field</w:t>
      </w:r>
    </w:p>
    <w:p w14:paraId="5CB2B806" w14:textId="77777777" w:rsidR="000C360F" w:rsidRPr="00DD7B93" w:rsidRDefault="000C360F">
      <w:pPr>
        <w:spacing w:line="276" w:lineRule="auto"/>
        <w:rPr>
          <w:rFonts w:cs="Times New Roman"/>
          <w:b/>
          <w:i/>
          <w:iCs/>
        </w:rPr>
      </w:pPr>
      <w:r w:rsidRPr="00DD7B93">
        <w:br w:type="page"/>
      </w:r>
    </w:p>
    <w:p w14:paraId="4F4A9459" w14:textId="448FEA95" w:rsidR="00D744BE" w:rsidRPr="00DD7B93" w:rsidRDefault="00D744BE" w:rsidP="003338FC">
      <w:pPr>
        <w:pStyle w:val="Heading4"/>
        <w:rPr>
          <w:color w:val="auto"/>
        </w:rPr>
      </w:pPr>
      <w:proofErr w:type="spellStart"/>
      <w:r w:rsidRPr="00DD7B93">
        <w:rPr>
          <w:color w:val="auto"/>
        </w:rPr>
        <w:lastRenderedPageBreak/>
        <w:t>HEDIS_Measures</w:t>
      </w:r>
      <w:proofErr w:type="spellEnd"/>
      <w:r w:rsidR="00D87DAC">
        <w:rPr>
          <w:color w:val="auto"/>
        </w:rPr>
        <w:t xml:space="preserve"> and </w:t>
      </w:r>
      <w:proofErr w:type="spellStart"/>
      <w:r w:rsidR="00D87DAC">
        <w:rPr>
          <w:color w:val="auto"/>
        </w:rPr>
        <w:t>HEDIS_</w:t>
      </w:r>
      <w:r w:rsidR="00F24FB1">
        <w:rPr>
          <w:color w:val="auto"/>
        </w:rPr>
        <w:t>RAU_Measures</w:t>
      </w:r>
      <w:proofErr w:type="spellEnd"/>
      <w:r w:rsidRPr="00DD7B93">
        <w:rPr>
          <w:color w:val="auto"/>
        </w:rPr>
        <w:t xml:space="preserve"> – HEDIS Public Use Measures</w:t>
      </w:r>
    </w:p>
    <w:p w14:paraId="5DBB2AB0" w14:textId="77777777" w:rsidR="00F24FB1" w:rsidRDefault="00D744BE" w:rsidP="003338FC">
      <w:pPr>
        <w:pStyle w:val="Heading4"/>
        <w:rPr>
          <w:rFonts w:cs="Arial"/>
          <w:b w:val="0"/>
          <w:i w:val="0"/>
          <w:iCs w:val="0"/>
          <w:color w:val="auto"/>
          <w:sz w:val="18"/>
          <w:szCs w:val="24"/>
        </w:rPr>
      </w:pPr>
      <w:r w:rsidRPr="00DD7B93">
        <w:rPr>
          <w:rFonts w:cs="Arial"/>
          <w:b w:val="0"/>
          <w:i w:val="0"/>
          <w:iCs w:val="0"/>
          <w:color w:val="auto"/>
          <w:sz w:val="18"/>
          <w:szCs w:val="24"/>
        </w:rPr>
        <w:t>Th</w:t>
      </w:r>
      <w:r w:rsidRPr="009D4EC5">
        <w:rPr>
          <w:rFonts w:cs="Arial"/>
          <w:b w:val="0"/>
          <w:i w:val="0"/>
          <w:iCs w:val="0"/>
          <w:color w:val="auto"/>
          <w:sz w:val="18"/>
          <w:szCs w:val="24"/>
        </w:rPr>
        <w:t xml:space="preserve">e </w:t>
      </w:r>
      <w:r w:rsidRPr="009D4EC5">
        <w:rPr>
          <w:rFonts w:cs="Arial"/>
          <w:b w:val="0"/>
          <w:iCs w:val="0"/>
          <w:color w:val="auto"/>
          <w:sz w:val="18"/>
          <w:szCs w:val="24"/>
        </w:rPr>
        <w:t>MADictionary</w:t>
      </w:r>
      <w:r w:rsidR="002F44DF">
        <w:rPr>
          <w:rFonts w:cs="Arial"/>
          <w:b w:val="0"/>
          <w:iCs w:val="0"/>
          <w:color w:val="auto"/>
          <w:sz w:val="18"/>
          <w:szCs w:val="24"/>
        </w:rPr>
        <w:t>2021</w:t>
      </w:r>
      <w:r w:rsidRPr="009D4EC5">
        <w:rPr>
          <w:rFonts w:cs="Arial"/>
          <w:b w:val="0"/>
          <w:iCs w:val="0"/>
          <w:color w:val="auto"/>
          <w:sz w:val="18"/>
          <w:szCs w:val="24"/>
        </w:rPr>
        <w:t>.xlsx</w:t>
      </w:r>
      <w:r w:rsidRPr="009D4EC5">
        <w:rPr>
          <w:rFonts w:cs="Arial"/>
          <w:b w:val="0"/>
          <w:i w:val="0"/>
          <w:iCs w:val="0"/>
          <w:color w:val="auto"/>
          <w:sz w:val="18"/>
          <w:szCs w:val="24"/>
        </w:rPr>
        <w:t xml:space="preserve"> fil</w:t>
      </w:r>
      <w:r w:rsidRPr="00DD7B93">
        <w:rPr>
          <w:rFonts w:cs="Arial"/>
          <w:b w:val="0"/>
          <w:i w:val="0"/>
          <w:iCs w:val="0"/>
          <w:color w:val="auto"/>
          <w:sz w:val="18"/>
          <w:szCs w:val="24"/>
        </w:rPr>
        <w:t xml:space="preserve">e is the data dictionary for the data in the </w:t>
      </w:r>
      <w:proofErr w:type="spellStart"/>
      <w:r w:rsidRPr="00DD7B93">
        <w:rPr>
          <w:rFonts w:cs="Arial"/>
          <w:b w:val="0"/>
          <w:i w:val="0"/>
          <w:iCs w:val="0"/>
          <w:color w:val="auto"/>
          <w:sz w:val="18"/>
          <w:szCs w:val="24"/>
        </w:rPr>
        <w:t>HEDIS_Measures</w:t>
      </w:r>
      <w:proofErr w:type="spellEnd"/>
      <w:r w:rsidR="00F24FB1">
        <w:rPr>
          <w:rFonts w:cs="Arial"/>
          <w:b w:val="0"/>
          <w:i w:val="0"/>
          <w:iCs w:val="0"/>
          <w:color w:val="auto"/>
          <w:sz w:val="18"/>
          <w:szCs w:val="24"/>
        </w:rPr>
        <w:t xml:space="preserve"> and </w:t>
      </w:r>
      <w:proofErr w:type="spellStart"/>
      <w:r w:rsidR="00F24FB1">
        <w:rPr>
          <w:rFonts w:cs="Arial"/>
          <w:b w:val="0"/>
          <w:i w:val="0"/>
          <w:iCs w:val="0"/>
          <w:color w:val="auto"/>
          <w:sz w:val="18"/>
          <w:szCs w:val="24"/>
        </w:rPr>
        <w:t>HEDIS_RAU_Measures</w:t>
      </w:r>
      <w:proofErr w:type="spellEnd"/>
      <w:r w:rsidRPr="00DD7B93">
        <w:rPr>
          <w:rFonts w:cs="Arial"/>
          <w:b w:val="0"/>
          <w:i w:val="0"/>
          <w:iCs w:val="0"/>
          <w:color w:val="auto"/>
          <w:sz w:val="18"/>
          <w:szCs w:val="24"/>
        </w:rPr>
        <w:t xml:space="preserve"> tab.  The data dictionary can be linked to the </w:t>
      </w:r>
      <w:proofErr w:type="spellStart"/>
      <w:r w:rsidRPr="00DD7B93">
        <w:rPr>
          <w:rFonts w:cs="Arial"/>
          <w:b w:val="0"/>
          <w:i w:val="0"/>
          <w:iCs w:val="0"/>
          <w:color w:val="auto"/>
          <w:sz w:val="18"/>
          <w:szCs w:val="24"/>
        </w:rPr>
        <w:t>HEDIS_measures</w:t>
      </w:r>
      <w:proofErr w:type="spellEnd"/>
      <w:r w:rsidRPr="00DD7B93">
        <w:rPr>
          <w:rFonts w:cs="Arial"/>
          <w:b w:val="0"/>
          <w:i w:val="0"/>
          <w:iCs w:val="0"/>
          <w:color w:val="auto"/>
          <w:sz w:val="18"/>
          <w:szCs w:val="24"/>
        </w:rPr>
        <w:t xml:space="preserve"> data using the </w:t>
      </w:r>
      <w:proofErr w:type="spellStart"/>
      <w:r w:rsidRPr="00DD7B93">
        <w:rPr>
          <w:rFonts w:cs="Arial"/>
          <w:b w:val="0"/>
          <w:i w:val="0"/>
          <w:iCs w:val="0"/>
          <w:color w:val="auto"/>
          <w:sz w:val="18"/>
          <w:szCs w:val="24"/>
        </w:rPr>
        <w:t>indicatorkey</w:t>
      </w:r>
      <w:proofErr w:type="spellEnd"/>
      <w:r w:rsidRPr="00DD7B93">
        <w:rPr>
          <w:rFonts w:cs="Arial"/>
          <w:b w:val="0"/>
          <w:i w:val="0"/>
          <w:iCs w:val="0"/>
          <w:color w:val="auto"/>
          <w:sz w:val="18"/>
          <w:szCs w:val="24"/>
        </w:rPr>
        <w:t xml:space="preserve"> field.  The data dictionary provides a description of the data contained in each field for a given measure.  For example, </w:t>
      </w:r>
      <w:r w:rsidR="004F572C" w:rsidRPr="00DD7B93">
        <w:rPr>
          <w:rFonts w:cs="Arial"/>
          <w:b w:val="0"/>
          <w:i w:val="0"/>
          <w:iCs w:val="0"/>
          <w:color w:val="auto"/>
          <w:sz w:val="18"/>
          <w:szCs w:val="24"/>
        </w:rPr>
        <w:t xml:space="preserve">the data dictionary indicates the rate field associated with </w:t>
      </w:r>
      <w:proofErr w:type="spellStart"/>
      <w:r w:rsidR="004F572C" w:rsidRPr="00DD7B93">
        <w:rPr>
          <w:rFonts w:cs="Arial"/>
          <w:b w:val="0"/>
          <w:i w:val="0"/>
          <w:iCs w:val="0"/>
          <w:color w:val="auto"/>
          <w:sz w:val="18"/>
          <w:szCs w:val="24"/>
        </w:rPr>
        <w:t>indicatorkey</w:t>
      </w:r>
      <w:proofErr w:type="spellEnd"/>
      <w:r w:rsidR="004F572C" w:rsidRPr="00DD7B93">
        <w:rPr>
          <w:rFonts w:cs="Arial"/>
          <w:b w:val="0"/>
          <w:i w:val="0"/>
          <w:iCs w:val="0"/>
          <w:color w:val="auto"/>
          <w:sz w:val="18"/>
          <w:szCs w:val="24"/>
        </w:rPr>
        <w:t xml:space="preserve"> 200694_20</w:t>
      </w:r>
      <w:r w:rsidR="00810EDA">
        <w:rPr>
          <w:rFonts w:cs="Arial"/>
          <w:b w:val="0"/>
          <w:i w:val="0"/>
          <w:iCs w:val="0"/>
          <w:color w:val="auto"/>
          <w:sz w:val="18"/>
          <w:szCs w:val="24"/>
        </w:rPr>
        <w:t>, which</w:t>
      </w:r>
      <w:r w:rsidR="004F572C" w:rsidRPr="00DD7B93">
        <w:rPr>
          <w:rFonts w:cs="Arial"/>
          <w:b w:val="0"/>
          <w:i w:val="0"/>
          <w:iCs w:val="0"/>
          <w:color w:val="auto"/>
          <w:sz w:val="18"/>
          <w:szCs w:val="24"/>
        </w:rPr>
        <w:t xml:space="preserve"> contains the total rate for the Breast Cancer Screening (BCS) measure.</w:t>
      </w:r>
      <w:r w:rsidR="004F704D">
        <w:rPr>
          <w:rFonts w:cs="Arial"/>
          <w:b w:val="0"/>
          <w:i w:val="0"/>
          <w:iCs w:val="0"/>
          <w:color w:val="auto"/>
          <w:sz w:val="18"/>
          <w:szCs w:val="24"/>
        </w:rPr>
        <w:t xml:space="preserve">  </w:t>
      </w:r>
    </w:p>
    <w:p w14:paraId="7B29EFD2" w14:textId="5466D49C" w:rsidR="00D744BE" w:rsidRPr="00DD7B93" w:rsidRDefault="004F704D" w:rsidP="003338FC">
      <w:pPr>
        <w:pStyle w:val="Heading4"/>
        <w:rPr>
          <w:rFonts w:cs="Arial"/>
          <w:b w:val="0"/>
          <w:i w:val="0"/>
          <w:iCs w:val="0"/>
          <w:color w:val="auto"/>
          <w:sz w:val="18"/>
          <w:szCs w:val="24"/>
        </w:rPr>
      </w:pPr>
      <w:r>
        <w:rPr>
          <w:rFonts w:cs="Arial"/>
          <w:b w:val="0"/>
          <w:i w:val="0"/>
          <w:iCs w:val="0"/>
          <w:color w:val="auto"/>
          <w:sz w:val="18"/>
          <w:szCs w:val="24"/>
        </w:rPr>
        <w:t xml:space="preserve">All measures on the </w:t>
      </w:r>
      <w:proofErr w:type="spellStart"/>
      <w:r>
        <w:rPr>
          <w:rFonts w:cs="Arial"/>
          <w:b w:val="0"/>
          <w:i w:val="0"/>
          <w:iCs w:val="0"/>
          <w:color w:val="auto"/>
          <w:sz w:val="18"/>
          <w:szCs w:val="24"/>
        </w:rPr>
        <w:t>HEDIS_Measures</w:t>
      </w:r>
      <w:proofErr w:type="spellEnd"/>
      <w:r>
        <w:rPr>
          <w:rFonts w:cs="Arial"/>
          <w:b w:val="0"/>
          <w:i w:val="0"/>
          <w:iCs w:val="0"/>
          <w:color w:val="auto"/>
          <w:sz w:val="18"/>
          <w:szCs w:val="24"/>
        </w:rPr>
        <w:t xml:space="preserve"> </w:t>
      </w:r>
      <w:r w:rsidR="00F24FB1">
        <w:rPr>
          <w:rFonts w:cs="Arial"/>
          <w:b w:val="0"/>
          <w:i w:val="0"/>
          <w:iCs w:val="0"/>
          <w:color w:val="auto"/>
          <w:sz w:val="18"/>
          <w:szCs w:val="24"/>
        </w:rPr>
        <w:t xml:space="preserve">and </w:t>
      </w:r>
      <w:proofErr w:type="spellStart"/>
      <w:r w:rsidR="00F24FB1">
        <w:rPr>
          <w:rFonts w:cs="Arial"/>
          <w:b w:val="0"/>
          <w:i w:val="0"/>
          <w:iCs w:val="0"/>
          <w:color w:val="auto"/>
          <w:sz w:val="18"/>
          <w:szCs w:val="24"/>
        </w:rPr>
        <w:t>HEDIS_RAU_Measures</w:t>
      </w:r>
      <w:proofErr w:type="spellEnd"/>
      <w:r w:rsidR="00F24FB1">
        <w:rPr>
          <w:rFonts w:cs="Arial"/>
          <w:b w:val="0"/>
          <w:i w:val="0"/>
          <w:iCs w:val="0"/>
          <w:color w:val="auto"/>
          <w:sz w:val="18"/>
          <w:szCs w:val="24"/>
        </w:rPr>
        <w:t xml:space="preserve"> </w:t>
      </w:r>
      <w:r>
        <w:rPr>
          <w:rFonts w:cs="Arial"/>
          <w:b w:val="0"/>
          <w:i w:val="0"/>
          <w:iCs w:val="0"/>
          <w:color w:val="auto"/>
          <w:sz w:val="18"/>
          <w:szCs w:val="24"/>
        </w:rPr>
        <w:t>tab</w:t>
      </w:r>
      <w:r w:rsidR="00F24FB1">
        <w:rPr>
          <w:rFonts w:cs="Arial"/>
          <w:b w:val="0"/>
          <w:i w:val="0"/>
          <w:iCs w:val="0"/>
          <w:color w:val="auto"/>
          <w:sz w:val="18"/>
          <w:szCs w:val="24"/>
        </w:rPr>
        <w:t>s</w:t>
      </w:r>
      <w:r>
        <w:rPr>
          <w:rFonts w:cs="Arial"/>
          <w:b w:val="0"/>
          <w:i w:val="0"/>
          <w:iCs w:val="0"/>
          <w:color w:val="auto"/>
          <w:sz w:val="18"/>
          <w:szCs w:val="24"/>
        </w:rPr>
        <w:t xml:space="preserve"> are reported at the contract level.</w:t>
      </w:r>
      <w:r w:rsidR="00F24FB1">
        <w:rPr>
          <w:rFonts w:cs="Arial"/>
          <w:b w:val="0"/>
          <w:i w:val="0"/>
          <w:iCs w:val="0"/>
          <w:color w:val="auto"/>
          <w:sz w:val="18"/>
          <w:szCs w:val="24"/>
        </w:rPr>
        <w:t xml:space="preserve"> The </w:t>
      </w:r>
      <w:proofErr w:type="spellStart"/>
      <w:r w:rsidR="00F24FB1">
        <w:rPr>
          <w:rFonts w:cs="Arial"/>
          <w:b w:val="0"/>
          <w:i w:val="0"/>
          <w:iCs w:val="0"/>
          <w:color w:val="auto"/>
          <w:sz w:val="18"/>
          <w:szCs w:val="24"/>
        </w:rPr>
        <w:t>HEDIS_RAU_Measures</w:t>
      </w:r>
      <w:proofErr w:type="spellEnd"/>
      <w:r w:rsidR="00F24FB1">
        <w:rPr>
          <w:rFonts w:cs="Arial"/>
          <w:b w:val="0"/>
          <w:i w:val="0"/>
          <w:iCs w:val="0"/>
          <w:color w:val="auto"/>
          <w:sz w:val="18"/>
          <w:szCs w:val="24"/>
        </w:rPr>
        <w:t xml:space="preserve"> tab contains the HEDIS risk adjusted utilization measures and the </w:t>
      </w:r>
      <w:proofErr w:type="spellStart"/>
      <w:r w:rsidR="00F24FB1">
        <w:rPr>
          <w:rFonts w:cs="Arial"/>
          <w:b w:val="0"/>
          <w:i w:val="0"/>
          <w:iCs w:val="0"/>
          <w:color w:val="auto"/>
          <w:sz w:val="18"/>
          <w:szCs w:val="24"/>
        </w:rPr>
        <w:t>HEDIS_Measures</w:t>
      </w:r>
      <w:proofErr w:type="spellEnd"/>
      <w:r w:rsidR="00F24FB1">
        <w:rPr>
          <w:rFonts w:cs="Arial"/>
          <w:b w:val="0"/>
          <w:i w:val="0"/>
          <w:iCs w:val="0"/>
          <w:color w:val="auto"/>
          <w:sz w:val="18"/>
          <w:szCs w:val="24"/>
        </w:rPr>
        <w:t xml:space="preserve"> tab contains all other measures.</w:t>
      </w:r>
    </w:p>
    <w:p w14:paraId="12E25529" w14:textId="77777777" w:rsidR="003338FC" w:rsidRPr="00DD7B93" w:rsidRDefault="003338FC" w:rsidP="003338FC">
      <w:pPr>
        <w:pStyle w:val="Heading4"/>
        <w:rPr>
          <w:i w:val="0"/>
          <w:color w:val="auto"/>
          <w:sz w:val="20"/>
          <w:szCs w:val="20"/>
        </w:rPr>
      </w:pPr>
      <w:r w:rsidRPr="00DD7B93">
        <w:rPr>
          <w:i w:val="0"/>
          <w:color w:val="auto"/>
          <w:sz w:val="20"/>
          <w:szCs w:val="20"/>
        </w:rPr>
        <w:t>A</w:t>
      </w:r>
      <w:r w:rsidR="004F572C" w:rsidRPr="00DD7B93">
        <w:rPr>
          <w:i w:val="0"/>
          <w:color w:val="auto"/>
          <w:sz w:val="20"/>
          <w:szCs w:val="20"/>
        </w:rPr>
        <w:t>AP</w:t>
      </w:r>
      <w:r w:rsidRPr="00DD7B93">
        <w:rPr>
          <w:i w:val="0"/>
          <w:color w:val="auto"/>
          <w:sz w:val="20"/>
          <w:szCs w:val="20"/>
        </w:rPr>
        <w:t xml:space="preserve"> - Adults' Access to Preventive</w:t>
      </w:r>
      <w:r w:rsidR="004F572C" w:rsidRPr="00DD7B93">
        <w:rPr>
          <w:i w:val="0"/>
          <w:color w:val="auto"/>
          <w:sz w:val="20"/>
          <w:szCs w:val="20"/>
        </w:rPr>
        <w:t>/Ambulatory Health Services</w:t>
      </w:r>
    </w:p>
    <w:p w14:paraId="0FE9C1C4" w14:textId="77777777" w:rsidR="003338FC" w:rsidRPr="00DD7B93" w:rsidRDefault="003338FC" w:rsidP="003338FC">
      <w:pPr>
        <w:pStyle w:val="Description"/>
      </w:pPr>
      <w:r w:rsidRPr="00DD7B93">
        <w:tab/>
        <w:t>DESCRIPTION - The percentage of members 20 years and older who had an ambulatory or preventive care visit. The organization reports three separate percentages for each product line.</w:t>
      </w:r>
    </w:p>
    <w:p w14:paraId="15BB34B4" w14:textId="77777777" w:rsidR="003338FC" w:rsidRPr="00DD7B93" w:rsidRDefault="003338FC" w:rsidP="003338FC">
      <w:pPr>
        <w:pStyle w:val="Description"/>
      </w:pPr>
      <w:r w:rsidRPr="00DD7B93">
        <w:tab/>
        <w:t>• Medicaid and Medicare members who had an ambulatory or preventive care visit during the measurement year.</w:t>
      </w:r>
    </w:p>
    <w:p w14:paraId="49E18F38" w14:textId="77777777" w:rsidR="003338FC" w:rsidRPr="00DD7B93" w:rsidRDefault="003338FC" w:rsidP="003338FC">
      <w:pPr>
        <w:pStyle w:val="Description"/>
      </w:pPr>
      <w:r w:rsidRPr="00DD7B93">
        <w:tab/>
        <w:t>• Commercial members who had an ambulatory or preventive care visit during the measurement year or the two years prior to the measurement year.</w:t>
      </w:r>
    </w:p>
    <w:p w14:paraId="6D40292A" w14:textId="5D110A35" w:rsidR="003338FC" w:rsidRDefault="00681C9E" w:rsidP="003338FC">
      <w:pPr>
        <w:pStyle w:val="Description"/>
      </w:pPr>
      <w:r>
        <w:tab/>
        <w:t>(</w:t>
      </w:r>
      <w:r w:rsidR="00D35EAA">
        <w:t>HEDIS Measurement Year 2020 and 2021</w:t>
      </w:r>
      <w:r w:rsidR="003338FC" w:rsidRPr="00DD7B93">
        <w:t xml:space="preserve">, Volume 2: </w:t>
      </w:r>
      <w:r>
        <w:t xml:space="preserve">Technical Specification, Pg. </w:t>
      </w:r>
      <w:r w:rsidR="00532589">
        <w:t>405</w:t>
      </w:r>
      <w:r w:rsidR="003338FC" w:rsidRPr="00DD7B93">
        <w:t>)</w:t>
      </w:r>
    </w:p>
    <w:p w14:paraId="73F2C479" w14:textId="77777777" w:rsidR="00034610" w:rsidRPr="00DD7B93" w:rsidRDefault="00034610" w:rsidP="00034610">
      <w:pPr>
        <w:pStyle w:val="Heading4"/>
        <w:rPr>
          <w:i w:val="0"/>
          <w:color w:val="auto"/>
          <w:sz w:val="20"/>
          <w:szCs w:val="20"/>
        </w:rPr>
      </w:pPr>
      <w:r w:rsidRPr="00DD7B93">
        <w:rPr>
          <w:i w:val="0"/>
          <w:color w:val="auto"/>
          <w:sz w:val="20"/>
          <w:szCs w:val="20"/>
        </w:rPr>
        <w:t>ABX - Antibiotic Utilization</w:t>
      </w:r>
    </w:p>
    <w:p w14:paraId="43685ACE" w14:textId="77777777" w:rsidR="00034610" w:rsidRPr="00DD7B93" w:rsidRDefault="00034610" w:rsidP="00034610">
      <w:pPr>
        <w:pStyle w:val="Description"/>
      </w:pPr>
      <w:r w:rsidRPr="00DD7B93">
        <w:tab/>
        <w:t>DESCRIPTION - This measure summarizes the following data on outpatient utilization of antibiotic prescriptions during the measurement year, stratified by age and gender:</w:t>
      </w:r>
    </w:p>
    <w:p w14:paraId="15706CA0" w14:textId="77777777" w:rsidR="00034610" w:rsidRPr="00DD7B93" w:rsidRDefault="00034610" w:rsidP="00034610">
      <w:pPr>
        <w:pStyle w:val="Description"/>
      </w:pPr>
      <w:r w:rsidRPr="00DD7B93">
        <w:tab/>
        <w:t>• Total number of antibiotic prescriptions.</w:t>
      </w:r>
    </w:p>
    <w:p w14:paraId="1503FD29" w14:textId="77777777" w:rsidR="00034610" w:rsidRPr="00DD7B93" w:rsidRDefault="00034610" w:rsidP="00034610">
      <w:pPr>
        <w:pStyle w:val="Description"/>
      </w:pPr>
      <w:r w:rsidRPr="00DD7B93">
        <w:tab/>
        <w:t>• Average number of antibiotic prescriptions per member per year (PMPY).</w:t>
      </w:r>
    </w:p>
    <w:p w14:paraId="5513C8DD" w14:textId="77777777" w:rsidR="00034610" w:rsidRPr="00DD7B93" w:rsidRDefault="00034610" w:rsidP="00034610">
      <w:pPr>
        <w:pStyle w:val="Description"/>
      </w:pPr>
      <w:r w:rsidRPr="00DD7B93">
        <w:tab/>
        <w:t>• Total days supplied for all antibiotic prescriptions.</w:t>
      </w:r>
    </w:p>
    <w:p w14:paraId="730D9E40" w14:textId="77777777" w:rsidR="00034610" w:rsidRPr="00DD7B93" w:rsidRDefault="00034610" w:rsidP="00034610">
      <w:pPr>
        <w:pStyle w:val="Description"/>
      </w:pPr>
      <w:r w:rsidRPr="00DD7B93">
        <w:tab/>
        <w:t>• Average days supplied per antibiotic prescription.</w:t>
      </w:r>
    </w:p>
    <w:p w14:paraId="6C7CE087" w14:textId="77777777" w:rsidR="00034610" w:rsidRPr="00DD7B93" w:rsidRDefault="00034610" w:rsidP="00034610">
      <w:pPr>
        <w:pStyle w:val="Description"/>
      </w:pPr>
      <w:r w:rsidRPr="00DD7B93">
        <w:tab/>
        <w:t>• Total number of prescriptions for antibiotics of concern.</w:t>
      </w:r>
    </w:p>
    <w:p w14:paraId="0DBE8ED0" w14:textId="77777777" w:rsidR="00034610" w:rsidRPr="00DD7B93" w:rsidRDefault="00034610" w:rsidP="00034610">
      <w:pPr>
        <w:pStyle w:val="Description"/>
      </w:pPr>
      <w:r w:rsidRPr="00DD7B93">
        <w:tab/>
        <w:t xml:space="preserve">• Average number of prescriptions PMPY for antibiotics of concern. </w:t>
      </w:r>
    </w:p>
    <w:p w14:paraId="6279671A" w14:textId="77777777" w:rsidR="00034610" w:rsidRPr="00DD7B93" w:rsidRDefault="00034610" w:rsidP="00034610">
      <w:pPr>
        <w:pStyle w:val="Description"/>
      </w:pPr>
      <w:r w:rsidRPr="00DD7B93">
        <w:tab/>
        <w:t>• Percentage of antibiotics of concern for all antibiotic prescriptions.</w:t>
      </w:r>
    </w:p>
    <w:p w14:paraId="66752A5B" w14:textId="77777777" w:rsidR="00034610" w:rsidRPr="00DD7B93" w:rsidRDefault="00034610" w:rsidP="00034610">
      <w:pPr>
        <w:pStyle w:val="Description"/>
      </w:pPr>
      <w:r w:rsidRPr="00DD7B93">
        <w:tab/>
        <w:t xml:space="preserve">• Average number of antibiotics PMPY reported by drug class: </w:t>
      </w:r>
    </w:p>
    <w:p w14:paraId="37E6E410" w14:textId="77777777" w:rsidR="00034610" w:rsidRPr="00DD7B93" w:rsidRDefault="00034610" w:rsidP="00034610">
      <w:pPr>
        <w:pStyle w:val="Description"/>
      </w:pPr>
      <w:r w:rsidRPr="00DD7B93">
        <w:tab/>
        <w:t xml:space="preserve">   – For selected “antibiotics of concern.”</w:t>
      </w:r>
    </w:p>
    <w:p w14:paraId="2FC80F15" w14:textId="77777777" w:rsidR="00034610" w:rsidRPr="00DD7B93" w:rsidRDefault="00034610" w:rsidP="00034610">
      <w:pPr>
        <w:pStyle w:val="Description"/>
      </w:pPr>
      <w:r w:rsidRPr="00DD7B93">
        <w:tab/>
        <w:t xml:space="preserve">   – For all other antibiotics.</w:t>
      </w:r>
    </w:p>
    <w:p w14:paraId="28F7673B" w14:textId="0280B5F0" w:rsidR="00034610" w:rsidRDefault="00034610" w:rsidP="00034610">
      <w:pPr>
        <w:pStyle w:val="Description"/>
      </w:pPr>
      <w:r w:rsidRPr="00DD7B93">
        <w:tab/>
        <w:t>(</w:t>
      </w:r>
      <w:r w:rsidR="00D35EAA">
        <w:t>HEDIS Measurement Year 2020 and 2021</w:t>
      </w:r>
      <w:r w:rsidRPr="00DD7B93">
        <w:t xml:space="preserve">, Volume 2: Technical Specification, Pg. </w:t>
      </w:r>
      <w:r w:rsidR="0078491D">
        <w:t>485</w:t>
      </w:r>
      <w:r w:rsidRPr="00DD7B93">
        <w:t>)</w:t>
      </w:r>
    </w:p>
    <w:p w14:paraId="36400AAA" w14:textId="77777777" w:rsidR="00E112DF" w:rsidRPr="00DD7B93" w:rsidRDefault="00E112DF" w:rsidP="00E112DF">
      <w:pPr>
        <w:pStyle w:val="Heading4"/>
        <w:rPr>
          <w:i w:val="0"/>
          <w:color w:val="auto"/>
          <w:sz w:val="20"/>
          <w:szCs w:val="20"/>
        </w:rPr>
      </w:pPr>
      <w:r w:rsidRPr="00DD7B93">
        <w:rPr>
          <w:i w:val="0"/>
          <w:color w:val="auto"/>
          <w:sz w:val="20"/>
          <w:szCs w:val="20"/>
        </w:rPr>
        <w:t>AHU - Acute Hospital Utilization (Note: NCQA renamed from Inpatient Hospital Utilization (IHU))</w:t>
      </w:r>
    </w:p>
    <w:p w14:paraId="51E5F97E" w14:textId="77777777" w:rsidR="00E112DF" w:rsidRPr="00DD7B93" w:rsidRDefault="00E112DF" w:rsidP="00E112DF">
      <w:pPr>
        <w:pStyle w:val="Description"/>
      </w:pPr>
      <w:r w:rsidRPr="00DD7B93">
        <w:tab/>
        <w:t>DESCRIPTION - For members 18 years of age and older, the risk-adjusted ratio of observed to expected acute inpatient discharges during the measurement year reported by Surgery, Medicine and Total.</w:t>
      </w:r>
    </w:p>
    <w:p w14:paraId="7EA13987" w14:textId="4D7FCB90" w:rsidR="00E112DF" w:rsidRDefault="00E112DF" w:rsidP="003338FC">
      <w:pPr>
        <w:pStyle w:val="Description"/>
      </w:pPr>
      <w:r w:rsidRPr="00DD7B93">
        <w:tab/>
        <w:t>(</w:t>
      </w:r>
      <w:r w:rsidR="00D35EAA">
        <w:t>HEDIS Measurement Year 2020 and 2021</w:t>
      </w:r>
      <w:r w:rsidRPr="00DD7B93">
        <w:t xml:space="preserve">, Volume 2: Technical Specification, Pg. </w:t>
      </w:r>
      <w:r w:rsidR="0078491D">
        <w:t>521</w:t>
      </w:r>
      <w:r w:rsidRPr="00DD7B93">
        <w:t>)</w:t>
      </w:r>
      <w:r w:rsidRPr="00DD7B93">
        <w:tab/>
      </w:r>
      <w:r w:rsidRPr="00DD7B93">
        <w:tab/>
      </w:r>
    </w:p>
    <w:p w14:paraId="1BE7817B" w14:textId="77777777" w:rsidR="00DD7B93" w:rsidRPr="00DD7B93" w:rsidRDefault="00DD7B93" w:rsidP="00DD7B93">
      <w:pPr>
        <w:pStyle w:val="Heading4"/>
        <w:rPr>
          <w:i w:val="0"/>
          <w:color w:val="auto"/>
          <w:sz w:val="20"/>
          <w:szCs w:val="20"/>
        </w:rPr>
      </w:pPr>
      <w:r w:rsidRPr="00DD7B93">
        <w:rPr>
          <w:i w:val="0"/>
          <w:color w:val="auto"/>
          <w:sz w:val="20"/>
          <w:szCs w:val="20"/>
        </w:rPr>
        <w:t>AMM - Antidepressant Medication Management</w:t>
      </w:r>
    </w:p>
    <w:p w14:paraId="1B5F01C9" w14:textId="77777777" w:rsidR="00DD7B93" w:rsidRPr="00DD7B93" w:rsidRDefault="00DD7B93" w:rsidP="00DD7B93">
      <w:pPr>
        <w:pStyle w:val="Description"/>
      </w:pPr>
      <w:r w:rsidRPr="00DD7B93">
        <w:tab/>
        <w:t>DESCRIPTION - The percentage of members 18 years of age and older who were treated with antidepressant medication, had a diagnosis of major depression and who remained on an antidepressant medication treatment. Two rates are reported.</w:t>
      </w:r>
    </w:p>
    <w:p w14:paraId="26D4350B" w14:textId="77777777" w:rsidR="00DD7B93" w:rsidRPr="00DD7B93" w:rsidRDefault="00DD7B93" w:rsidP="00DD7B93">
      <w:pPr>
        <w:pStyle w:val="Description"/>
      </w:pPr>
      <w:r w:rsidRPr="00DD7B93">
        <w:tab/>
        <w:t xml:space="preserve">• Effective Acute Phase Treatment. The percentage of members who remained on an antidepressant medication for at least 84 days (12 weeks). </w:t>
      </w:r>
    </w:p>
    <w:p w14:paraId="3603A33D" w14:textId="77777777" w:rsidR="00DD7B93" w:rsidRPr="00DD7B93" w:rsidRDefault="00DD7B93" w:rsidP="00DD7B93">
      <w:pPr>
        <w:pStyle w:val="Description"/>
      </w:pPr>
      <w:r w:rsidRPr="00DD7B93">
        <w:tab/>
        <w:t>• Effective Continuation Phase Treatment. The percentage of members who remained on an antidepressant medication for at least 180 days (6 months).</w:t>
      </w:r>
    </w:p>
    <w:p w14:paraId="449A367F" w14:textId="2608CEC6" w:rsidR="00DD7B93" w:rsidRDefault="00DD7B93" w:rsidP="00DD7B93">
      <w:pPr>
        <w:pStyle w:val="Description"/>
      </w:pPr>
      <w:r w:rsidRPr="00DD7B93">
        <w:tab/>
        <w:t>(</w:t>
      </w:r>
      <w:r w:rsidR="00D35EAA">
        <w:t>HEDIS Measurement Year 2020 and 2021</w:t>
      </w:r>
      <w:r w:rsidRPr="00DD7B93">
        <w:t xml:space="preserve">, Volume 2: Technical Specifications, Pg. </w:t>
      </w:r>
      <w:r w:rsidR="004A3B7C">
        <w:t>23</w:t>
      </w:r>
      <w:r w:rsidR="00681C9E">
        <w:t>8</w:t>
      </w:r>
      <w:r w:rsidRPr="00DD7B93">
        <w:t>)</w:t>
      </w:r>
      <w:r w:rsidRPr="00DD7B93">
        <w:tab/>
      </w:r>
    </w:p>
    <w:p w14:paraId="6B299015" w14:textId="49604AD6" w:rsidR="00DD7B93" w:rsidRPr="00DD7B93" w:rsidRDefault="00DD7B93" w:rsidP="00DD7B93">
      <w:pPr>
        <w:pStyle w:val="Heading4"/>
        <w:rPr>
          <w:i w:val="0"/>
          <w:color w:val="auto"/>
          <w:sz w:val="20"/>
          <w:szCs w:val="20"/>
        </w:rPr>
      </w:pPr>
      <w:r w:rsidRPr="00DD7B93">
        <w:rPr>
          <w:i w:val="0"/>
          <w:color w:val="auto"/>
          <w:sz w:val="20"/>
          <w:szCs w:val="20"/>
        </w:rPr>
        <w:t>ART - Disease Modifying Anti-Rheumatic Drug Therapy in Rheumatoid Arthritis</w:t>
      </w:r>
    </w:p>
    <w:p w14:paraId="34896FB0" w14:textId="77777777" w:rsidR="00681C9E" w:rsidRDefault="00DD7B93" w:rsidP="00DD7B93">
      <w:pPr>
        <w:pStyle w:val="Description"/>
      </w:pPr>
      <w:r w:rsidRPr="00DD7B93">
        <w:tab/>
        <w:t xml:space="preserve">DESCRIPTION - </w:t>
      </w:r>
      <w:r w:rsidR="00681C9E">
        <w:t>The percentage of members 18 years of age and older who were diagnosed with rheumatoid arthritis and who were dispensed at least one ambulatory prescription for a disease-modifying anti-rheumatic drug (DMARD).</w:t>
      </w:r>
      <w:r w:rsidRPr="00DD7B93">
        <w:t xml:space="preserve"> </w:t>
      </w:r>
    </w:p>
    <w:p w14:paraId="522046F3" w14:textId="6E372BE7" w:rsidR="004A3B7C" w:rsidRDefault="00681C9E" w:rsidP="009D4EC5">
      <w:pPr>
        <w:pStyle w:val="Description"/>
      </w:pPr>
      <w:r>
        <w:tab/>
      </w:r>
      <w:r w:rsidR="00DD7B93" w:rsidRPr="00DD7B93">
        <w:t>(</w:t>
      </w:r>
      <w:r w:rsidR="00D35EAA">
        <w:t>HEDIS Measurement Year 2020 and 2021</w:t>
      </w:r>
      <w:r w:rsidR="00DD7B93" w:rsidRPr="00DD7B93">
        <w:t xml:space="preserve">, Volume 2: Technical Specification, Pg. </w:t>
      </w:r>
      <w:r w:rsidR="004A3B7C">
        <w:t>220</w:t>
      </w:r>
      <w:r w:rsidR="00DD7B93" w:rsidRPr="00DD7B93">
        <w:t>)</w:t>
      </w:r>
    </w:p>
    <w:p w14:paraId="7AE84910" w14:textId="77777777" w:rsidR="004A3B7C" w:rsidRDefault="004A3B7C">
      <w:pPr>
        <w:spacing w:line="276" w:lineRule="auto"/>
        <w:rPr>
          <w:sz w:val="18"/>
          <w:szCs w:val="24"/>
        </w:rPr>
      </w:pPr>
      <w:r>
        <w:br w:type="page"/>
      </w:r>
    </w:p>
    <w:p w14:paraId="52BD26E6" w14:textId="77777777" w:rsidR="003C647D" w:rsidRDefault="003C647D" w:rsidP="009D4EC5">
      <w:pPr>
        <w:pStyle w:val="Description"/>
      </w:pPr>
    </w:p>
    <w:p w14:paraId="0D23467B" w14:textId="77777777" w:rsidR="003338FC" w:rsidRPr="00DD7B93" w:rsidRDefault="004F572C" w:rsidP="003338FC">
      <w:pPr>
        <w:pStyle w:val="Heading4"/>
        <w:rPr>
          <w:i w:val="0"/>
          <w:color w:val="auto"/>
          <w:sz w:val="20"/>
          <w:szCs w:val="20"/>
        </w:rPr>
      </w:pPr>
      <w:r w:rsidRPr="00DD7B93">
        <w:rPr>
          <w:i w:val="0"/>
          <w:color w:val="auto"/>
          <w:sz w:val="20"/>
          <w:szCs w:val="20"/>
        </w:rPr>
        <w:t>BCS</w:t>
      </w:r>
      <w:r w:rsidR="003338FC" w:rsidRPr="00DD7B93">
        <w:rPr>
          <w:i w:val="0"/>
          <w:color w:val="auto"/>
          <w:sz w:val="20"/>
          <w:szCs w:val="20"/>
        </w:rPr>
        <w:t xml:space="preserve"> - Breast Cancer </w:t>
      </w:r>
      <w:r w:rsidRPr="00DD7B93">
        <w:rPr>
          <w:i w:val="0"/>
          <w:color w:val="auto"/>
          <w:sz w:val="20"/>
          <w:szCs w:val="20"/>
        </w:rPr>
        <w:t>Screening</w:t>
      </w:r>
    </w:p>
    <w:p w14:paraId="1D539D6D" w14:textId="77777777" w:rsidR="00681C9E" w:rsidRDefault="003338FC" w:rsidP="003338FC">
      <w:pPr>
        <w:pStyle w:val="Description"/>
      </w:pPr>
      <w:r w:rsidRPr="00DD7B93">
        <w:tab/>
        <w:t xml:space="preserve">DESCRIPTION - The percentage of women 50–74 years of age who had a mammogram to screen for breast cancer. </w:t>
      </w:r>
    </w:p>
    <w:p w14:paraId="2BCB0FAD" w14:textId="2BD25979" w:rsidR="003338FC" w:rsidRDefault="00681C9E" w:rsidP="003338FC">
      <w:pPr>
        <w:pStyle w:val="Description"/>
      </w:pPr>
      <w:r>
        <w:tab/>
      </w:r>
      <w:r w:rsidR="003338FC" w:rsidRPr="00DD7B93">
        <w:t>(</w:t>
      </w:r>
      <w:r w:rsidR="00D35EAA">
        <w:t>HEDIS Measurement Year 2020 and 2021</w:t>
      </w:r>
      <w:r w:rsidR="003338FC" w:rsidRPr="00DD7B93">
        <w:t xml:space="preserve">, Volume 2: Technical Specification, Pg. </w:t>
      </w:r>
      <w:r w:rsidR="004A3B7C">
        <w:t>98</w:t>
      </w:r>
      <w:r w:rsidR="003338FC" w:rsidRPr="00DD7B93">
        <w:t>)</w:t>
      </w:r>
    </w:p>
    <w:p w14:paraId="282538B7" w14:textId="77777777" w:rsidR="00034610" w:rsidRPr="00DD7B93" w:rsidRDefault="00034610" w:rsidP="00034610">
      <w:pPr>
        <w:pStyle w:val="Heading4"/>
        <w:rPr>
          <w:i w:val="0"/>
          <w:color w:val="auto"/>
          <w:sz w:val="20"/>
          <w:szCs w:val="20"/>
        </w:rPr>
      </w:pPr>
      <w:r w:rsidRPr="00DD7B93">
        <w:rPr>
          <w:i w:val="0"/>
          <w:color w:val="auto"/>
          <w:sz w:val="20"/>
          <w:szCs w:val="20"/>
        </w:rPr>
        <w:t>CBP - Controlling High Blood Pressure</w:t>
      </w:r>
    </w:p>
    <w:p w14:paraId="36FD884B" w14:textId="6ADDC248" w:rsidR="00034610" w:rsidRPr="00DD7B93" w:rsidRDefault="00034610" w:rsidP="00034610">
      <w:pPr>
        <w:pStyle w:val="Description"/>
      </w:pPr>
      <w:r w:rsidRPr="00DD7B93">
        <w:tab/>
        <w:t xml:space="preserve">DESCRIPTION - </w:t>
      </w:r>
      <w:r w:rsidR="00E01376">
        <w:t xml:space="preserve">The percentage of members 18–85 years of age who had a diagnosis of hypertension (HTN) and whose </w:t>
      </w:r>
      <w:r w:rsidR="00F96316">
        <w:t>blood pressure (</w:t>
      </w:r>
      <w:r w:rsidR="00E01376">
        <w:t>BP</w:t>
      </w:r>
      <w:r w:rsidR="00F96316">
        <w:t>)</w:t>
      </w:r>
      <w:r w:rsidR="00E01376">
        <w:t xml:space="preserve"> was adequately controlled (&lt;140/90 mm Hg) during the measurement year.</w:t>
      </w:r>
    </w:p>
    <w:p w14:paraId="3762677C" w14:textId="0B3FA955" w:rsidR="00034610" w:rsidRDefault="00034610" w:rsidP="003338FC">
      <w:pPr>
        <w:pStyle w:val="Description"/>
      </w:pPr>
      <w:r w:rsidRPr="00DD7B93">
        <w:tab/>
        <w:t>(</w:t>
      </w:r>
      <w:r w:rsidR="00D35EAA">
        <w:t>HEDIS Measurement Year 2020 and 2021</w:t>
      </w:r>
      <w:r w:rsidRPr="00DD7B93">
        <w:t>, Volume 2: Technical Specification, Pg. 1</w:t>
      </w:r>
      <w:r w:rsidR="004A3B7C">
        <w:t>53</w:t>
      </w:r>
      <w:r w:rsidRPr="00DD7B93">
        <w:t>)</w:t>
      </w:r>
    </w:p>
    <w:p w14:paraId="5528C967" w14:textId="77777777" w:rsidR="00DD7B93" w:rsidRPr="00DD7B93" w:rsidRDefault="00DD7B93" w:rsidP="00DD7B93">
      <w:pPr>
        <w:pStyle w:val="Heading4"/>
        <w:rPr>
          <w:i w:val="0"/>
          <w:color w:val="auto"/>
          <w:sz w:val="20"/>
          <w:szCs w:val="20"/>
        </w:rPr>
      </w:pPr>
      <w:r w:rsidRPr="00DD7B93">
        <w:rPr>
          <w:i w:val="0"/>
          <w:color w:val="auto"/>
          <w:sz w:val="20"/>
          <w:szCs w:val="20"/>
        </w:rPr>
        <w:t>CDC - Comprehensive Diabetes Care (CDC)</w:t>
      </w:r>
    </w:p>
    <w:p w14:paraId="18C34797" w14:textId="6289E34A" w:rsidR="00DD7B93" w:rsidRPr="00DD7B93" w:rsidRDefault="00DD7B93" w:rsidP="00DD7B93">
      <w:pPr>
        <w:pStyle w:val="Description"/>
      </w:pPr>
      <w:r w:rsidRPr="00DD7B93">
        <w:tab/>
        <w:t>DESCRIPTION - The percentage of members 18–75 years of age with diabetes (type 1 and type 2</w:t>
      </w:r>
      <w:r w:rsidR="001358C9">
        <w:t>) who had each of the following</w:t>
      </w:r>
      <w:r w:rsidR="00B124FF">
        <w:t>.</w:t>
      </w:r>
    </w:p>
    <w:p w14:paraId="169E3729" w14:textId="77777777" w:rsidR="00DD7B93" w:rsidRPr="00DD7B93" w:rsidRDefault="00DD7B93" w:rsidP="00DD7B93">
      <w:pPr>
        <w:pStyle w:val="Description"/>
      </w:pPr>
      <w:r w:rsidRPr="00DD7B93">
        <w:tab/>
        <w:t>• Hemoglobin A1c (HbA1c) testing</w:t>
      </w:r>
    </w:p>
    <w:p w14:paraId="4EB6E86D" w14:textId="77777777" w:rsidR="00DD7B93" w:rsidRPr="00DD7B93" w:rsidRDefault="00DD7B93" w:rsidP="00DD7B93">
      <w:pPr>
        <w:pStyle w:val="Description"/>
      </w:pPr>
      <w:r w:rsidRPr="00DD7B93">
        <w:tab/>
        <w:t>• HbA1c poor control (&gt;9.0%)</w:t>
      </w:r>
    </w:p>
    <w:p w14:paraId="59FF70D7" w14:textId="77777777" w:rsidR="00DD7B93" w:rsidRPr="00DD7B93" w:rsidRDefault="00DD7B93" w:rsidP="00DD7B93">
      <w:pPr>
        <w:pStyle w:val="Description"/>
      </w:pPr>
      <w:r w:rsidRPr="00DD7B93">
        <w:tab/>
        <w:t xml:space="preserve">• HbA1c control (&lt;8.0%) </w:t>
      </w:r>
    </w:p>
    <w:p w14:paraId="3798E0BE" w14:textId="77777777" w:rsidR="00DD7B93" w:rsidRPr="00DD7B93" w:rsidRDefault="00DD7B93" w:rsidP="00DD7B93">
      <w:pPr>
        <w:pStyle w:val="Description"/>
      </w:pPr>
      <w:r w:rsidRPr="00DD7B93">
        <w:tab/>
        <w:t>• Eye exam (retinal) performed</w:t>
      </w:r>
    </w:p>
    <w:p w14:paraId="7EF29D6E" w14:textId="77777777" w:rsidR="00DD7B93" w:rsidRPr="00DD7B93" w:rsidRDefault="00DD7B93" w:rsidP="00DD7B93">
      <w:pPr>
        <w:pStyle w:val="Description"/>
      </w:pPr>
      <w:r w:rsidRPr="00DD7B93">
        <w:tab/>
        <w:t>• Medical attention for nephropathy</w:t>
      </w:r>
    </w:p>
    <w:p w14:paraId="3C8E7EF2" w14:textId="560FF289" w:rsidR="00DD7B93" w:rsidRPr="00DD7B93" w:rsidRDefault="00DD7B93" w:rsidP="00DD7B93">
      <w:pPr>
        <w:pStyle w:val="Description"/>
      </w:pPr>
      <w:r w:rsidRPr="00DD7B93">
        <w:tab/>
        <w:t>• BP control (&lt;140/90 mm Hg)</w:t>
      </w:r>
    </w:p>
    <w:p w14:paraId="41A8D8AA" w14:textId="39E5316B" w:rsidR="00DD7B93" w:rsidRPr="00DD7B93" w:rsidRDefault="00DD7B93" w:rsidP="00DD7B93">
      <w:pPr>
        <w:pStyle w:val="Description"/>
      </w:pPr>
      <w:r w:rsidRPr="00DD7B93">
        <w:tab/>
        <w:t>(</w:t>
      </w:r>
      <w:r w:rsidR="00D35EAA">
        <w:t>HEDIS Measurement Year 2020 and 2021</w:t>
      </w:r>
      <w:r w:rsidRPr="00DD7B93">
        <w:t xml:space="preserve">, Volume 2: Technical Specifications, Pg. </w:t>
      </w:r>
      <w:r w:rsidR="004A3B7C">
        <w:t>184</w:t>
      </w:r>
      <w:r w:rsidRPr="00DD7B93">
        <w:t>)</w:t>
      </w:r>
    </w:p>
    <w:p w14:paraId="058CC7EE" w14:textId="77777777" w:rsidR="00DD7B93" w:rsidRPr="00DD7B93" w:rsidRDefault="00DD7B93" w:rsidP="00DD7B93">
      <w:pPr>
        <w:pStyle w:val="Heading4"/>
        <w:rPr>
          <w:i w:val="0"/>
          <w:color w:val="auto"/>
          <w:sz w:val="20"/>
          <w:szCs w:val="20"/>
        </w:rPr>
      </w:pPr>
      <w:r w:rsidRPr="00DD7B93">
        <w:rPr>
          <w:i w:val="0"/>
          <w:color w:val="auto"/>
          <w:sz w:val="20"/>
          <w:szCs w:val="20"/>
        </w:rPr>
        <w:t>COL - Colorectal Cancer Screening</w:t>
      </w:r>
    </w:p>
    <w:p w14:paraId="04DEA498" w14:textId="77777777" w:rsidR="00E01376" w:rsidRDefault="00DD7B93" w:rsidP="00DD7B93">
      <w:pPr>
        <w:pStyle w:val="Description"/>
      </w:pPr>
      <w:r w:rsidRPr="00DD7B93">
        <w:tab/>
        <w:t xml:space="preserve">DESCRIPTION - The percentage of members 50–75 years of age who had appropriate screening for colorectal cancer. </w:t>
      </w:r>
    </w:p>
    <w:p w14:paraId="6C5D185C" w14:textId="3F59319F" w:rsidR="00DD7B93" w:rsidRPr="00DD7B93" w:rsidRDefault="00E01376" w:rsidP="00DD7B93">
      <w:pPr>
        <w:pStyle w:val="Description"/>
      </w:pPr>
      <w:r>
        <w:tab/>
      </w:r>
      <w:r w:rsidR="00DD7B93" w:rsidRPr="00DD7B93">
        <w:t>(</w:t>
      </w:r>
      <w:r w:rsidR="00D35EAA">
        <w:t>HEDIS Measurement Year 2020 and 2021</w:t>
      </w:r>
      <w:r w:rsidR="00DD7B93" w:rsidRPr="00DD7B93">
        <w:t xml:space="preserve">, Volume 2: Technical Specification, Pg. </w:t>
      </w:r>
      <w:r w:rsidR="004A3B7C">
        <w:t>109</w:t>
      </w:r>
      <w:r w:rsidR="00DD7B93" w:rsidRPr="00DD7B93">
        <w:t>)</w:t>
      </w:r>
    </w:p>
    <w:p w14:paraId="4A7C63A7" w14:textId="77777777" w:rsidR="00DD7B93" w:rsidRPr="00DD7B93" w:rsidRDefault="00DD7B93" w:rsidP="00DD7B93">
      <w:pPr>
        <w:pStyle w:val="Heading4"/>
        <w:rPr>
          <w:i w:val="0"/>
          <w:color w:val="auto"/>
          <w:sz w:val="20"/>
          <w:szCs w:val="20"/>
        </w:rPr>
      </w:pPr>
      <w:r w:rsidRPr="00DD7B93">
        <w:rPr>
          <w:i w:val="0"/>
          <w:color w:val="auto"/>
          <w:sz w:val="20"/>
          <w:szCs w:val="20"/>
        </w:rPr>
        <w:t>DAE - Use of High-Risk Medications in the Elderly</w:t>
      </w:r>
    </w:p>
    <w:p w14:paraId="2107DC9B" w14:textId="77777777" w:rsidR="00E01376" w:rsidRPr="00E01376" w:rsidRDefault="00DD7B93" w:rsidP="00E01376">
      <w:pPr>
        <w:pStyle w:val="Description"/>
      </w:pPr>
      <w:r w:rsidRPr="00DD7B93">
        <w:tab/>
        <w:t xml:space="preserve">DESCRIPTION - </w:t>
      </w:r>
      <w:r w:rsidR="00E01376">
        <w:t>The percentage of Medicare members 66 years of age and older who had at least one dispensing event for a high-risk medication.</w:t>
      </w:r>
    </w:p>
    <w:p w14:paraId="45A6DF1B" w14:textId="77777777" w:rsidR="00DD7B93" w:rsidRPr="00DD7B93" w:rsidRDefault="00E01376" w:rsidP="00DD7B93">
      <w:pPr>
        <w:pStyle w:val="Description"/>
      </w:pPr>
      <w:r>
        <w:tab/>
        <w:t>The percentage of Medicare members 66 years of age and older who had at least two dispensing events for the same high-risk medication.</w:t>
      </w:r>
    </w:p>
    <w:p w14:paraId="2DC9DC83" w14:textId="624F6D66" w:rsidR="00DD7B93" w:rsidRDefault="00DD7B93" w:rsidP="00DD7B93">
      <w:pPr>
        <w:pStyle w:val="Description"/>
      </w:pPr>
      <w:r w:rsidRPr="00DD7B93">
        <w:tab/>
        <w:t>(</w:t>
      </w:r>
      <w:r w:rsidR="00D35EAA">
        <w:t>HEDIS Measurement Year 2020 and 2021</w:t>
      </w:r>
      <w:r w:rsidRPr="00DD7B93">
        <w:t xml:space="preserve">, Volume 2: Technical Specification, Pg. </w:t>
      </w:r>
      <w:r w:rsidR="004A3B7C">
        <w:t>353</w:t>
      </w:r>
      <w:r w:rsidRPr="00DD7B93">
        <w:t>)</w:t>
      </w:r>
    </w:p>
    <w:p w14:paraId="341D4EEE" w14:textId="77777777" w:rsidR="00DD7B93" w:rsidRPr="00DD7B93" w:rsidRDefault="00DD7B93" w:rsidP="00DD7B93">
      <w:pPr>
        <w:pStyle w:val="Heading4"/>
        <w:rPr>
          <w:i w:val="0"/>
          <w:color w:val="auto"/>
          <w:sz w:val="20"/>
          <w:szCs w:val="20"/>
        </w:rPr>
      </w:pPr>
      <w:r w:rsidRPr="00DD7B93">
        <w:rPr>
          <w:i w:val="0"/>
          <w:color w:val="auto"/>
          <w:sz w:val="20"/>
          <w:szCs w:val="20"/>
        </w:rPr>
        <w:t>DDE - Potentially Harmful Drug-Disease Interactions in the Elderly</w:t>
      </w:r>
    </w:p>
    <w:p w14:paraId="6369C2EC" w14:textId="77777777" w:rsidR="00DD7B93" w:rsidRPr="00DD7B93" w:rsidRDefault="00DD7B93" w:rsidP="00DD7B93">
      <w:pPr>
        <w:pStyle w:val="Description"/>
      </w:pPr>
      <w:r w:rsidRPr="00DD7B93">
        <w:tab/>
        <w:t>DESCRIPTION - The percentage of Medicare members 65 years of age and older who have evidence of an underlying disease, condition or health concern and who were dispensed an ambulatory prescription for a potentially harmful medication, concurrent with or after the diagnosis.</w:t>
      </w:r>
    </w:p>
    <w:p w14:paraId="6B67B5FE" w14:textId="34AB0B47" w:rsidR="00DD7B93" w:rsidRDefault="00DD7B93" w:rsidP="00DD7B93">
      <w:pPr>
        <w:pStyle w:val="Description"/>
      </w:pPr>
      <w:r w:rsidRPr="00DD7B93">
        <w:tab/>
        <w:t>Report each of the three rates separately and as a total rate.</w:t>
      </w:r>
    </w:p>
    <w:p w14:paraId="20DC7C7C" w14:textId="3367F5BA" w:rsidR="00F96316" w:rsidRPr="00DD7B93" w:rsidRDefault="00F96316" w:rsidP="00F96316">
      <w:pPr>
        <w:pStyle w:val="Bullet"/>
        <w:numPr>
          <w:ilvl w:val="0"/>
          <w:numId w:val="0"/>
        </w:numPr>
        <w:ind w:left="360"/>
      </w:pPr>
      <w:r w:rsidRPr="00F96316">
        <w:rPr>
          <w:sz w:val="18"/>
          <w:szCs w:val="18"/>
        </w:rPr>
        <w:t xml:space="preserve">• </w:t>
      </w:r>
      <w:r w:rsidRPr="00E01376">
        <w:rPr>
          <w:sz w:val="18"/>
          <w:szCs w:val="18"/>
        </w:rPr>
        <w:t xml:space="preserve">A history of falls and a prescription for anticonvulsants, SSRIs, antipsychotics, benzodiazepines, nonbenzodiazepine hypnotics or </w:t>
      </w:r>
      <w:r>
        <w:rPr>
          <w:sz w:val="18"/>
          <w:szCs w:val="18"/>
        </w:rPr>
        <w:t xml:space="preserve">      </w:t>
      </w:r>
      <w:r w:rsidRPr="00E01376">
        <w:rPr>
          <w:sz w:val="18"/>
          <w:szCs w:val="18"/>
        </w:rPr>
        <w:t>tricyclic antidepressants.</w:t>
      </w:r>
    </w:p>
    <w:p w14:paraId="7E3FE7EA" w14:textId="02C74635" w:rsidR="00E01376" w:rsidRPr="00E01376" w:rsidRDefault="00F96316" w:rsidP="00F96316">
      <w:pPr>
        <w:pStyle w:val="Bullet"/>
        <w:numPr>
          <w:ilvl w:val="0"/>
          <w:numId w:val="0"/>
        </w:numPr>
        <w:ind w:left="360"/>
        <w:rPr>
          <w:sz w:val="18"/>
          <w:szCs w:val="18"/>
        </w:rPr>
      </w:pPr>
      <w:r w:rsidRPr="00F96316">
        <w:rPr>
          <w:sz w:val="18"/>
          <w:szCs w:val="18"/>
        </w:rPr>
        <w:t>•</w:t>
      </w:r>
      <w:r>
        <w:t xml:space="preserve"> </w:t>
      </w:r>
      <w:r w:rsidR="00E01376" w:rsidRPr="00E01376">
        <w:rPr>
          <w:sz w:val="18"/>
          <w:szCs w:val="18"/>
        </w:rPr>
        <w:t>Dementia and a prescription for antipsychotics, benzodiazepines, nonbenzodiazepine hypnotics, tricyclic antidepressants, H2 receptor antagonists or anticholinergic agents.</w:t>
      </w:r>
    </w:p>
    <w:p w14:paraId="74B0E74D" w14:textId="4DF1A540" w:rsidR="00E01376" w:rsidRPr="00E01376" w:rsidRDefault="00F96316" w:rsidP="00F96316">
      <w:pPr>
        <w:pStyle w:val="Bullet"/>
        <w:numPr>
          <w:ilvl w:val="0"/>
          <w:numId w:val="0"/>
        </w:numPr>
        <w:ind w:left="720" w:hanging="360"/>
        <w:rPr>
          <w:sz w:val="18"/>
          <w:szCs w:val="18"/>
        </w:rPr>
      </w:pPr>
      <w:r w:rsidRPr="00F96316">
        <w:rPr>
          <w:sz w:val="18"/>
          <w:szCs w:val="18"/>
        </w:rPr>
        <w:t>•</w:t>
      </w:r>
      <w:r>
        <w:rPr>
          <w:sz w:val="18"/>
          <w:szCs w:val="18"/>
        </w:rPr>
        <w:t xml:space="preserve"> </w:t>
      </w:r>
      <w:r w:rsidR="00E01376" w:rsidRPr="00E01376">
        <w:rPr>
          <w:sz w:val="18"/>
          <w:szCs w:val="18"/>
        </w:rPr>
        <w:t xml:space="preserve">Chronic kidney disease and prescription for Cox-2 selective NSAIDs or </w:t>
      </w:r>
      <w:proofErr w:type="spellStart"/>
      <w:r w:rsidR="00E01376" w:rsidRPr="00E01376">
        <w:rPr>
          <w:sz w:val="18"/>
          <w:szCs w:val="18"/>
        </w:rPr>
        <w:t>nonaspirin</w:t>
      </w:r>
      <w:proofErr w:type="spellEnd"/>
      <w:r w:rsidR="00E01376" w:rsidRPr="00E01376">
        <w:rPr>
          <w:sz w:val="18"/>
          <w:szCs w:val="18"/>
        </w:rPr>
        <w:t xml:space="preserve"> NSAIDs.</w:t>
      </w:r>
    </w:p>
    <w:p w14:paraId="41A6795F" w14:textId="53BA9B08" w:rsidR="00E01376" w:rsidRPr="00E01376" w:rsidRDefault="00F96316" w:rsidP="00F96316">
      <w:pPr>
        <w:pStyle w:val="Bullet"/>
        <w:numPr>
          <w:ilvl w:val="0"/>
          <w:numId w:val="0"/>
        </w:numPr>
        <w:ind w:left="720" w:hanging="360"/>
        <w:rPr>
          <w:sz w:val="18"/>
          <w:szCs w:val="18"/>
        </w:rPr>
      </w:pPr>
      <w:r w:rsidRPr="00F96316">
        <w:rPr>
          <w:sz w:val="18"/>
          <w:szCs w:val="18"/>
        </w:rPr>
        <w:t>•</w:t>
      </w:r>
      <w:r>
        <w:rPr>
          <w:sz w:val="18"/>
          <w:szCs w:val="18"/>
        </w:rPr>
        <w:t xml:space="preserve"> </w:t>
      </w:r>
      <w:r w:rsidR="00E01376" w:rsidRPr="00E01376">
        <w:rPr>
          <w:sz w:val="18"/>
          <w:szCs w:val="18"/>
        </w:rPr>
        <w:t>Total rate (the sum of the three numerators divided by the sum of the three denominators).</w:t>
      </w:r>
    </w:p>
    <w:p w14:paraId="2A8B09DB" w14:textId="77777777" w:rsidR="00DD7B93" w:rsidRPr="007300CB" w:rsidRDefault="00DD7B93" w:rsidP="00E01376">
      <w:pPr>
        <w:pStyle w:val="Description"/>
        <w:rPr>
          <w:strike/>
        </w:rPr>
      </w:pPr>
      <w:r w:rsidRPr="00DD7B93">
        <w:tab/>
        <w:t xml:space="preserve">Members with more than one disease or condition may appear in the measure multiple times (i.e., in each indicator for which they qualify). </w:t>
      </w:r>
      <w:r w:rsidRPr="007300CB">
        <w:t>A lower rate represents better performance for all rates.</w:t>
      </w:r>
    </w:p>
    <w:p w14:paraId="3305CFF4" w14:textId="20A6AD1F" w:rsidR="00DD7B93" w:rsidRDefault="00DD7B93" w:rsidP="00DD7B93">
      <w:pPr>
        <w:pStyle w:val="Description"/>
      </w:pPr>
      <w:r w:rsidRPr="00DD7B93">
        <w:tab/>
        <w:t>(</w:t>
      </w:r>
      <w:r w:rsidR="00D35EAA">
        <w:t>HEDIS Measurement Year 2020 and 2021</w:t>
      </w:r>
      <w:r w:rsidRPr="00DD7B93">
        <w:t xml:space="preserve">, Volume 2: Technical Specification, Pg. </w:t>
      </w:r>
      <w:r w:rsidR="004A3B7C">
        <w:t>345</w:t>
      </w:r>
      <w:r w:rsidRPr="00DD7B93">
        <w:t>)</w:t>
      </w:r>
      <w:r w:rsidRPr="00DD7B93">
        <w:tab/>
      </w:r>
    </w:p>
    <w:p w14:paraId="459A60B3" w14:textId="77777777" w:rsidR="00E112DF" w:rsidRPr="00DD7B93" w:rsidRDefault="00E112DF" w:rsidP="00E112DF">
      <w:pPr>
        <w:pStyle w:val="Heading4"/>
        <w:rPr>
          <w:i w:val="0"/>
          <w:color w:val="auto"/>
          <w:sz w:val="20"/>
          <w:szCs w:val="20"/>
        </w:rPr>
      </w:pPr>
      <w:r w:rsidRPr="00DD7B93">
        <w:rPr>
          <w:i w:val="0"/>
          <w:color w:val="auto"/>
          <w:sz w:val="20"/>
          <w:szCs w:val="20"/>
        </w:rPr>
        <w:t>EDU - Emergency Department Utilization</w:t>
      </w:r>
    </w:p>
    <w:p w14:paraId="4E7C7D0E" w14:textId="77777777" w:rsidR="00E112DF" w:rsidRPr="00DD7B93" w:rsidRDefault="00E112DF" w:rsidP="00E112DF">
      <w:pPr>
        <w:pStyle w:val="Description"/>
      </w:pPr>
      <w:r w:rsidRPr="00DD7B93">
        <w:tab/>
        <w:t>DESCRIPTION - For members 18 years of age and older, the risk-adjusted ratio of observed to expected emergency department (ED) visits during the measurement year.</w:t>
      </w:r>
    </w:p>
    <w:p w14:paraId="18D66D9C" w14:textId="373E4086" w:rsidR="00E112DF" w:rsidRDefault="00E112DF" w:rsidP="00E112DF">
      <w:pPr>
        <w:pStyle w:val="Description"/>
      </w:pPr>
      <w:r w:rsidRPr="00DD7B93">
        <w:tab/>
        <w:t>(</w:t>
      </w:r>
      <w:r w:rsidR="00D35EAA">
        <w:t>HEDIS Measurement Year 2020 and 2021</w:t>
      </w:r>
      <w:r w:rsidRPr="00DD7B93">
        <w:t xml:space="preserve">, Volume 2: Technical Specification, Pg. </w:t>
      </w:r>
      <w:r w:rsidR="004A3B7C">
        <w:t>530</w:t>
      </w:r>
      <w:r w:rsidRPr="00DD7B93">
        <w:t>)</w:t>
      </w:r>
      <w:r w:rsidRPr="00DD7B93">
        <w:tab/>
      </w:r>
    </w:p>
    <w:p w14:paraId="7537C63F" w14:textId="77777777" w:rsidR="00E112DF" w:rsidRPr="00DD7B93" w:rsidRDefault="00E112DF" w:rsidP="00E112DF">
      <w:pPr>
        <w:pStyle w:val="Heading4"/>
        <w:rPr>
          <w:i w:val="0"/>
          <w:color w:val="auto"/>
          <w:sz w:val="20"/>
          <w:szCs w:val="20"/>
        </w:rPr>
      </w:pPr>
      <w:r w:rsidRPr="00DD7B93">
        <w:rPr>
          <w:i w:val="0"/>
          <w:color w:val="auto"/>
          <w:sz w:val="20"/>
          <w:szCs w:val="20"/>
        </w:rPr>
        <w:t>ENP - Enrollment by Product Line</w:t>
      </w:r>
    </w:p>
    <w:p w14:paraId="77BD5126" w14:textId="77777777" w:rsidR="00E112DF" w:rsidRPr="00DD7B93" w:rsidRDefault="00E112DF" w:rsidP="00E112DF">
      <w:pPr>
        <w:pStyle w:val="Description"/>
      </w:pPr>
      <w:r w:rsidRPr="00DD7B93">
        <w:tab/>
        <w:t xml:space="preserve">DESCRIPTION - The total number of members enrolled in the product line, stratified by age and gender. </w:t>
      </w:r>
    </w:p>
    <w:p w14:paraId="4F1EE630" w14:textId="77777777" w:rsidR="004A3B7C" w:rsidRDefault="00E112DF" w:rsidP="00E112DF">
      <w:pPr>
        <w:pStyle w:val="Description"/>
      </w:pPr>
      <w:r w:rsidRPr="00DD7B93">
        <w:tab/>
        <w:t>(</w:t>
      </w:r>
      <w:r w:rsidR="00D35EAA">
        <w:t>HEDIS Measurement Year 2020 and 2021</w:t>
      </w:r>
      <w:r w:rsidRPr="00DD7B93">
        <w:t xml:space="preserve">, Volume 2: Technical Specification, Pg. </w:t>
      </w:r>
      <w:r w:rsidR="004A3B7C">
        <w:t>551</w:t>
      </w:r>
      <w:r w:rsidRPr="00DD7B93">
        <w:t>)</w:t>
      </w:r>
    </w:p>
    <w:p w14:paraId="74120A76" w14:textId="77777777" w:rsidR="004A3B7C" w:rsidRDefault="004A3B7C">
      <w:pPr>
        <w:spacing w:line="276" w:lineRule="auto"/>
        <w:rPr>
          <w:sz w:val="18"/>
          <w:szCs w:val="24"/>
        </w:rPr>
      </w:pPr>
      <w:r>
        <w:br w:type="page"/>
      </w:r>
    </w:p>
    <w:p w14:paraId="34DF1F28" w14:textId="6F719946" w:rsidR="00E112DF" w:rsidRPr="00DD7B93" w:rsidRDefault="00E112DF" w:rsidP="00E112DF">
      <w:pPr>
        <w:pStyle w:val="Description"/>
      </w:pPr>
      <w:r w:rsidRPr="00DD7B93">
        <w:lastRenderedPageBreak/>
        <w:tab/>
      </w:r>
    </w:p>
    <w:p w14:paraId="6EBB2136" w14:textId="77777777" w:rsidR="00E112DF" w:rsidRPr="00DD7B93" w:rsidRDefault="00E112DF" w:rsidP="00E112DF">
      <w:pPr>
        <w:pStyle w:val="Heading4"/>
        <w:rPr>
          <w:i w:val="0"/>
          <w:color w:val="auto"/>
          <w:sz w:val="20"/>
          <w:szCs w:val="20"/>
        </w:rPr>
      </w:pPr>
      <w:r w:rsidRPr="00DD7B93">
        <w:rPr>
          <w:i w:val="0"/>
          <w:color w:val="auto"/>
          <w:sz w:val="20"/>
          <w:szCs w:val="20"/>
        </w:rPr>
        <w:t xml:space="preserve">FMC - Follow-Up After Emergency Department Visit for People </w:t>
      </w:r>
      <w:proofErr w:type="gramStart"/>
      <w:r w:rsidRPr="00DD7B93">
        <w:rPr>
          <w:i w:val="0"/>
          <w:color w:val="auto"/>
          <w:sz w:val="20"/>
          <w:szCs w:val="20"/>
        </w:rPr>
        <w:t>With</w:t>
      </w:r>
      <w:proofErr w:type="gramEnd"/>
      <w:r w:rsidRPr="00DD7B93">
        <w:rPr>
          <w:i w:val="0"/>
          <w:color w:val="auto"/>
          <w:sz w:val="20"/>
          <w:szCs w:val="20"/>
        </w:rPr>
        <w:t xml:space="preserve"> High-Risk Multiple Chronic Conditions</w:t>
      </w:r>
    </w:p>
    <w:p w14:paraId="1BF61319" w14:textId="77777777" w:rsidR="00E112DF" w:rsidRPr="00DD7B93" w:rsidRDefault="00E112DF" w:rsidP="00E112DF">
      <w:pPr>
        <w:pStyle w:val="Description"/>
      </w:pPr>
      <w:r w:rsidRPr="00DD7B93">
        <w:tab/>
        <w:t>The percentage of emergency department (ED) visits for members 18 years and older who have high-risk multiple chronic conditions who had a follow-up service within 7 days of the ED visit.</w:t>
      </w:r>
    </w:p>
    <w:p w14:paraId="4A4770EF" w14:textId="203AE9FB" w:rsidR="00E112DF" w:rsidRPr="00DD7B93" w:rsidRDefault="00E112DF" w:rsidP="00E112DF">
      <w:pPr>
        <w:pStyle w:val="Description"/>
      </w:pPr>
      <w:r w:rsidRPr="00DD7B93">
        <w:tab/>
        <w:t>(</w:t>
      </w:r>
      <w:r w:rsidR="00D35EAA">
        <w:t>HEDIS Measurement Year 2020 and 2021</w:t>
      </w:r>
      <w:r w:rsidRPr="00DD7B93">
        <w:t xml:space="preserve">, Volume 2: Technical Specification, Pg. </w:t>
      </w:r>
      <w:r w:rsidR="004A3B7C">
        <w:t>318</w:t>
      </w:r>
      <w:r w:rsidRPr="00DD7B93">
        <w:t>)</w:t>
      </w:r>
    </w:p>
    <w:p w14:paraId="31C46C46" w14:textId="77777777" w:rsidR="00E112DF" w:rsidRPr="00DD7B93" w:rsidRDefault="00E112DF" w:rsidP="00E112DF">
      <w:pPr>
        <w:pStyle w:val="Heading4"/>
        <w:rPr>
          <w:i w:val="0"/>
          <w:color w:val="auto"/>
          <w:sz w:val="20"/>
          <w:szCs w:val="20"/>
        </w:rPr>
      </w:pPr>
      <w:r w:rsidRPr="00DD7B93">
        <w:rPr>
          <w:i w:val="0"/>
          <w:color w:val="auto"/>
          <w:sz w:val="20"/>
          <w:szCs w:val="20"/>
        </w:rPr>
        <w:t>FSP - Frequency of Selected Procedures</w:t>
      </w:r>
    </w:p>
    <w:p w14:paraId="577A7F09" w14:textId="77777777" w:rsidR="00E01376" w:rsidRDefault="00E112DF" w:rsidP="00E112DF">
      <w:pPr>
        <w:pStyle w:val="Description"/>
      </w:pPr>
      <w:r w:rsidRPr="00DD7B93">
        <w:tab/>
        <w:t xml:space="preserve">DESCRIPTION - This measure summarizes the utilization of frequently performed procedures that often show wide regional variation and have generated concern regarding potentially inappropriate utilization. </w:t>
      </w:r>
    </w:p>
    <w:p w14:paraId="116872A9" w14:textId="69260989" w:rsidR="00E112DF" w:rsidRPr="00DD7B93" w:rsidRDefault="00E01376" w:rsidP="00E112DF">
      <w:pPr>
        <w:pStyle w:val="Description"/>
      </w:pPr>
      <w:r>
        <w:tab/>
      </w:r>
      <w:r w:rsidR="00E112DF" w:rsidRPr="00DD7B93">
        <w:t>(</w:t>
      </w:r>
      <w:r w:rsidR="00D35EAA">
        <w:t>HEDIS Measurement Year 2020 and 2021</w:t>
      </w:r>
      <w:r w:rsidR="00E112DF" w:rsidRPr="00DD7B93">
        <w:t>, Volume 2: Technical Specification, Pg.</w:t>
      </w:r>
      <w:r w:rsidR="004A3B7C">
        <w:t xml:space="preserve"> 450</w:t>
      </w:r>
      <w:r w:rsidR="00E112DF" w:rsidRPr="00DD7B93">
        <w:t>)</w:t>
      </w:r>
      <w:r w:rsidR="00E112DF" w:rsidRPr="00DD7B93">
        <w:tab/>
      </w:r>
    </w:p>
    <w:p w14:paraId="6F037091" w14:textId="77777777" w:rsidR="00E112DF" w:rsidRPr="00DD7B93" w:rsidRDefault="00E112DF" w:rsidP="00E112DF">
      <w:pPr>
        <w:pStyle w:val="Heading4"/>
        <w:rPr>
          <w:i w:val="0"/>
          <w:color w:val="auto"/>
          <w:sz w:val="20"/>
          <w:szCs w:val="20"/>
        </w:rPr>
      </w:pPr>
      <w:r w:rsidRPr="00DD7B93">
        <w:rPr>
          <w:i w:val="0"/>
          <w:color w:val="auto"/>
          <w:sz w:val="20"/>
          <w:szCs w:val="20"/>
        </w:rPr>
        <w:t xml:space="preserve">FUA - Follow-Up After Emergency Department Visit for Alcohol and </w:t>
      </w:r>
      <w:proofErr w:type="gramStart"/>
      <w:r w:rsidRPr="00DD7B93">
        <w:rPr>
          <w:i w:val="0"/>
          <w:color w:val="auto"/>
          <w:sz w:val="20"/>
          <w:szCs w:val="20"/>
        </w:rPr>
        <w:t>Other</w:t>
      </w:r>
      <w:proofErr w:type="gramEnd"/>
      <w:r w:rsidRPr="00DD7B93">
        <w:rPr>
          <w:i w:val="0"/>
          <w:color w:val="auto"/>
          <w:sz w:val="20"/>
          <w:szCs w:val="20"/>
        </w:rPr>
        <w:t xml:space="preserve"> Drug Dependence (FUA)</w:t>
      </w:r>
    </w:p>
    <w:p w14:paraId="72026D33" w14:textId="77777777" w:rsidR="00E112DF" w:rsidRPr="00DD7B93" w:rsidRDefault="00E112DF" w:rsidP="00E112DF">
      <w:pPr>
        <w:pStyle w:val="Description"/>
      </w:pPr>
      <w:r w:rsidRPr="00DD7B93">
        <w:tab/>
        <w:t>The percentage of emergency department (ED) visits for members 13 years of age and older with a principal diagnosis of alcohol or other drug (AOD) abuse or dependence, who had a follow up visit for AOD. Two rates are reported:</w:t>
      </w:r>
    </w:p>
    <w:p w14:paraId="6224278D" w14:textId="343E3FFD" w:rsidR="00E112DF" w:rsidRPr="00DD7B93" w:rsidRDefault="00E3736E" w:rsidP="00E112DF">
      <w:pPr>
        <w:pStyle w:val="Description"/>
      </w:pPr>
      <w:r>
        <w:tab/>
      </w:r>
      <w:r w:rsidRPr="00F96316">
        <w:rPr>
          <w:szCs w:val="18"/>
        </w:rPr>
        <w:t>•</w:t>
      </w:r>
      <w:r>
        <w:rPr>
          <w:szCs w:val="18"/>
        </w:rPr>
        <w:t xml:space="preserve"> </w:t>
      </w:r>
      <w:r w:rsidR="00E112DF" w:rsidRPr="00DD7B93">
        <w:t>The percentage of ED visits for which the member received follow-up within 30 days of the ED visit (31 total days).</w:t>
      </w:r>
    </w:p>
    <w:p w14:paraId="200E26F7" w14:textId="117AEDDE" w:rsidR="00E112DF" w:rsidRPr="00DD7B93" w:rsidRDefault="00E3736E" w:rsidP="00E112DF">
      <w:pPr>
        <w:pStyle w:val="Description"/>
      </w:pPr>
      <w:r>
        <w:tab/>
      </w:r>
      <w:r w:rsidRPr="00F96316">
        <w:rPr>
          <w:szCs w:val="18"/>
        </w:rPr>
        <w:t>•</w:t>
      </w:r>
      <w:r>
        <w:rPr>
          <w:szCs w:val="18"/>
        </w:rPr>
        <w:t xml:space="preserve"> </w:t>
      </w:r>
      <w:r w:rsidR="00E112DF" w:rsidRPr="00DD7B93">
        <w:t xml:space="preserve">The percentage of ED visits for which the member received follow-up within 7 days of the ED visit (8 total days). </w:t>
      </w:r>
    </w:p>
    <w:p w14:paraId="59F983EE" w14:textId="17BB86F7" w:rsidR="00DD7B93" w:rsidRPr="00DD7B93" w:rsidRDefault="00E112DF" w:rsidP="003338FC">
      <w:pPr>
        <w:pStyle w:val="Description"/>
      </w:pPr>
      <w:r w:rsidRPr="00DD7B93">
        <w:tab/>
        <w:t>(</w:t>
      </w:r>
      <w:r w:rsidR="00D35EAA">
        <w:t>HEDIS Measurement Year 2020 and 2021</w:t>
      </w:r>
      <w:r w:rsidRPr="00DD7B93">
        <w:t xml:space="preserve">, Volume 2: Technical Specification, Pg. </w:t>
      </w:r>
      <w:r w:rsidR="0005048D">
        <w:t>2</w:t>
      </w:r>
      <w:r w:rsidR="004A3B7C">
        <w:t>67</w:t>
      </w:r>
      <w:r w:rsidRPr="00DD7B93">
        <w:t>)</w:t>
      </w:r>
      <w:r w:rsidRPr="00DD7B93">
        <w:tab/>
      </w:r>
    </w:p>
    <w:p w14:paraId="54473620" w14:textId="5DE9CD59" w:rsidR="003338FC" w:rsidRPr="00DD7B93" w:rsidRDefault="004F572C" w:rsidP="003338FC">
      <w:pPr>
        <w:pStyle w:val="Heading4"/>
        <w:rPr>
          <w:i w:val="0"/>
          <w:color w:val="auto"/>
          <w:sz w:val="20"/>
          <w:szCs w:val="20"/>
        </w:rPr>
      </w:pPr>
      <w:r w:rsidRPr="00DD7B93">
        <w:rPr>
          <w:i w:val="0"/>
          <w:color w:val="auto"/>
          <w:sz w:val="20"/>
          <w:szCs w:val="20"/>
        </w:rPr>
        <w:t>FUH</w:t>
      </w:r>
      <w:r w:rsidR="003338FC" w:rsidRPr="00DD7B93">
        <w:rPr>
          <w:i w:val="0"/>
          <w:color w:val="auto"/>
          <w:sz w:val="20"/>
          <w:szCs w:val="20"/>
        </w:rPr>
        <w:t xml:space="preserve"> - </w:t>
      </w:r>
      <w:r w:rsidR="00373C07" w:rsidRPr="00DD7B93">
        <w:rPr>
          <w:i w:val="0"/>
          <w:color w:val="auto"/>
          <w:sz w:val="20"/>
          <w:szCs w:val="20"/>
        </w:rPr>
        <w:t>Follow-up</w:t>
      </w:r>
      <w:r w:rsidR="003338FC" w:rsidRPr="00DD7B93">
        <w:rPr>
          <w:i w:val="0"/>
          <w:color w:val="auto"/>
          <w:sz w:val="20"/>
          <w:szCs w:val="20"/>
        </w:rPr>
        <w:t xml:space="preserve"> after Hospital</w:t>
      </w:r>
      <w:r w:rsidRPr="00DD7B93">
        <w:rPr>
          <w:i w:val="0"/>
          <w:color w:val="auto"/>
          <w:sz w:val="20"/>
          <w:szCs w:val="20"/>
        </w:rPr>
        <w:t>ization for Mental Illness</w:t>
      </w:r>
    </w:p>
    <w:p w14:paraId="4AF43C58" w14:textId="77777777" w:rsidR="003338FC" w:rsidRPr="00DD7B93" w:rsidRDefault="003338FC" w:rsidP="003338FC">
      <w:pPr>
        <w:pStyle w:val="Description"/>
      </w:pPr>
      <w:r w:rsidRPr="00DD7B93">
        <w:tab/>
        <w:t>DESCRIPTION - The percentage of discharges for members 6 years of age and older who were hospitalized for treatment of selected mental illness diagnoses and who had an outpatient visit, an intensive outpatient encounter or partial hospitalization with a mental health practitioner. Two rates are reported:</w:t>
      </w:r>
    </w:p>
    <w:p w14:paraId="16BBEA31" w14:textId="77777777" w:rsidR="003338FC" w:rsidRPr="00DD7B93" w:rsidRDefault="003338FC" w:rsidP="003338FC">
      <w:pPr>
        <w:pStyle w:val="Description"/>
      </w:pPr>
      <w:r w:rsidRPr="00DD7B93">
        <w:tab/>
        <w:t>• The percentage of discharges for which the member received follow-up within 30 days of discharge.</w:t>
      </w:r>
    </w:p>
    <w:p w14:paraId="421414B2" w14:textId="77777777" w:rsidR="003338FC" w:rsidRPr="00DD7B93" w:rsidRDefault="003338FC" w:rsidP="003338FC">
      <w:pPr>
        <w:pStyle w:val="Description"/>
      </w:pPr>
      <w:r w:rsidRPr="00DD7B93">
        <w:tab/>
        <w:t>• The percentage of discharges for which the member received follow-up within 7 days of discharge.</w:t>
      </w:r>
    </w:p>
    <w:p w14:paraId="176AC1AA" w14:textId="7CDEB86A" w:rsidR="003338FC" w:rsidRDefault="003338FC" w:rsidP="004F572C">
      <w:pPr>
        <w:pStyle w:val="Description"/>
      </w:pPr>
      <w:r w:rsidRPr="00DD7B93">
        <w:tab/>
        <w:t>(</w:t>
      </w:r>
      <w:r w:rsidR="00D35EAA">
        <w:t>HEDIS Measurement Year 2020 and 2021</w:t>
      </w:r>
      <w:r w:rsidRPr="00DD7B93">
        <w:t xml:space="preserve">, Volume 2: Technical Specification, Pg. </w:t>
      </w:r>
      <w:r w:rsidR="004A3B7C">
        <w:t>251</w:t>
      </w:r>
      <w:r w:rsidRPr="00DD7B93">
        <w:t>)</w:t>
      </w:r>
      <w:r w:rsidRPr="00DD7B93">
        <w:tab/>
      </w:r>
    </w:p>
    <w:p w14:paraId="759457CB" w14:textId="77777777" w:rsidR="00E112DF" w:rsidRPr="00DD7B93" w:rsidRDefault="00E112DF" w:rsidP="00E112DF">
      <w:pPr>
        <w:pStyle w:val="Heading4"/>
        <w:rPr>
          <w:i w:val="0"/>
          <w:color w:val="auto"/>
          <w:sz w:val="20"/>
          <w:szCs w:val="20"/>
        </w:rPr>
      </w:pPr>
      <w:r w:rsidRPr="00DD7B93">
        <w:rPr>
          <w:i w:val="0"/>
          <w:color w:val="auto"/>
          <w:sz w:val="20"/>
          <w:szCs w:val="20"/>
        </w:rPr>
        <w:t>FUM - Follow-Up after Emergency Department Visit for Mental Illness</w:t>
      </w:r>
    </w:p>
    <w:p w14:paraId="56F8FA0F" w14:textId="77777777" w:rsidR="00E112DF" w:rsidRPr="00DD7B93" w:rsidRDefault="00E112DF" w:rsidP="00E112DF">
      <w:pPr>
        <w:pStyle w:val="Description"/>
      </w:pPr>
      <w:r w:rsidRPr="00DD7B93">
        <w:tab/>
        <w:t>The percentage of emergency department (ED) visits for members 6 years of age and older with a principal diagnosis of mental illness, who had a follow-up visit for mental illness. Two rates are reported:</w:t>
      </w:r>
    </w:p>
    <w:p w14:paraId="289E0045" w14:textId="1A567D86" w:rsidR="00E112DF" w:rsidRPr="00DD7B93" w:rsidRDefault="00E3736E" w:rsidP="00E112DF">
      <w:pPr>
        <w:pStyle w:val="Description"/>
      </w:pPr>
      <w:r>
        <w:tab/>
      </w:r>
      <w:r w:rsidRPr="00F96316">
        <w:rPr>
          <w:szCs w:val="18"/>
        </w:rPr>
        <w:t>•</w:t>
      </w:r>
      <w:r>
        <w:rPr>
          <w:szCs w:val="18"/>
        </w:rPr>
        <w:t xml:space="preserve"> </w:t>
      </w:r>
      <w:r w:rsidR="00E112DF" w:rsidRPr="00DD7B93">
        <w:t xml:space="preserve">The percentage of ED visits for which the member received follow-up within 30 days of the ED visit (31 total </w:t>
      </w:r>
      <w:r w:rsidR="00B124FF">
        <w:t>days).</w:t>
      </w:r>
    </w:p>
    <w:p w14:paraId="507D2358" w14:textId="0B32D536" w:rsidR="00E112DF" w:rsidRPr="00DD7B93" w:rsidRDefault="00E3736E" w:rsidP="00E112DF">
      <w:pPr>
        <w:pStyle w:val="Description"/>
      </w:pPr>
      <w:r>
        <w:tab/>
      </w:r>
      <w:r w:rsidRPr="00F96316">
        <w:rPr>
          <w:szCs w:val="18"/>
        </w:rPr>
        <w:t>•</w:t>
      </w:r>
      <w:r>
        <w:rPr>
          <w:szCs w:val="18"/>
        </w:rPr>
        <w:t xml:space="preserve"> </w:t>
      </w:r>
      <w:r w:rsidR="00E112DF" w:rsidRPr="00DD7B93">
        <w:t>The percentage of ED visits for which the member received follow-up within 7 days of the ED visit (8 total days).</w:t>
      </w:r>
    </w:p>
    <w:p w14:paraId="6BC1BD5C" w14:textId="0F8B16A0" w:rsidR="00E112DF" w:rsidRDefault="00E112DF" w:rsidP="00E112DF">
      <w:pPr>
        <w:pStyle w:val="Description"/>
      </w:pPr>
      <w:r w:rsidRPr="00DD7B93">
        <w:tab/>
        <w:t>(</w:t>
      </w:r>
      <w:r w:rsidR="00D35EAA">
        <w:t>HEDIS Measurement Year 2020 and 2021</w:t>
      </w:r>
      <w:r w:rsidRPr="00DD7B93">
        <w:t xml:space="preserve">, Volume 2: Technical Specification, Pg. </w:t>
      </w:r>
      <w:r w:rsidR="0005048D">
        <w:t>2</w:t>
      </w:r>
      <w:r w:rsidR="004A3B7C">
        <w:t>56</w:t>
      </w:r>
      <w:r w:rsidRPr="00DD7B93">
        <w:t>)</w:t>
      </w:r>
      <w:r w:rsidRPr="00DD7B93">
        <w:tab/>
      </w:r>
    </w:p>
    <w:p w14:paraId="028A5CD3" w14:textId="77777777" w:rsidR="00E112DF" w:rsidRPr="00DD7B93" w:rsidRDefault="00E112DF" w:rsidP="00E112DF">
      <w:pPr>
        <w:pStyle w:val="Heading4"/>
        <w:rPr>
          <w:i w:val="0"/>
          <w:color w:val="auto"/>
          <w:sz w:val="20"/>
          <w:szCs w:val="20"/>
        </w:rPr>
      </w:pPr>
      <w:r w:rsidRPr="00DD7B93">
        <w:rPr>
          <w:i w:val="0"/>
          <w:color w:val="auto"/>
          <w:sz w:val="20"/>
          <w:szCs w:val="20"/>
        </w:rPr>
        <w:t>HPC - Hospitalization for Potentially Preventable Complications</w:t>
      </w:r>
    </w:p>
    <w:p w14:paraId="1117BB6F" w14:textId="77777777" w:rsidR="00E112DF" w:rsidRPr="00DD7B93" w:rsidRDefault="00E112DF" w:rsidP="00E112DF">
      <w:pPr>
        <w:pStyle w:val="Description"/>
      </w:pPr>
      <w:r w:rsidRPr="00DD7B93">
        <w:tab/>
        <w:t>DESCRIPTION - For members 67 years of age and older, the rate of discharges for ambulatory care sensitive conditions (ACSC) per 1,000 members and the risk-adjusted ratio of observed to expected discharges for ACSC by chronic and acute conditions.</w:t>
      </w:r>
    </w:p>
    <w:p w14:paraId="567E4E51" w14:textId="064F39C6" w:rsidR="00E112DF" w:rsidRDefault="00E112DF" w:rsidP="00E112DF">
      <w:pPr>
        <w:pStyle w:val="Description"/>
      </w:pPr>
      <w:r w:rsidRPr="00DD7B93">
        <w:tab/>
        <w:t>(</w:t>
      </w:r>
      <w:r w:rsidR="00D35EAA">
        <w:t>HEDIS Measurement Year 2020 and 2021</w:t>
      </w:r>
      <w:r w:rsidRPr="00DD7B93">
        <w:t xml:space="preserve">, Volume 2: Technical Specification, Pg. </w:t>
      </w:r>
      <w:r w:rsidR="004A3B7C">
        <w:t>537</w:t>
      </w:r>
      <w:r w:rsidRPr="00DD7B93">
        <w:t>)</w:t>
      </w:r>
    </w:p>
    <w:p w14:paraId="468F64B9" w14:textId="77777777" w:rsidR="00E112DF" w:rsidRPr="00DD7B93" w:rsidRDefault="00E112DF" w:rsidP="00E112DF">
      <w:pPr>
        <w:pStyle w:val="Heading4"/>
        <w:rPr>
          <w:i w:val="0"/>
          <w:color w:val="auto"/>
          <w:sz w:val="20"/>
          <w:szCs w:val="20"/>
        </w:rPr>
      </w:pPr>
      <w:r w:rsidRPr="00DD7B93">
        <w:rPr>
          <w:i w:val="0"/>
          <w:color w:val="auto"/>
          <w:sz w:val="20"/>
          <w:szCs w:val="20"/>
        </w:rPr>
        <w:t>IAD - Identification of Alcohol and Other Drug Services</w:t>
      </w:r>
    </w:p>
    <w:p w14:paraId="0617EB3F" w14:textId="33ABBF7B" w:rsidR="00E112DF" w:rsidRPr="00DD7B93" w:rsidRDefault="00E112DF" w:rsidP="00E112DF">
      <w:pPr>
        <w:pStyle w:val="Description"/>
      </w:pPr>
      <w:r w:rsidRPr="00DD7B93">
        <w:tab/>
        <w:t>DESCRIPTION - This measure summarizes the number and percentage of members with an alcohol and other drug (AOD) claim who received the following chemical dependency servi</w:t>
      </w:r>
      <w:r w:rsidR="00B124FF">
        <w:t>ces during the measurement year.</w:t>
      </w:r>
    </w:p>
    <w:p w14:paraId="5EA881CA" w14:textId="77777777" w:rsidR="00E112DF" w:rsidRPr="00DD7B93" w:rsidRDefault="00E112DF" w:rsidP="00E112DF">
      <w:pPr>
        <w:pStyle w:val="Description"/>
      </w:pPr>
      <w:r w:rsidRPr="00DD7B93">
        <w:tab/>
        <w:t>• Inpatient</w:t>
      </w:r>
    </w:p>
    <w:p w14:paraId="0187FB2D" w14:textId="77777777" w:rsidR="00E112DF" w:rsidRPr="00DD7B93" w:rsidRDefault="00E112DF" w:rsidP="00E112DF">
      <w:pPr>
        <w:pStyle w:val="Description"/>
      </w:pPr>
      <w:r w:rsidRPr="00DD7B93">
        <w:tab/>
        <w:t>• Intensive outpatient or partial hospitalization</w:t>
      </w:r>
    </w:p>
    <w:p w14:paraId="58BBAA30" w14:textId="77777777" w:rsidR="00E112DF" w:rsidRPr="00DD7B93" w:rsidRDefault="00E112DF" w:rsidP="00E112DF">
      <w:pPr>
        <w:pStyle w:val="Description"/>
      </w:pPr>
      <w:r w:rsidRPr="00DD7B93">
        <w:tab/>
        <w:t>• Outpatient or an ambulatory MAT dispensing event</w:t>
      </w:r>
    </w:p>
    <w:p w14:paraId="327CE029" w14:textId="77777777" w:rsidR="00E112DF" w:rsidRPr="00DD7B93" w:rsidRDefault="00E112DF" w:rsidP="00E112DF">
      <w:pPr>
        <w:pStyle w:val="Description"/>
      </w:pPr>
      <w:r w:rsidRPr="00DD7B93">
        <w:tab/>
        <w:t>• ED</w:t>
      </w:r>
    </w:p>
    <w:p w14:paraId="7BB05956" w14:textId="77777777" w:rsidR="00E112DF" w:rsidRPr="00DD7B93" w:rsidRDefault="00E112DF" w:rsidP="00E112DF">
      <w:pPr>
        <w:pStyle w:val="Description"/>
      </w:pPr>
      <w:r w:rsidRPr="00DD7B93">
        <w:tab/>
        <w:t xml:space="preserve">• Telehealth </w:t>
      </w:r>
    </w:p>
    <w:p w14:paraId="37602D48" w14:textId="75CE73AC" w:rsidR="00E112DF" w:rsidRPr="00DD7B93" w:rsidRDefault="00E112DF" w:rsidP="00E112DF">
      <w:pPr>
        <w:pStyle w:val="Description"/>
      </w:pPr>
      <w:r w:rsidRPr="00DD7B93">
        <w:tab/>
        <w:t>• Any service</w:t>
      </w:r>
    </w:p>
    <w:p w14:paraId="7FB5F280" w14:textId="5603ACF7" w:rsidR="00E112DF" w:rsidRPr="00DD7B93" w:rsidRDefault="00E112DF" w:rsidP="00E112DF">
      <w:pPr>
        <w:pStyle w:val="Description"/>
      </w:pPr>
      <w:r w:rsidRPr="00DD7B93">
        <w:tab/>
      </w:r>
      <w:r w:rsidRPr="00DD7B93">
        <w:tab/>
        <w:t>(</w:t>
      </w:r>
      <w:r w:rsidR="00D35EAA">
        <w:t>HEDIS Measurement Year 2020 and 2021</w:t>
      </w:r>
      <w:r w:rsidRPr="00DD7B93">
        <w:t xml:space="preserve">, Volume 2: Technical Specification, Pg. </w:t>
      </w:r>
      <w:r w:rsidR="004A3B7C">
        <w:t>468</w:t>
      </w:r>
      <w:r w:rsidRPr="00DD7B93">
        <w:t>)</w:t>
      </w:r>
    </w:p>
    <w:p w14:paraId="0225266B" w14:textId="77777777" w:rsidR="00DD7B93" w:rsidRPr="00DD7B93" w:rsidRDefault="00DD7B93" w:rsidP="00DD7B93">
      <w:pPr>
        <w:pStyle w:val="Heading4"/>
        <w:rPr>
          <w:i w:val="0"/>
          <w:color w:val="auto"/>
          <w:sz w:val="20"/>
          <w:szCs w:val="20"/>
        </w:rPr>
      </w:pPr>
      <w:r w:rsidRPr="00DD7B93">
        <w:rPr>
          <w:i w:val="0"/>
          <w:color w:val="auto"/>
          <w:sz w:val="20"/>
          <w:szCs w:val="20"/>
        </w:rPr>
        <w:t>IET - Initiation and Engagement of Alcohol and Other Drug Dependence Treatment</w:t>
      </w:r>
    </w:p>
    <w:p w14:paraId="663F8B8B" w14:textId="77777777" w:rsidR="00DD7B93" w:rsidRPr="00DD7B93" w:rsidRDefault="00DD7B93" w:rsidP="00DD7B93">
      <w:pPr>
        <w:pStyle w:val="Description"/>
      </w:pPr>
      <w:r w:rsidRPr="00DD7B93">
        <w:tab/>
        <w:t>DESCRIPTION - The percentage of adolescent and adult members with a new episode of alcohol or other drug (AOD) dependence who received the following.</w:t>
      </w:r>
    </w:p>
    <w:p w14:paraId="2ED947F0" w14:textId="77777777" w:rsidR="00DD7B93" w:rsidRPr="00DD7B93" w:rsidRDefault="00DD7B93" w:rsidP="00DD7B93">
      <w:pPr>
        <w:pStyle w:val="Description"/>
      </w:pPr>
      <w:r w:rsidRPr="00DD7B93">
        <w:tab/>
        <w:t>• Initiation of AOD Treatment. The percentage of members who initiate treatment through an inpatient AOD admission, outpatient visit, intensive outpatient encounter or partial hospitalization within 14 days of the diagnosis.</w:t>
      </w:r>
    </w:p>
    <w:p w14:paraId="60A99701" w14:textId="77777777" w:rsidR="00DD7B93" w:rsidRPr="00DD7B93" w:rsidRDefault="00DD7B93" w:rsidP="00DD7B93">
      <w:pPr>
        <w:pStyle w:val="Description"/>
      </w:pPr>
      <w:r w:rsidRPr="00DD7B93">
        <w:tab/>
        <w:t>• Engagement of AOD Treatment. The percentage of members who initiated treatment and who had two or more additional services with a diagnosis of AOD within 30 days of the initiation visit.</w:t>
      </w:r>
    </w:p>
    <w:p w14:paraId="2F53804E" w14:textId="77777777" w:rsidR="004A3B7C" w:rsidRDefault="00DD7B93" w:rsidP="00DD7B93">
      <w:pPr>
        <w:pStyle w:val="Description"/>
      </w:pPr>
      <w:r w:rsidRPr="00DD7B93">
        <w:tab/>
        <w:t>(</w:t>
      </w:r>
      <w:r w:rsidR="00D35EAA">
        <w:t>HEDIS Measurement Year 2020 and 2021</w:t>
      </w:r>
      <w:r w:rsidRPr="00DD7B93">
        <w:t xml:space="preserve">, Volume 2: Technical Specification, Pg. </w:t>
      </w:r>
      <w:r w:rsidR="004A3B7C">
        <w:t>411</w:t>
      </w:r>
      <w:r w:rsidRPr="00DD7B93">
        <w:t>)</w:t>
      </w:r>
    </w:p>
    <w:p w14:paraId="646C9ED2" w14:textId="77777777" w:rsidR="004A3B7C" w:rsidRDefault="004A3B7C">
      <w:pPr>
        <w:spacing w:line="276" w:lineRule="auto"/>
        <w:rPr>
          <w:sz w:val="18"/>
          <w:szCs w:val="24"/>
        </w:rPr>
      </w:pPr>
      <w:r>
        <w:br w:type="page"/>
      </w:r>
    </w:p>
    <w:p w14:paraId="6512F2E1" w14:textId="316E02C2" w:rsidR="00DD7B93" w:rsidRDefault="00DD7B93" w:rsidP="00DD7B93">
      <w:pPr>
        <w:pStyle w:val="Description"/>
      </w:pPr>
      <w:r w:rsidRPr="00DD7B93">
        <w:lastRenderedPageBreak/>
        <w:tab/>
      </w:r>
    </w:p>
    <w:p w14:paraId="7B9A283D" w14:textId="77777777" w:rsidR="00E112DF" w:rsidRPr="00DD7B93" w:rsidRDefault="00E112DF" w:rsidP="00E112DF">
      <w:pPr>
        <w:pStyle w:val="Heading4"/>
        <w:rPr>
          <w:i w:val="0"/>
          <w:color w:val="auto"/>
          <w:sz w:val="20"/>
          <w:szCs w:val="20"/>
        </w:rPr>
      </w:pPr>
      <w:r w:rsidRPr="00DD7B93">
        <w:rPr>
          <w:i w:val="0"/>
          <w:color w:val="auto"/>
          <w:sz w:val="20"/>
          <w:szCs w:val="20"/>
        </w:rPr>
        <w:t>LDM - Language Diversity of Membership</w:t>
      </w:r>
    </w:p>
    <w:p w14:paraId="6406A34B" w14:textId="77777777" w:rsidR="0005048D" w:rsidRDefault="00E112DF" w:rsidP="00DD7B93">
      <w:pPr>
        <w:pStyle w:val="Description"/>
      </w:pPr>
      <w:r w:rsidRPr="00DD7B93">
        <w:tab/>
        <w:t xml:space="preserve">DESCRIPTION - An unduplicated count and percentage of members enrolled at any time during the measurement year by spoken language preferred for health care and preferred language for written materials. </w:t>
      </w:r>
    </w:p>
    <w:p w14:paraId="6DB36D41" w14:textId="5F95D174" w:rsidR="00E112DF" w:rsidRDefault="0005048D" w:rsidP="00DD7B93">
      <w:pPr>
        <w:pStyle w:val="Description"/>
      </w:pPr>
      <w:r>
        <w:tab/>
      </w:r>
      <w:r w:rsidR="00E112DF" w:rsidRPr="00DD7B93">
        <w:t>(</w:t>
      </w:r>
      <w:r w:rsidR="00D35EAA">
        <w:t>HEDIS Measurement Year 2020 and 2021</w:t>
      </w:r>
      <w:r w:rsidR="00E112DF" w:rsidRPr="00DD7B93">
        <w:t xml:space="preserve">, Volume 2: Technical Specification, Pg. </w:t>
      </w:r>
      <w:r w:rsidR="004A3B7C">
        <w:t>556</w:t>
      </w:r>
      <w:r w:rsidR="00E112DF" w:rsidRPr="00DD7B93">
        <w:t>)</w:t>
      </w:r>
      <w:r w:rsidR="00E112DF" w:rsidRPr="00DD7B93">
        <w:tab/>
      </w:r>
    </w:p>
    <w:p w14:paraId="710391ED" w14:textId="77777777" w:rsidR="003338FC" w:rsidRPr="00DD7B93" w:rsidRDefault="004F572C" w:rsidP="003338FC">
      <w:pPr>
        <w:pStyle w:val="Heading4"/>
        <w:rPr>
          <w:i w:val="0"/>
          <w:color w:val="auto"/>
          <w:sz w:val="20"/>
          <w:szCs w:val="20"/>
        </w:rPr>
      </w:pPr>
      <w:r w:rsidRPr="00DD7B93">
        <w:rPr>
          <w:i w:val="0"/>
          <w:color w:val="auto"/>
          <w:sz w:val="20"/>
          <w:szCs w:val="20"/>
        </w:rPr>
        <w:t>OMW</w:t>
      </w:r>
      <w:r w:rsidR="003338FC" w:rsidRPr="00DD7B93">
        <w:rPr>
          <w:i w:val="0"/>
          <w:color w:val="auto"/>
          <w:sz w:val="20"/>
          <w:szCs w:val="20"/>
        </w:rPr>
        <w:t xml:space="preserve"> - Osteoporosis Management in Women Who </w:t>
      </w:r>
      <w:r w:rsidRPr="00DD7B93">
        <w:rPr>
          <w:i w:val="0"/>
          <w:color w:val="auto"/>
          <w:sz w:val="20"/>
          <w:szCs w:val="20"/>
        </w:rPr>
        <w:t>Had a Fracture</w:t>
      </w:r>
    </w:p>
    <w:p w14:paraId="31022923" w14:textId="77777777" w:rsidR="0005048D" w:rsidRDefault="003338FC" w:rsidP="003338FC">
      <w:pPr>
        <w:pStyle w:val="Description"/>
      </w:pPr>
      <w:r w:rsidRPr="00DD7B93">
        <w:tab/>
        <w:t xml:space="preserve">DESCRIPTION - The percentage of women 67–85 years of age who suffered a fracture and who had either a bone mineral density (BMD) test or prescription for a drug to treat osteoporosis in the six months after the fracture. </w:t>
      </w:r>
    </w:p>
    <w:p w14:paraId="3AF0EDD2" w14:textId="2701EFDC" w:rsidR="003338FC" w:rsidRPr="00DD7B93" w:rsidRDefault="0005048D" w:rsidP="003338FC">
      <w:pPr>
        <w:pStyle w:val="Description"/>
      </w:pPr>
      <w:r>
        <w:tab/>
      </w:r>
      <w:r w:rsidR="003338FC" w:rsidRPr="00DD7B93">
        <w:t>(</w:t>
      </w:r>
      <w:r w:rsidR="00D35EAA">
        <w:t>HEDIS Measurement Year 2020 and 2021</w:t>
      </w:r>
      <w:r w:rsidR="003338FC" w:rsidRPr="00DD7B93">
        <w:t xml:space="preserve">, Volume 2: Technical Specification, Pg. </w:t>
      </w:r>
      <w:r w:rsidR="004A3B7C">
        <w:t>225</w:t>
      </w:r>
      <w:r w:rsidR="003338FC" w:rsidRPr="00DD7B93">
        <w:t>)</w:t>
      </w:r>
    </w:p>
    <w:p w14:paraId="47E05D6B" w14:textId="77777777" w:rsidR="003338FC" w:rsidRPr="00DD7B93" w:rsidRDefault="004F572C" w:rsidP="003338FC">
      <w:pPr>
        <w:pStyle w:val="Heading4"/>
        <w:rPr>
          <w:i w:val="0"/>
          <w:color w:val="auto"/>
          <w:sz w:val="20"/>
          <w:szCs w:val="20"/>
        </w:rPr>
      </w:pPr>
      <w:r w:rsidRPr="00DD7B93">
        <w:rPr>
          <w:i w:val="0"/>
          <w:color w:val="auto"/>
          <w:sz w:val="20"/>
          <w:szCs w:val="20"/>
        </w:rPr>
        <w:t>PBH</w:t>
      </w:r>
      <w:r w:rsidR="003338FC" w:rsidRPr="00DD7B93">
        <w:rPr>
          <w:i w:val="0"/>
          <w:color w:val="auto"/>
          <w:sz w:val="20"/>
          <w:szCs w:val="20"/>
        </w:rPr>
        <w:t xml:space="preserve"> - Persistence of Beta-Blocker Trea</w:t>
      </w:r>
      <w:r w:rsidRPr="00DD7B93">
        <w:rPr>
          <w:i w:val="0"/>
          <w:color w:val="auto"/>
          <w:sz w:val="20"/>
          <w:szCs w:val="20"/>
        </w:rPr>
        <w:t>tment After a Heart Attack</w:t>
      </w:r>
    </w:p>
    <w:p w14:paraId="056C9A55" w14:textId="480F199C" w:rsidR="0005048D" w:rsidRDefault="003338FC" w:rsidP="003338FC">
      <w:pPr>
        <w:pStyle w:val="Description"/>
      </w:pPr>
      <w:r w:rsidRPr="00DD7B93">
        <w:tab/>
        <w:t xml:space="preserve">DESCRIPTION - The percentage of members 18 years of age and older during the measurement year who were hospitalized and discharged from July 1 </w:t>
      </w:r>
      <w:r w:rsidR="00563FF5">
        <w:t>(</w:t>
      </w:r>
      <w:r w:rsidRPr="00DD7B93">
        <w:t>of the year prior to the measurement year</w:t>
      </w:r>
      <w:r w:rsidR="00563FF5">
        <w:t>)</w:t>
      </w:r>
      <w:r w:rsidRPr="00DD7B93">
        <w:t xml:space="preserve"> to June 30 of the measurement year with a diagnosis of AMI and who received persistent beta-blocker treatment for six months after discharge. </w:t>
      </w:r>
    </w:p>
    <w:p w14:paraId="326954CB" w14:textId="38BFB358" w:rsidR="003338FC" w:rsidRDefault="0005048D" w:rsidP="003338FC">
      <w:pPr>
        <w:pStyle w:val="Description"/>
      </w:pPr>
      <w:r>
        <w:tab/>
      </w:r>
      <w:r w:rsidR="003338FC" w:rsidRPr="00DD7B93">
        <w:t>(</w:t>
      </w:r>
      <w:r w:rsidR="00D35EAA">
        <w:t>HEDIS Measurement Year 2020 and 2021</w:t>
      </w:r>
      <w:r w:rsidR="003338FC" w:rsidRPr="00DD7B93">
        <w:t xml:space="preserve">, Volume 2: Technical Specification, Pg. </w:t>
      </w:r>
      <w:r w:rsidR="004A3B7C">
        <w:t>161)</w:t>
      </w:r>
    </w:p>
    <w:p w14:paraId="0DE6C624" w14:textId="77777777" w:rsidR="00DD7B93" w:rsidRPr="00DD7B93" w:rsidRDefault="00DD7B93" w:rsidP="00DD7B93">
      <w:pPr>
        <w:pStyle w:val="Heading4"/>
        <w:rPr>
          <w:i w:val="0"/>
          <w:color w:val="auto"/>
          <w:sz w:val="20"/>
          <w:szCs w:val="20"/>
        </w:rPr>
      </w:pPr>
      <w:r w:rsidRPr="00DD7B93">
        <w:rPr>
          <w:i w:val="0"/>
          <w:color w:val="auto"/>
          <w:sz w:val="20"/>
          <w:szCs w:val="20"/>
        </w:rPr>
        <w:t>PCE - Pharmacotherapy Management of COPD Exacerbation</w:t>
      </w:r>
    </w:p>
    <w:p w14:paraId="694C171C" w14:textId="77777777" w:rsidR="00DD7B93" w:rsidRPr="00DD7B93" w:rsidRDefault="00DD7B93" w:rsidP="00DD7B93">
      <w:pPr>
        <w:pStyle w:val="Description"/>
      </w:pPr>
      <w:r w:rsidRPr="00DD7B93">
        <w:tab/>
        <w:t>DESCRIPTION - The percentage of COPD exacerbations for members 40 years of age and older who had an acute inpatient discharge or ED visit on or between January 1–November 30 of the measurement year and who were dispensed appropriate medications. Two rates are reported:</w:t>
      </w:r>
    </w:p>
    <w:p w14:paraId="271F8AAE" w14:textId="77777777" w:rsidR="00DD7B93" w:rsidRPr="00DD7B93" w:rsidRDefault="00DD7B93" w:rsidP="00DD7B93">
      <w:pPr>
        <w:pStyle w:val="Description"/>
      </w:pPr>
      <w:r w:rsidRPr="00DD7B93">
        <w:tab/>
        <w:t>• Dispensed a systemic corticosteroid (or there was evidence of an active prescription) within 14 days of the event.</w:t>
      </w:r>
    </w:p>
    <w:p w14:paraId="0017F235" w14:textId="09D86FB5" w:rsidR="00DD7B93" w:rsidRPr="00DD7B93" w:rsidRDefault="007459FB" w:rsidP="00DD7B93">
      <w:pPr>
        <w:pStyle w:val="Description"/>
      </w:pPr>
      <w:r>
        <w:tab/>
        <w:t xml:space="preserve">• </w:t>
      </w:r>
      <w:r w:rsidR="00DD7B93" w:rsidRPr="00DD7B93">
        <w:t>Dispensed a bronchodilator (or there was evidence of an active prescription) within 30 days of the event.</w:t>
      </w:r>
    </w:p>
    <w:p w14:paraId="31B38930" w14:textId="77777777" w:rsidR="00DD7B93" w:rsidRPr="00DD7B93" w:rsidRDefault="00DD7B93" w:rsidP="00DD7B93">
      <w:pPr>
        <w:pStyle w:val="Description"/>
      </w:pPr>
      <w:r w:rsidRPr="00DD7B93">
        <w:tab/>
        <w:t>Note: The eligible population for this measure is based on acute inpatient discharges and ED visits, not on members. It is possible for the denominator to include multiple events for the same individual.</w:t>
      </w:r>
    </w:p>
    <w:p w14:paraId="4FA2B72D" w14:textId="14AA5128" w:rsidR="00DD7B93" w:rsidRDefault="00DD7B93" w:rsidP="003338FC">
      <w:pPr>
        <w:pStyle w:val="Description"/>
      </w:pPr>
      <w:r w:rsidRPr="00DD7B93">
        <w:tab/>
        <w:t>(</w:t>
      </w:r>
      <w:r w:rsidR="00D35EAA">
        <w:t>HEDIS Measurement Year 2020 and 2021</w:t>
      </w:r>
      <w:r w:rsidRPr="00DD7B93">
        <w:t xml:space="preserve">, Volume 2: Technical Specification, Pg. </w:t>
      </w:r>
      <w:r w:rsidR="004A3B7C">
        <w:t>139</w:t>
      </w:r>
      <w:r w:rsidRPr="00DD7B93">
        <w:t>)</w:t>
      </w:r>
    </w:p>
    <w:p w14:paraId="305A1E6D" w14:textId="77777777" w:rsidR="00034610" w:rsidRPr="00DD7B93" w:rsidRDefault="00034610" w:rsidP="00034610">
      <w:pPr>
        <w:pStyle w:val="Heading4"/>
        <w:rPr>
          <w:i w:val="0"/>
          <w:color w:val="auto"/>
          <w:sz w:val="20"/>
          <w:szCs w:val="20"/>
        </w:rPr>
      </w:pPr>
      <w:r w:rsidRPr="00DD7B93">
        <w:rPr>
          <w:i w:val="0"/>
          <w:color w:val="auto"/>
          <w:sz w:val="20"/>
          <w:szCs w:val="20"/>
        </w:rPr>
        <w:t>PCR - Plan All-Cause Readmissions</w:t>
      </w:r>
    </w:p>
    <w:p w14:paraId="0C4E16B7" w14:textId="67EEA673" w:rsidR="00034610" w:rsidRPr="00DD7B93" w:rsidRDefault="00034610" w:rsidP="00034610">
      <w:pPr>
        <w:pStyle w:val="Description"/>
      </w:pPr>
      <w:r w:rsidRPr="00DD7B93">
        <w:tab/>
        <w:t>DESCRIPTION - For members 18 years of age and older, the number of acute inpatient stays during the measurement year that were followed by an unplanned acute readmission for any diagnosis within 30 days and the predicted probability of an acute readmission. Data are repor</w:t>
      </w:r>
      <w:r w:rsidR="007300CB">
        <w:t>ted in the following categories.</w:t>
      </w:r>
    </w:p>
    <w:p w14:paraId="2ACA192A" w14:textId="4802845A" w:rsidR="00034610" w:rsidRPr="00DD7B93" w:rsidRDefault="007300CB" w:rsidP="00034610">
      <w:pPr>
        <w:pStyle w:val="Description"/>
      </w:pPr>
      <w:r>
        <w:tab/>
      </w:r>
      <w:r w:rsidRPr="00F96316">
        <w:rPr>
          <w:szCs w:val="18"/>
        </w:rPr>
        <w:t>•</w:t>
      </w:r>
      <w:r>
        <w:rPr>
          <w:szCs w:val="18"/>
        </w:rPr>
        <w:t xml:space="preserve"> </w:t>
      </w:r>
      <w:r w:rsidR="00034610" w:rsidRPr="00DD7B93">
        <w:t>Count of Index Hospital Stays (IHS) (denominator)</w:t>
      </w:r>
    </w:p>
    <w:p w14:paraId="263419F4" w14:textId="1858A719" w:rsidR="00034610" w:rsidRPr="00DD7B93" w:rsidRDefault="007300CB" w:rsidP="00034610">
      <w:pPr>
        <w:pStyle w:val="Description"/>
      </w:pPr>
      <w:r>
        <w:tab/>
      </w:r>
      <w:r w:rsidRPr="00F96316">
        <w:rPr>
          <w:szCs w:val="18"/>
        </w:rPr>
        <w:t>•</w:t>
      </w:r>
      <w:r>
        <w:rPr>
          <w:szCs w:val="18"/>
        </w:rPr>
        <w:t xml:space="preserve"> </w:t>
      </w:r>
      <w:r w:rsidR="00034610" w:rsidRPr="00DD7B93">
        <w:t>Count of 30-Day Readmissions (numerator)</w:t>
      </w:r>
    </w:p>
    <w:p w14:paraId="37D47A3C" w14:textId="759F34DA" w:rsidR="00034610" w:rsidRPr="00DD7B93" w:rsidRDefault="007300CB" w:rsidP="00034610">
      <w:pPr>
        <w:pStyle w:val="Description"/>
      </w:pPr>
      <w:r>
        <w:tab/>
      </w:r>
      <w:r w:rsidRPr="00F96316">
        <w:rPr>
          <w:szCs w:val="18"/>
        </w:rPr>
        <w:t>•</w:t>
      </w:r>
      <w:r>
        <w:rPr>
          <w:szCs w:val="18"/>
        </w:rPr>
        <w:t xml:space="preserve"> </w:t>
      </w:r>
      <w:r w:rsidR="00034610" w:rsidRPr="00DD7B93">
        <w:t>Expected Readmissions Rate</w:t>
      </w:r>
    </w:p>
    <w:p w14:paraId="6D622C68" w14:textId="5621C7C3" w:rsidR="00034610" w:rsidRDefault="00034610" w:rsidP="003338FC">
      <w:pPr>
        <w:pStyle w:val="Description"/>
      </w:pPr>
      <w:r w:rsidRPr="00DD7B93">
        <w:tab/>
        <w:t>(</w:t>
      </w:r>
      <w:r w:rsidR="00D35EAA">
        <w:t>HEDIS Measurement Year 2020 and 2021</w:t>
      </w:r>
      <w:r w:rsidRPr="00DD7B93">
        <w:t xml:space="preserve">, Volume 2: Technical Specification, Pg. </w:t>
      </w:r>
      <w:r w:rsidR="007D4A43">
        <w:t>504</w:t>
      </w:r>
      <w:r w:rsidRPr="00DD7B93">
        <w:t>)</w:t>
      </w:r>
    </w:p>
    <w:p w14:paraId="6A4E7F19" w14:textId="77777777" w:rsidR="00E112DF" w:rsidRPr="00DD7B93" w:rsidRDefault="00E112DF" w:rsidP="00E112DF">
      <w:pPr>
        <w:pStyle w:val="Heading4"/>
        <w:rPr>
          <w:i w:val="0"/>
          <w:color w:val="auto"/>
          <w:sz w:val="20"/>
          <w:szCs w:val="20"/>
        </w:rPr>
      </w:pPr>
      <w:r w:rsidRPr="00DD7B93">
        <w:rPr>
          <w:i w:val="0"/>
          <w:color w:val="auto"/>
          <w:sz w:val="20"/>
          <w:szCs w:val="20"/>
        </w:rPr>
        <w:t>PSA - Non-Recommended PSA-Based Screening in Older Men</w:t>
      </w:r>
    </w:p>
    <w:p w14:paraId="606EE2E2" w14:textId="77777777" w:rsidR="00E112DF" w:rsidRPr="00DD7B93" w:rsidRDefault="00E112DF" w:rsidP="00E112DF">
      <w:pPr>
        <w:pStyle w:val="Description"/>
      </w:pPr>
      <w:r w:rsidRPr="00DD7B93">
        <w:tab/>
        <w:t>DESCRIPTION - The percentage of men 70 years and older who were screened unnecessarily for prostate cancer using prostate-specific antigen (PSA)-based screening.</w:t>
      </w:r>
    </w:p>
    <w:p w14:paraId="1902DB29" w14:textId="77777777" w:rsidR="00E112DF" w:rsidRPr="00DD7B93" w:rsidRDefault="00E112DF" w:rsidP="00E112DF">
      <w:pPr>
        <w:pStyle w:val="Description"/>
      </w:pPr>
      <w:r w:rsidRPr="00DD7B93">
        <w:tab/>
        <w:t xml:space="preserve">Note: A lower rate indicates better performance. </w:t>
      </w:r>
    </w:p>
    <w:p w14:paraId="2C0125D7" w14:textId="0EA79846" w:rsidR="00E112DF" w:rsidRPr="00DD7B93" w:rsidRDefault="00E112DF" w:rsidP="003338FC">
      <w:pPr>
        <w:pStyle w:val="Description"/>
      </w:pPr>
      <w:r w:rsidRPr="00DD7B93">
        <w:tab/>
        <w:t>(</w:t>
      </w:r>
      <w:r w:rsidR="00D35EAA">
        <w:t>HEDIS Measurement Year 2020 and 2021</w:t>
      </w:r>
      <w:r w:rsidRPr="00DD7B93">
        <w:t xml:space="preserve">, Volume 2: Technical Specification, Pg. </w:t>
      </w:r>
      <w:r w:rsidR="007D4A43">
        <w:t>327</w:t>
      </w:r>
      <w:r w:rsidRPr="00DD7B93">
        <w:t>)</w:t>
      </w:r>
    </w:p>
    <w:p w14:paraId="431572C3" w14:textId="77777777" w:rsidR="003338FC" w:rsidRPr="00DD7B93" w:rsidRDefault="004F572C" w:rsidP="003338FC">
      <w:pPr>
        <w:pStyle w:val="Heading4"/>
        <w:rPr>
          <w:i w:val="0"/>
          <w:color w:val="auto"/>
          <w:sz w:val="20"/>
          <w:szCs w:val="20"/>
        </w:rPr>
      </w:pPr>
      <w:r w:rsidRPr="00DD7B93">
        <w:rPr>
          <w:i w:val="0"/>
          <w:color w:val="auto"/>
          <w:sz w:val="20"/>
          <w:szCs w:val="20"/>
        </w:rPr>
        <w:t>SPC</w:t>
      </w:r>
      <w:r w:rsidR="003338FC" w:rsidRPr="00DD7B93">
        <w:rPr>
          <w:i w:val="0"/>
          <w:color w:val="auto"/>
          <w:sz w:val="20"/>
          <w:szCs w:val="20"/>
        </w:rPr>
        <w:t xml:space="preserve"> - Statin Therapy for Patients </w:t>
      </w:r>
      <w:r w:rsidRPr="00DD7B93">
        <w:rPr>
          <w:i w:val="0"/>
          <w:color w:val="auto"/>
          <w:sz w:val="20"/>
          <w:szCs w:val="20"/>
        </w:rPr>
        <w:t>with Cardiovascular Disease</w:t>
      </w:r>
    </w:p>
    <w:p w14:paraId="28E06B86" w14:textId="77777777" w:rsidR="003338FC" w:rsidRPr="00DD7B93" w:rsidRDefault="003338FC" w:rsidP="003338FC">
      <w:pPr>
        <w:pStyle w:val="Description"/>
      </w:pPr>
      <w:r w:rsidRPr="00DD7B93">
        <w:tab/>
        <w:t>DESCRIPTION - The percentage of males 21–75 years of age and females 40–75 years of age during the measurement year, who were identified as having clinical atherosclerotic cardiovascular disease (ASCVD) and met the following criteria. The following rates are reported:</w:t>
      </w:r>
    </w:p>
    <w:p w14:paraId="4489AE80" w14:textId="77777777" w:rsidR="003338FC" w:rsidRPr="00DD7B93" w:rsidRDefault="003338FC" w:rsidP="003338FC">
      <w:pPr>
        <w:pStyle w:val="Description"/>
      </w:pPr>
      <w:r w:rsidRPr="00DD7B93">
        <w:tab/>
        <w:t>• Received Statin Therapy. Members who were dispensed at least one high or moderate-intensity statin medication during the measurement year.</w:t>
      </w:r>
    </w:p>
    <w:p w14:paraId="70F82E87" w14:textId="77777777" w:rsidR="003338FC" w:rsidRPr="00DD7B93" w:rsidRDefault="003338FC" w:rsidP="003338FC">
      <w:pPr>
        <w:pStyle w:val="Description"/>
      </w:pPr>
      <w:r w:rsidRPr="00DD7B93">
        <w:tab/>
        <w:t>• Statin Adherence 80%. Members who remained on a high or moderate-intensity statin medication for at least 80% of the treatment period.</w:t>
      </w:r>
    </w:p>
    <w:p w14:paraId="7C1DDC90" w14:textId="71911B39" w:rsidR="003338FC" w:rsidRPr="00DD7B93" w:rsidRDefault="003338FC" w:rsidP="004F572C">
      <w:pPr>
        <w:pStyle w:val="Description"/>
      </w:pPr>
      <w:r w:rsidRPr="00DD7B93">
        <w:tab/>
        <w:t>(</w:t>
      </w:r>
      <w:r w:rsidR="00D35EAA">
        <w:t>HEDIS Measurement Year 2020 and 2021</w:t>
      </w:r>
      <w:r w:rsidRPr="00DD7B93">
        <w:t xml:space="preserve">, Volume 2: Technical Specification, Pg. </w:t>
      </w:r>
      <w:r w:rsidR="007D4A43">
        <w:t>168</w:t>
      </w:r>
      <w:r w:rsidRPr="00DD7B93">
        <w:t>)</w:t>
      </w:r>
      <w:r w:rsidRPr="00DD7B93">
        <w:tab/>
      </w:r>
    </w:p>
    <w:p w14:paraId="20A37354" w14:textId="77777777" w:rsidR="003338FC" w:rsidRPr="00DD7B93" w:rsidRDefault="004F572C" w:rsidP="003338FC">
      <w:pPr>
        <w:pStyle w:val="Heading4"/>
        <w:rPr>
          <w:i w:val="0"/>
          <w:color w:val="auto"/>
          <w:sz w:val="20"/>
          <w:szCs w:val="20"/>
        </w:rPr>
      </w:pPr>
      <w:r w:rsidRPr="00DD7B93">
        <w:rPr>
          <w:i w:val="0"/>
          <w:color w:val="auto"/>
          <w:sz w:val="20"/>
          <w:szCs w:val="20"/>
        </w:rPr>
        <w:t>SPD</w:t>
      </w:r>
      <w:r w:rsidR="003338FC" w:rsidRPr="00DD7B93">
        <w:rPr>
          <w:i w:val="0"/>
          <w:color w:val="auto"/>
          <w:sz w:val="20"/>
          <w:szCs w:val="20"/>
        </w:rPr>
        <w:t xml:space="preserve"> - Statin Therapy for Patients </w:t>
      </w:r>
      <w:r w:rsidRPr="00DD7B93">
        <w:rPr>
          <w:i w:val="0"/>
          <w:color w:val="auto"/>
          <w:sz w:val="20"/>
          <w:szCs w:val="20"/>
        </w:rPr>
        <w:t>w</w:t>
      </w:r>
      <w:r w:rsidR="003338FC" w:rsidRPr="00DD7B93">
        <w:rPr>
          <w:i w:val="0"/>
          <w:color w:val="auto"/>
          <w:sz w:val="20"/>
          <w:szCs w:val="20"/>
        </w:rPr>
        <w:t>ith Diab</w:t>
      </w:r>
      <w:r w:rsidRPr="00DD7B93">
        <w:rPr>
          <w:i w:val="0"/>
          <w:color w:val="auto"/>
          <w:sz w:val="20"/>
          <w:szCs w:val="20"/>
        </w:rPr>
        <w:t>etes</w:t>
      </w:r>
    </w:p>
    <w:p w14:paraId="398C3076" w14:textId="77777777" w:rsidR="003338FC" w:rsidRPr="00DD7B93" w:rsidRDefault="003338FC" w:rsidP="003338FC">
      <w:pPr>
        <w:pStyle w:val="Description"/>
      </w:pPr>
      <w:r w:rsidRPr="00DD7B93">
        <w:tab/>
        <w:t>DESCRIPTION - The percentage of members 40–75 years of age during the measurement year with diabetes who do not have clinical atherosclerotic cardiovascular disease (ASCVD) who met the following criteria. Two rates are reported:</w:t>
      </w:r>
    </w:p>
    <w:p w14:paraId="522BFBA1" w14:textId="77777777" w:rsidR="003338FC" w:rsidRPr="00DD7B93" w:rsidRDefault="003338FC" w:rsidP="003338FC">
      <w:pPr>
        <w:pStyle w:val="Description"/>
      </w:pPr>
      <w:r w:rsidRPr="00DD7B93">
        <w:tab/>
        <w:t>• Received Statin Therapy. Members who were dispensed at least one statin medication of any intensity during the measurement year.</w:t>
      </w:r>
    </w:p>
    <w:p w14:paraId="7C612461" w14:textId="77777777" w:rsidR="003338FC" w:rsidRPr="00DD7B93" w:rsidRDefault="003338FC" w:rsidP="003338FC">
      <w:pPr>
        <w:pStyle w:val="Description"/>
      </w:pPr>
      <w:r w:rsidRPr="00DD7B93">
        <w:tab/>
        <w:t>• Statin Adherence 80%. Members who remained on a statin medication of any intensity for at least 80% of the treatment period.</w:t>
      </w:r>
    </w:p>
    <w:p w14:paraId="35BD95B9" w14:textId="2269EA1A" w:rsidR="003338FC" w:rsidRDefault="003338FC" w:rsidP="003338FC">
      <w:pPr>
        <w:pStyle w:val="Description"/>
      </w:pPr>
      <w:r w:rsidRPr="00DD7B93">
        <w:tab/>
        <w:t>(</w:t>
      </w:r>
      <w:r w:rsidR="00D35EAA">
        <w:t>HEDIS Measurement Year 2020 and 2021</w:t>
      </w:r>
      <w:r w:rsidRPr="00DD7B93">
        <w:t xml:space="preserve">, Volume 2: Technical Specification, Pg. </w:t>
      </w:r>
      <w:r w:rsidR="007D4A43">
        <w:t>208</w:t>
      </w:r>
      <w:r w:rsidRPr="00DD7B93">
        <w:t>)</w:t>
      </w:r>
    </w:p>
    <w:p w14:paraId="4525B70B" w14:textId="77777777" w:rsidR="00E112DF" w:rsidRPr="00DD7B93" w:rsidRDefault="00E112DF" w:rsidP="00E112DF">
      <w:pPr>
        <w:pStyle w:val="Heading4"/>
        <w:rPr>
          <w:i w:val="0"/>
          <w:color w:val="auto"/>
          <w:sz w:val="20"/>
          <w:szCs w:val="20"/>
        </w:rPr>
      </w:pPr>
      <w:r w:rsidRPr="00DD7B93">
        <w:rPr>
          <w:i w:val="0"/>
          <w:color w:val="auto"/>
          <w:sz w:val="20"/>
          <w:szCs w:val="20"/>
        </w:rPr>
        <w:t>SPR - Use of Spirometry Testing in the Assessment and Diagnosis of COPD</w:t>
      </w:r>
    </w:p>
    <w:p w14:paraId="52EBFCDB" w14:textId="77777777" w:rsidR="003A7D3D" w:rsidRDefault="00E112DF" w:rsidP="003A7D3D">
      <w:pPr>
        <w:pStyle w:val="Description"/>
      </w:pPr>
      <w:r w:rsidRPr="00DD7B93">
        <w:lastRenderedPageBreak/>
        <w:tab/>
        <w:t xml:space="preserve">DESCRIPTION - The percentage of members 40 years of age and older with a new diagnosis of COPD or newly active COPD, who received appropriate spirometry testing to confirm the diagnosis. </w:t>
      </w:r>
    </w:p>
    <w:p w14:paraId="425051EC" w14:textId="065F8AD3" w:rsidR="00E112DF" w:rsidRDefault="003A7D3D" w:rsidP="003A7D3D">
      <w:pPr>
        <w:pStyle w:val="Description"/>
      </w:pPr>
      <w:r>
        <w:tab/>
      </w:r>
      <w:r w:rsidR="00E112DF" w:rsidRPr="00DD7B93">
        <w:t>(</w:t>
      </w:r>
      <w:r w:rsidR="00D35EAA">
        <w:t>HEDIS Measurement Year 2020 and 2021</w:t>
      </w:r>
      <w:r w:rsidR="00E112DF" w:rsidRPr="00DD7B93">
        <w:t xml:space="preserve">, Volume 2: Technical Specification, Pg. </w:t>
      </w:r>
      <w:r w:rsidR="007D4A43">
        <w:t>135</w:t>
      </w:r>
      <w:r w:rsidR="00E112DF" w:rsidRPr="00DD7B93">
        <w:t>)</w:t>
      </w:r>
      <w:r w:rsidR="00E112DF" w:rsidRPr="00DD7B93">
        <w:tab/>
      </w:r>
    </w:p>
    <w:p w14:paraId="644563BE" w14:textId="77777777" w:rsidR="003338FC" w:rsidRPr="00DD7B93" w:rsidRDefault="004F572C" w:rsidP="003338FC">
      <w:pPr>
        <w:pStyle w:val="Heading4"/>
        <w:rPr>
          <w:i w:val="0"/>
          <w:color w:val="auto"/>
          <w:sz w:val="20"/>
          <w:szCs w:val="20"/>
        </w:rPr>
      </w:pPr>
      <w:r w:rsidRPr="00DD7B93">
        <w:rPr>
          <w:i w:val="0"/>
          <w:color w:val="auto"/>
          <w:sz w:val="20"/>
          <w:szCs w:val="20"/>
        </w:rPr>
        <w:t>TRC - Transitions of Care</w:t>
      </w:r>
    </w:p>
    <w:p w14:paraId="55106B0E" w14:textId="77777777" w:rsidR="003338FC" w:rsidRPr="00DD7B93" w:rsidRDefault="003338FC" w:rsidP="003338FC">
      <w:pPr>
        <w:pStyle w:val="Description"/>
      </w:pPr>
      <w:r w:rsidRPr="00DD7B93">
        <w:tab/>
        <w:t>The percentage of discharges for members 18 years of age and older who had each of the following during the measurement year. Four rates are reported:</w:t>
      </w:r>
    </w:p>
    <w:p w14:paraId="71E7DBAA" w14:textId="77777777" w:rsidR="003338FC" w:rsidRPr="00DD7B93" w:rsidRDefault="003338FC" w:rsidP="003338FC">
      <w:pPr>
        <w:pStyle w:val="Description"/>
      </w:pPr>
      <w:r w:rsidRPr="00DD7B93">
        <w:tab/>
        <w:t>• Notification of Inpatient Admission. Documentation of receipt of notification of inpatient admission on the day of admission or the following day.</w:t>
      </w:r>
    </w:p>
    <w:p w14:paraId="66E2F1F5" w14:textId="77777777" w:rsidR="003338FC" w:rsidRPr="00DD7B93" w:rsidRDefault="003338FC" w:rsidP="003338FC">
      <w:pPr>
        <w:pStyle w:val="Description"/>
      </w:pPr>
      <w:r w:rsidRPr="00DD7B93">
        <w:tab/>
        <w:t>• Receipt of Discharge Information. Documentation of receipt of discharge information on the day of discharge or the following day.</w:t>
      </w:r>
    </w:p>
    <w:p w14:paraId="2B691EBE" w14:textId="77777777" w:rsidR="003338FC" w:rsidRPr="00DD7B93" w:rsidRDefault="003338FC" w:rsidP="003338FC">
      <w:pPr>
        <w:pStyle w:val="Description"/>
      </w:pPr>
      <w:r w:rsidRPr="00DD7B93">
        <w:tab/>
        <w:t>• Patient Engagement After Inpatient Discharge. Documentation of patient engagement (e.g., office visits, visits to the home, telehealth) provided within 30 days after discharge.</w:t>
      </w:r>
    </w:p>
    <w:p w14:paraId="7ACD3796" w14:textId="77777777" w:rsidR="003338FC" w:rsidRPr="00DD7B93" w:rsidRDefault="003338FC" w:rsidP="003338FC">
      <w:pPr>
        <w:pStyle w:val="Description"/>
      </w:pPr>
      <w:r w:rsidRPr="00DD7B93">
        <w:tab/>
        <w:t>• Medication Reconciliation Post-Discharge. Documentation of medication reconciliation on the date of discharge through 30 days after discharge (31 total days).</w:t>
      </w:r>
    </w:p>
    <w:p w14:paraId="2DDA6A28" w14:textId="3963C533" w:rsidR="003338FC" w:rsidRPr="00DD7B93" w:rsidRDefault="003338FC" w:rsidP="00DD7B93">
      <w:pPr>
        <w:pStyle w:val="Description"/>
      </w:pPr>
      <w:r w:rsidRPr="00DD7B93">
        <w:tab/>
        <w:t>(</w:t>
      </w:r>
      <w:r w:rsidR="00D35EAA">
        <w:t>HEDIS Measurement Year 2020 and 2021</w:t>
      </w:r>
      <w:r w:rsidRPr="00DD7B93">
        <w:t xml:space="preserve">, Volume 2: Technical Specification, Pg. </w:t>
      </w:r>
      <w:r w:rsidR="007D4A43">
        <w:t>308</w:t>
      </w:r>
      <w:r w:rsidRPr="00DD7B93">
        <w:t>)</w:t>
      </w:r>
      <w:r w:rsidRPr="00DD7B93">
        <w:tab/>
      </w:r>
    </w:p>
    <w:p w14:paraId="69223A92" w14:textId="77777777" w:rsidR="003338FC" w:rsidRPr="00DD7B93" w:rsidRDefault="004F572C" w:rsidP="003338FC">
      <w:pPr>
        <w:pStyle w:val="Heading4"/>
        <w:rPr>
          <w:i w:val="0"/>
          <w:color w:val="auto"/>
          <w:sz w:val="20"/>
          <w:szCs w:val="20"/>
        </w:rPr>
      </w:pPr>
      <w:r w:rsidRPr="00DD7B93">
        <w:rPr>
          <w:i w:val="0"/>
          <w:color w:val="auto"/>
          <w:sz w:val="20"/>
          <w:szCs w:val="20"/>
        </w:rPr>
        <w:t>UOP</w:t>
      </w:r>
      <w:r w:rsidR="003338FC" w:rsidRPr="00DD7B93">
        <w:rPr>
          <w:i w:val="0"/>
          <w:color w:val="auto"/>
          <w:sz w:val="20"/>
          <w:szCs w:val="20"/>
        </w:rPr>
        <w:t xml:space="preserve"> - Use of Opioi</w:t>
      </w:r>
      <w:r w:rsidRPr="00DD7B93">
        <w:rPr>
          <w:i w:val="0"/>
          <w:color w:val="auto"/>
          <w:sz w:val="20"/>
          <w:szCs w:val="20"/>
        </w:rPr>
        <w:t xml:space="preserve">ds </w:t>
      </w:r>
      <w:proofErr w:type="gramStart"/>
      <w:r w:rsidRPr="00DD7B93">
        <w:rPr>
          <w:i w:val="0"/>
          <w:color w:val="auto"/>
          <w:sz w:val="20"/>
          <w:szCs w:val="20"/>
        </w:rPr>
        <w:t>From</w:t>
      </w:r>
      <w:proofErr w:type="gramEnd"/>
      <w:r w:rsidRPr="00DD7B93">
        <w:rPr>
          <w:i w:val="0"/>
          <w:color w:val="auto"/>
          <w:sz w:val="20"/>
          <w:szCs w:val="20"/>
        </w:rPr>
        <w:t xml:space="preserve"> Multiple Providers</w:t>
      </w:r>
    </w:p>
    <w:p w14:paraId="612DD1BF" w14:textId="77777777" w:rsidR="003338FC" w:rsidRPr="00DD7B93" w:rsidRDefault="003338FC" w:rsidP="003338FC">
      <w:pPr>
        <w:pStyle w:val="Description"/>
      </w:pPr>
      <w:r w:rsidRPr="00DD7B93">
        <w:tab/>
        <w:t>For members 18 years and older, the rate per 1,000 receiving prescription opioids for ≥15 days during the measurement year who received opioids from multiple providers. Three rates are reported.</w:t>
      </w:r>
    </w:p>
    <w:p w14:paraId="35D47D01" w14:textId="1E2D1AEB" w:rsidR="003338FC" w:rsidRPr="00DD7B93" w:rsidRDefault="00C0643D" w:rsidP="003338FC">
      <w:pPr>
        <w:pStyle w:val="Description"/>
      </w:pPr>
      <w:r>
        <w:tab/>
      </w:r>
      <w:r w:rsidRPr="00F96316">
        <w:rPr>
          <w:szCs w:val="18"/>
        </w:rPr>
        <w:t>•</w:t>
      </w:r>
      <w:r>
        <w:rPr>
          <w:szCs w:val="18"/>
        </w:rPr>
        <w:t xml:space="preserve"> </w:t>
      </w:r>
      <w:r w:rsidR="003338FC" w:rsidRPr="00DD7B93">
        <w:t xml:space="preserve">Multiple Prescribers: The rate per 1,000 of members receiving prescriptions for opioids from four or more different prescribers during the measurement year. </w:t>
      </w:r>
    </w:p>
    <w:p w14:paraId="33CC696E" w14:textId="3A99D2F9" w:rsidR="003338FC" w:rsidRPr="00DD7B93" w:rsidRDefault="00C0643D" w:rsidP="003338FC">
      <w:pPr>
        <w:pStyle w:val="Description"/>
      </w:pPr>
      <w:r>
        <w:tab/>
      </w:r>
      <w:r w:rsidRPr="00F96316">
        <w:rPr>
          <w:szCs w:val="18"/>
        </w:rPr>
        <w:t>•</w:t>
      </w:r>
      <w:r>
        <w:rPr>
          <w:szCs w:val="18"/>
        </w:rPr>
        <w:t xml:space="preserve"> </w:t>
      </w:r>
      <w:r w:rsidR="003338FC" w:rsidRPr="00DD7B93">
        <w:t>Multiple Pharmacies: The rate per 1,000 of members receiving prescriptions for opioids from four or more different pharmacies during the measurement year.</w:t>
      </w:r>
    </w:p>
    <w:p w14:paraId="43F5612D" w14:textId="11BEB668" w:rsidR="003338FC" w:rsidRPr="00DD7B93" w:rsidRDefault="00D40B4B" w:rsidP="003338FC">
      <w:pPr>
        <w:pStyle w:val="Description"/>
      </w:pPr>
      <w:r>
        <w:tab/>
      </w:r>
      <w:r w:rsidRPr="00F96316">
        <w:rPr>
          <w:szCs w:val="18"/>
        </w:rPr>
        <w:t>•</w:t>
      </w:r>
      <w:r>
        <w:rPr>
          <w:szCs w:val="18"/>
        </w:rPr>
        <w:t xml:space="preserve"> </w:t>
      </w:r>
      <w:r w:rsidR="003338FC" w:rsidRPr="00DD7B93">
        <w:t>Multiple Prescribers and Multiple Pharmacies: The rate per 1,000 of members receiving prescriptions for opioids from four or more different prescribers and four or more different pharmacies during the measurement year (i.e., the rate per 1,000 of members who are numerator compliant for both the Multiple Prescribers and Multiple Pharmacies rates).</w:t>
      </w:r>
    </w:p>
    <w:p w14:paraId="379DC860" w14:textId="77777777" w:rsidR="003338FC" w:rsidRPr="00DD7B93" w:rsidRDefault="003338FC" w:rsidP="003338FC">
      <w:pPr>
        <w:pStyle w:val="Description"/>
      </w:pPr>
      <w:r w:rsidRPr="00DD7B93">
        <w:tab/>
        <w:t>Note: A lower rate indicates better performance for all three rates.</w:t>
      </w:r>
    </w:p>
    <w:p w14:paraId="3B1CDA3A" w14:textId="6EED3F01" w:rsidR="003338FC" w:rsidRPr="00DD7B93" w:rsidRDefault="003338FC" w:rsidP="003338FC">
      <w:pPr>
        <w:pStyle w:val="Description"/>
      </w:pPr>
      <w:r w:rsidRPr="00DD7B93">
        <w:tab/>
        <w:t>(</w:t>
      </w:r>
      <w:r w:rsidR="00D35EAA">
        <w:t>HEDIS Measurement Year 2020 and 2021</w:t>
      </w:r>
      <w:r w:rsidRPr="00DD7B93">
        <w:t>, Volume 2: Technical Specification, Pg.</w:t>
      </w:r>
      <w:r w:rsidR="007D4A43">
        <w:t xml:space="preserve"> 371</w:t>
      </w:r>
      <w:r w:rsidRPr="00DD7B93">
        <w:t>)</w:t>
      </w:r>
    </w:p>
    <w:p w14:paraId="5CECA442" w14:textId="77777777" w:rsidR="00DD7B93" w:rsidRPr="00DD7B93" w:rsidRDefault="00DD7B93" w:rsidP="00DD7B93">
      <w:pPr>
        <w:pStyle w:val="Heading4"/>
        <w:rPr>
          <w:color w:val="auto"/>
        </w:rPr>
      </w:pPr>
      <w:r w:rsidRPr="00DD7B93">
        <w:rPr>
          <w:color w:val="auto"/>
        </w:rPr>
        <w:t>HEDISHOS_FRM - Fall Risk Management (FRM) HOS</w:t>
      </w:r>
    </w:p>
    <w:p w14:paraId="7D6652DC" w14:textId="77777777" w:rsidR="00DD7B93" w:rsidRPr="00DD7B93" w:rsidRDefault="00DD7B93" w:rsidP="00DD7B93">
      <w:pPr>
        <w:pStyle w:val="Description"/>
      </w:pPr>
      <w:r w:rsidRPr="00DD7B93">
        <w:tab/>
        <w:t>DESCRIPTION - The two components of this measure assess different facets of fall risk management.</w:t>
      </w:r>
    </w:p>
    <w:p w14:paraId="5985CEC9" w14:textId="77777777" w:rsidR="00DD7B93" w:rsidRPr="00DD7B93" w:rsidRDefault="00DD7B93" w:rsidP="00DD7B93">
      <w:pPr>
        <w:pStyle w:val="Description"/>
      </w:pPr>
      <w:r w:rsidRPr="00DD7B93">
        <w:tab/>
        <w:t>• Discussing Fall Risk. The percentage of Medicare members 75 years of age and older or 65–74 years of age with balance or walking problems or a fall in the past 12 months, who were seen by a practitioner in the past 12 months and who discussed falls or problems with balance or walking with their current practitioner.</w:t>
      </w:r>
    </w:p>
    <w:p w14:paraId="7D5AE170" w14:textId="77777777" w:rsidR="00DD7B93" w:rsidRPr="00DD7B93" w:rsidRDefault="00DD7B93" w:rsidP="00DD7B93">
      <w:pPr>
        <w:pStyle w:val="Description"/>
      </w:pPr>
      <w:r w:rsidRPr="00DD7B93">
        <w:tab/>
        <w:t>• Managing Fall Risk. The percentage of Medicare members 65 years of age and older who had a fall or had problems with balance or walking in the past 12 months, who were seen by a practitioner in the past 12 months and who received fall risk intervention from their current practitioner.</w:t>
      </w:r>
    </w:p>
    <w:p w14:paraId="22877F86" w14:textId="569E1A14" w:rsidR="00DD7B93" w:rsidRPr="00DD7B93" w:rsidRDefault="00DD7B93" w:rsidP="00DD7B93">
      <w:pPr>
        <w:pStyle w:val="Description"/>
      </w:pPr>
      <w:r w:rsidRPr="00DD7B93">
        <w:tab/>
        <w:t>(</w:t>
      </w:r>
      <w:r w:rsidR="00D35EAA">
        <w:t>HEDIS Measurement Year 2020 and 2021</w:t>
      </w:r>
      <w:r w:rsidRPr="00DD7B93">
        <w:t xml:space="preserve">, Volume 2: Technical Specification, Pg. </w:t>
      </w:r>
      <w:r w:rsidR="007D4A43">
        <w:t>385</w:t>
      </w:r>
      <w:r w:rsidRPr="00DD7B93">
        <w:t>)</w:t>
      </w:r>
    </w:p>
    <w:p w14:paraId="4333F8A5" w14:textId="77777777" w:rsidR="00DD7B93" w:rsidRPr="00DD7B93" w:rsidRDefault="00DD7B93" w:rsidP="00DD7B93">
      <w:pPr>
        <w:pStyle w:val="Heading5"/>
      </w:pPr>
      <w:r w:rsidRPr="00DD7B93">
        <w:tab/>
        <w:t>REPORTING LEVEL - Contract</w:t>
      </w:r>
    </w:p>
    <w:p w14:paraId="3BD697ED" w14:textId="77777777" w:rsidR="00DD7B93" w:rsidRPr="00DD7B93" w:rsidRDefault="00DD7B93" w:rsidP="00DD7B93">
      <w:pPr>
        <w:pStyle w:val="MeasureList"/>
      </w:pPr>
      <w:r w:rsidRPr="00DD7B93">
        <w:tab/>
        <w:t>Rate1</w:t>
      </w:r>
      <w:r w:rsidRPr="00DD7B93">
        <w:tab/>
        <w:t>Discussing Fall Risk Rate</w:t>
      </w:r>
    </w:p>
    <w:p w14:paraId="328F2B9A" w14:textId="3C5A43FE" w:rsidR="00DD7B93" w:rsidRDefault="00DD7B93" w:rsidP="00DD7B93">
      <w:pPr>
        <w:pStyle w:val="MeasureList"/>
      </w:pPr>
      <w:r w:rsidRPr="00DD7B93">
        <w:tab/>
        <w:t>Rate2</w:t>
      </w:r>
      <w:r w:rsidRPr="00DD7B93">
        <w:tab/>
        <w:t>Managing Fall Risk Rate</w:t>
      </w:r>
    </w:p>
    <w:p w14:paraId="1034351B" w14:textId="7BBE0FD7" w:rsidR="00AE5D9C" w:rsidRPr="00DD7B93" w:rsidRDefault="00AE5D9C" w:rsidP="00AE5D9C">
      <w:pPr>
        <w:pStyle w:val="Heading4"/>
        <w:rPr>
          <w:i w:val="0"/>
          <w:color w:val="auto"/>
          <w:sz w:val="20"/>
          <w:szCs w:val="20"/>
        </w:rPr>
      </w:pPr>
      <w:r w:rsidRPr="00DD7B93">
        <w:rPr>
          <w:color w:val="auto"/>
        </w:rPr>
        <w:t>HEDISHOS_</w:t>
      </w:r>
      <w:r>
        <w:rPr>
          <w:color w:val="auto"/>
        </w:rPr>
        <w:t>MUI</w:t>
      </w:r>
      <w:r w:rsidRPr="00DD7B93">
        <w:rPr>
          <w:i w:val="0"/>
          <w:color w:val="auto"/>
          <w:sz w:val="20"/>
          <w:szCs w:val="20"/>
        </w:rPr>
        <w:t xml:space="preserve"> - Management of Urinary Incontinence in Older Adults</w:t>
      </w:r>
    </w:p>
    <w:p w14:paraId="3DE5FE7D" w14:textId="77777777" w:rsidR="00AE5D9C" w:rsidRPr="00DD7B93" w:rsidRDefault="00AE5D9C" w:rsidP="00AE5D9C">
      <w:pPr>
        <w:pStyle w:val="Description"/>
      </w:pPr>
      <w:r w:rsidRPr="00DD7B93">
        <w:tab/>
        <w:t>DESCRIPTION - The following components of this measure assess the management of urinary incontinence in older adults.</w:t>
      </w:r>
    </w:p>
    <w:p w14:paraId="3B60C54C" w14:textId="77777777" w:rsidR="00AE5D9C" w:rsidRPr="00DD7B93" w:rsidRDefault="00AE5D9C" w:rsidP="00AE5D9C">
      <w:pPr>
        <w:pStyle w:val="Description"/>
      </w:pPr>
      <w:r w:rsidRPr="00DD7B93">
        <w:tab/>
        <w:t>• Discussing Urinary Incontinence. The percentage of Medicare members 65 years of age and older who reported having urine leakage in the past six months and who discussed their urinary leakage problem with a health care provider.</w:t>
      </w:r>
    </w:p>
    <w:p w14:paraId="0A7DBDD1" w14:textId="77777777" w:rsidR="00AE5D9C" w:rsidRPr="00DD7B93" w:rsidRDefault="00AE5D9C" w:rsidP="00AE5D9C">
      <w:pPr>
        <w:pStyle w:val="Description"/>
      </w:pPr>
      <w:r w:rsidRPr="00DD7B93">
        <w:tab/>
        <w:t>• Discussing Treatment of Urinary Incontinence. The percentage of Medicare members 65 years of age and older who reported having urine leakage in the past six months and who discussed treatment options for their current urine leakage problem.</w:t>
      </w:r>
    </w:p>
    <w:p w14:paraId="14E7C02A" w14:textId="77777777" w:rsidR="00AE5D9C" w:rsidRPr="00DD7B93" w:rsidRDefault="00AE5D9C" w:rsidP="00AE5D9C">
      <w:pPr>
        <w:pStyle w:val="Description"/>
      </w:pPr>
      <w:r w:rsidRPr="00DD7B93">
        <w:tab/>
        <w:t>• Impact of Urinary Incontinence. The percentage of Medicare members 65 years of age and older who reported having urine leakage in the past six months and who reported that urine leakage made them change their daily activities or interfered with their sleep a lot.</w:t>
      </w:r>
    </w:p>
    <w:p w14:paraId="19C3B871" w14:textId="07E07299" w:rsidR="00AE5D9C" w:rsidRDefault="00AE5D9C" w:rsidP="00AE5D9C">
      <w:pPr>
        <w:pStyle w:val="Description"/>
      </w:pPr>
      <w:r w:rsidRPr="00DD7B93">
        <w:tab/>
        <w:t>(</w:t>
      </w:r>
      <w:r>
        <w:t>HEDIS Measurement Year 2020 and 2021</w:t>
      </w:r>
      <w:r w:rsidRPr="00DD7B93">
        <w:t>, Volume 2: Technical Specification, Pg.</w:t>
      </w:r>
      <w:r>
        <w:t>386</w:t>
      </w:r>
      <w:r w:rsidRPr="00DD7B93">
        <w:t>)</w:t>
      </w:r>
    </w:p>
    <w:p w14:paraId="34E4F21E" w14:textId="4BDC8C8D" w:rsidR="00C54221" w:rsidRPr="00DD7B93" w:rsidRDefault="00C54221" w:rsidP="00C54221">
      <w:pPr>
        <w:pStyle w:val="Heading5"/>
      </w:pPr>
      <w:r>
        <w:tab/>
      </w:r>
      <w:r w:rsidRPr="00DD7B93">
        <w:t>REPORTING LEVEL - Contract</w:t>
      </w:r>
    </w:p>
    <w:p w14:paraId="1A7FF15F" w14:textId="77777777" w:rsidR="00C54221" w:rsidRDefault="00C54221" w:rsidP="00C54221">
      <w:pPr>
        <w:pStyle w:val="MeasureList"/>
      </w:pPr>
      <w:r w:rsidRPr="00DD7B93">
        <w:tab/>
        <w:t>Rate1</w:t>
      </w:r>
      <w:r w:rsidRPr="00DD7B93">
        <w:tab/>
      </w:r>
      <w:r>
        <w:t>Discussing Urinary Incontinence Rate</w:t>
      </w:r>
    </w:p>
    <w:p w14:paraId="395B9A5C" w14:textId="3D844B04" w:rsidR="00C54221" w:rsidRDefault="00C54221" w:rsidP="00C54221">
      <w:pPr>
        <w:pStyle w:val="MeasureList"/>
      </w:pPr>
      <w:r>
        <w:tab/>
        <w:t>Rate2</w:t>
      </w:r>
      <w:r>
        <w:tab/>
        <w:t>Treatment of Urinary Incontinence Rate</w:t>
      </w:r>
    </w:p>
    <w:p w14:paraId="0A3D94E4" w14:textId="474500F4" w:rsidR="00C54221" w:rsidRDefault="00C54221" w:rsidP="00C54221">
      <w:pPr>
        <w:pStyle w:val="MeasureList"/>
      </w:pPr>
      <w:r>
        <w:tab/>
        <w:t>Rate3</w:t>
      </w:r>
      <w:r>
        <w:tab/>
        <w:t>Impact of Urinary Incontinence Rate</w:t>
      </w:r>
    </w:p>
    <w:p w14:paraId="387FFC68" w14:textId="77777777" w:rsidR="00C54221" w:rsidRDefault="00C54221">
      <w:pPr>
        <w:spacing w:line="276" w:lineRule="auto"/>
        <w:rPr>
          <w:rFonts w:cs="Times New Roman"/>
          <w:b/>
          <w:i/>
          <w:iCs/>
        </w:rPr>
      </w:pPr>
      <w:r>
        <w:br w:type="page"/>
      </w:r>
    </w:p>
    <w:p w14:paraId="398877E1" w14:textId="3D426DED" w:rsidR="00DD7B93" w:rsidRPr="00DD7B93" w:rsidRDefault="00DD7B93" w:rsidP="00DD7B93">
      <w:pPr>
        <w:pStyle w:val="Heading4"/>
        <w:rPr>
          <w:color w:val="auto"/>
        </w:rPr>
      </w:pPr>
      <w:r w:rsidRPr="00DD7B93">
        <w:rPr>
          <w:color w:val="auto"/>
        </w:rPr>
        <w:lastRenderedPageBreak/>
        <w:t>HEDISHOS_OTO - Osteoporosis Testing in Older Women (OTO) HOS</w:t>
      </w:r>
    </w:p>
    <w:p w14:paraId="436BD0C6" w14:textId="77777777" w:rsidR="003A7D3D" w:rsidRDefault="00DD7B93" w:rsidP="00DD7B93">
      <w:pPr>
        <w:pStyle w:val="Description"/>
      </w:pPr>
      <w:r w:rsidRPr="00DD7B93">
        <w:tab/>
        <w:t xml:space="preserve">DESCRIPTION - The percentage of Medicare women 65–85 years of age who report ever having received a bone density test to check for osteoporosis. </w:t>
      </w:r>
    </w:p>
    <w:p w14:paraId="1A351433" w14:textId="2C34E71C" w:rsidR="00DD7B93" w:rsidRPr="00DD7B93" w:rsidRDefault="003A7D3D" w:rsidP="00DD7B93">
      <w:pPr>
        <w:pStyle w:val="Description"/>
      </w:pPr>
      <w:r>
        <w:tab/>
      </w:r>
      <w:r w:rsidR="00DD7B93" w:rsidRPr="00DD7B93">
        <w:t>(</w:t>
      </w:r>
      <w:r w:rsidR="00D35EAA">
        <w:t>HEDIS Measurement Year 2020 and 2021</w:t>
      </w:r>
      <w:r w:rsidR="00DD7B93" w:rsidRPr="00DD7B93">
        <w:t xml:space="preserve">, Volume 2: Technical Specification, Pg. </w:t>
      </w:r>
      <w:r w:rsidRPr="007D4A43">
        <w:rPr>
          <w:highlight w:val="yellow"/>
        </w:rPr>
        <w:t>301</w:t>
      </w:r>
      <w:r w:rsidR="00DD7B93" w:rsidRPr="00DD7B93">
        <w:t>)</w:t>
      </w:r>
    </w:p>
    <w:p w14:paraId="01549AF5" w14:textId="77777777" w:rsidR="00DD7B93" w:rsidRPr="00DD7B93" w:rsidRDefault="00DD7B93" w:rsidP="00DD7B93">
      <w:pPr>
        <w:pStyle w:val="Heading5"/>
      </w:pPr>
      <w:r w:rsidRPr="00DD7B93">
        <w:tab/>
        <w:t>REPORTING LEVEL - Contract</w:t>
      </w:r>
    </w:p>
    <w:p w14:paraId="25C965D9" w14:textId="77777777" w:rsidR="003C647D" w:rsidRDefault="00DD7B93" w:rsidP="003A7D3D">
      <w:pPr>
        <w:pStyle w:val="MeasureList"/>
        <w:rPr>
          <w:rFonts w:cs="Times New Roman"/>
          <w:b/>
          <w:i/>
          <w:iCs/>
        </w:rPr>
      </w:pPr>
      <w:r w:rsidRPr="00DD7B93">
        <w:tab/>
        <w:t xml:space="preserve">Rate </w:t>
      </w:r>
      <w:r w:rsidRPr="00DD7B93">
        <w:tab/>
        <w:t>Osteoporosis Testing Rate</w:t>
      </w:r>
    </w:p>
    <w:p w14:paraId="3A54FC31" w14:textId="77777777" w:rsidR="00DD7B93" w:rsidRPr="00DD7B93" w:rsidRDefault="00DD7B93" w:rsidP="00DD7B93">
      <w:pPr>
        <w:pStyle w:val="Heading4"/>
        <w:rPr>
          <w:color w:val="auto"/>
        </w:rPr>
      </w:pPr>
      <w:r w:rsidRPr="00DD7B93">
        <w:rPr>
          <w:color w:val="auto"/>
        </w:rPr>
        <w:t>HEDISHOS_PAO - Physical Activity in Older Adults (PAO) HOS</w:t>
      </w:r>
    </w:p>
    <w:p w14:paraId="695BB848" w14:textId="77777777" w:rsidR="00DD7B93" w:rsidRPr="00DD7B93" w:rsidRDefault="00DD7B93" w:rsidP="00DD7B93">
      <w:pPr>
        <w:pStyle w:val="Description"/>
      </w:pPr>
      <w:r w:rsidRPr="00DD7B93">
        <w:tab/>
        <w:t xml:space="preserve">DESCRIPTION - The two components of this measure assess different facets of promoting physical activity in older adults. </w:t>
      </w:r>
    </w:p>
    <w:p w14:paraId="7EB98775" w14:textId="77777777" w:rsidR="00DD7B93" w:rsidRPr="00DD7B93" w:rsidRDefault="00DD7B93" w:rsidP="00DD7B93">
      <w:pPr>
        <w:pStyle w:val="Description"/>
      </w:pPr>
      <w:r w:rsidRPr="00DD7B93">
        <w:tab/>
        <w:t>• Discussing Physical Activity. The percentage of Medicare members 65 years of age and older who had a doctor’s visit in the past 12 months and who spoke with a doctor or other health provider about their level of exercise or physical activity.</w:t>
      </w:r>
    </w:p>
    <w:p w14:paraId="2E8E8386" w14:textId="77777777" w:rsidR="00DD7B93" w:rsidRPr="00DD7B93" w:rsidRDefault="00DD7B93" w:rsidP="00DD7B93">
      <w:pPr>
        <w:pStyle w:val="Description"/>
      </w:pPr>
      <w:r w:rsidRPr="00DD7B93">
        <w:tab/>
        <w:t>• Advising Physical Activity. The percentage of Medicare members 65 years of age and older who had a doctor’s visit in the past 12 months and who received advice to start, increase or maintain their level exercise or physical activity.</w:t>
      </w:r>
    </w:p>
    <w:p w14:paraId="2C587470" w14:textId="472DF6F6" w:rsidR="00DD7B93" w:rsidRPr="00DD7B93" w:rsidRDefault="00DD7B93" w:rsidP="00DD7B93">
      <w:pPr>
        <w:pStyle w:val="Description"/>
      </w:pPr>
      <w:r w:rsidRPr="00DD7B93">
        <w:tab/>
        <w:t xml:space="preserve"> (</w:t>
      </w:r>
      <w:r w:rsidR="00D35EAA">
        <w:t>HEDIS Measurement Year 2020 and 2021</w:t>
      </w:r>
      <w:r w:rsidRPr="00DD7B93">
        <w:t xml:space="preserve">, Volume 2: Technical Specification, Pg. </w:t>
      </w:r>
      <w:r w:rsidR="007D4A43">
        <w:t>387</w:t>
      </w:r>
      <w:r w:rsidRPr="00DD7B93">
        <w:t>)</w:t>
      </w:r>
    </w:p>
    <w:p w14:paraId="5877AE79" w14:textId="77777777" w:rsidR="00DD7B93" w:rsidRPr="00DD7B93" w:rsidRDefault="00DD7B93" w:rsidP="00DD7B93">
      <w:pPr>
        <w:pStyle w:val="Heading5"/>
      </w:pPr>
      <w:r w:rsidRPr="00DD7B93">
        <w:tab/>
        <w:t>REPORTING LEVEL - Contract</w:t>
      </w:r>
    </w:p>
    <w:p w14:paraId="026D443C" w14:textId="77777777" w:rsidR="00DD7B93" w:rsidRPr="00DD7B93" w:rsidRDefault="00DD7B93" w:rsidP="00DD7B93">
      <w:pPr>
        <w:pStyle w:val="MeasureList"/>
      </w:pPr>
      <w:r w:rsidRPr="00DD7B93">
        <w:tab/>
        <w:t>Rate1</w:t>
      </w:r>
      <w:r w:rsidRPr="00DD7B93">
        <w:tab/>
        <w:t>Discussing Physical Activity Rate</w:t>
      </w:r>
    </w:p>
    <w:p w14:paraId="34DF50F8" w14:textId="77777777" w:rsidR="00DD7B93" w:rsidRPr="00DD7B93" w:rsidRDefault="00DD7B93" w:rsidP="00DD7B93">
      <w:pPr>
        <w:pStyle w:val="MeasureList"/>
      </w:pPr>
      <w:r w:rsidRPr="00DD7B93">
        <w:tab/>
        <w:t>Rate2</w:t>
      </w:r>
      <w:r w:rsidRPr="00DD7B93">
        <w:tab/>
        <w:t>Advising Physical Activity Rate</w:t>
      </w:r>
    </w:p>
    <w:p w14:paraId="76320326" w14:textId="77777777" w:rsidR="001B5FEC" w:rsidRPr="00DD7B93" w:rsidRDefault="003338FC" w:rsidP="00E4718A">
      <w:pPr>
        <w:pStyle w:val="Heading5"/>
      </w:pPr>
      <w:r w:rsidRPr="00DD7B93">
        <w:tab/>
      </w:r>
    </w:p>
    <w:p w14:paraId="77AFBD77" w14:textId="77777777" w:rsidR="001B5FEC" w:rsidRPr="00DD7B93" w:rsidRDefault="001B5FEC" w:rsidP="001B5FEC">
      <w:pPr>
        <w:pStyle w:val="Description"/>
        <w:sectPr w:rsidR="001B5FEC" w:rsidRPr="00DD7B93" w:rsidSect="003E7660">
          <w:headerReference w:type="default" r:id="rId9"/>
          <w:pgSz w:w="12240" w:h="15840" w:code="1"/>
          <w:pgMar w:top="360" w:right="720" w:bottom="720" w:left="720" w:header="360" w:footer="360" w:gutter="0"/>
          <w:cols w:space="720"/>
          <w:docGrid w:linePitch="360"/>
        </w:sectPr>
      </w:pPr>
    </w:p>
    <w:p w14:paraId="2C047764" w14:textId="77777777" w:rsidR="001B5FEC" w:rsidRPr="00DD7B93" w:rsidRDefault="001B5FEC" w:rsidP="001B5FEC">
      <w:pPr>
        <w:pStyle w:val="Description"/>
        <w:rPr>
          <w:rFonts w:eastAsia="Batang"/>
          <w:b/>
          <w:bCs/>
          <w:sz w:val="22"/>
          <w:lang w:eastAsia="ko-KR"/>
        </w:rPr>
      </w:pPr>
      <w:r w:rsidRPr="00DD7B93">
        <w:rPr>
          <w:rFonts w:eastAsia="Batang"/>
          <w:b/>
          <w:bCs/>
          <w:sz w:val="22"/>
          <w:lang w:eastAsia="ko-KR"/>
        </w:rPr>
        <w:lastRenderedPageBreak/>
        <w:t>Appendix A: Formulas for calculating results for specific HEDIS Measures</w:t>
      </w:r>
    </w:p>
    <w:p w14:paraId="4265063A" w14:textId="77777777" w:rsidR="001B5FEC" w:rsidRPr="00DD7B93" w:rsidRDefault="001B5FEC" w:rsidP="001B5FEC">
      <w:pPr>
        <w:pStyle w:val="Description"/>
        <w:tabs>
          <w:tab w:val="clear" w:pos="300"/>
        </w:tabs>
        <w:ind w:left="0" w:firstLine="0"/>
        <w:rPr>
          <w:sz w:val="22"/>
          <w:szCs w:val="22"/>
        </w:rPr>
      </w:pPr>
      <w:r w:rsidRPr="00DD7B93">
        <w:rPr>
          <w:sz w:val="22"/>
          <w:szCs w:val="22"/>
        </w:rPr>
        <w:t>The pages that follow contain formulas necessary for calculating the final rate for individual contracts in thes</w:t>
      </w:r>
      <w:r w:rsidR="002D7FED" w:rsidRPr="00DD7B93">
        <w:rPr>
          <w:sz w:val="22"/>
          <w:szCs w:val="22"/>
        </w:rPr>
        <w:t>e</w:t>
      </w:r>
      <w:r w:rsidRPr="00DD7B93">
        <w:rPr>
          <w:sz w:val="22"/>
          <w:szCs w:val="22"/>
        </w:rPr>
        <w:t xml:space="preserve"> HEDIS measures:</w:t>
      </w:r>
    </w:p>
    <w:p w14:paraId="38ACC32D" w14:textId="77777777" w:rsidR="003F725A" w:rsidRPr="00DD7B93" w:rsidRDefault="003F725A" w:rsidP="003F725A">
      <w:pPr>
        <w:pStyle w:val="Description"/>
        <w:numPr>
          <w:ilvl w:val="0"/>
          <w:numId w:val="1"/>
        </w:numPr>
        <w:tabs>
          <w:tab w:val="clear" w:pos="300"/>
        </w:tabs>
        <w:rPr>
          <w:sz w:val="22"/>
          <w:szCs w:val="22"/>
        </w:rPr>
      </w:pPr>
      <w:r w:rsidRPr="00DD7B93">
        <w:rPr>
          <w:sz w:val="22"/>
          <w:szCs w:val="22"/>
        </w:rPr>
        <w:t xml:space="preserve">Inpatient Hospital Utilization </w:t>
      </w:r>
      <w:r w:rsidR="00E4718A" w:rsidRPr="00DD7B93">
        <w:rPr>
          <w:sz w:val="22"/>
          <w:szCs w:val="22"/>
        </w:rPr>
        <w:t>(AHU</w:t>
      </w:r>
      <w:r w:rsidRPr="00DD7B93">
        <w:rPr>
          <w:sz w:val="22"/>
          <w:szCs w:val="22"/>
        </w:rPr>
        <w:t>), there are separate formulas for:</w:t>
      </w:r>
    </w:p>
    <w:p w14:paraId="56C86299" w14:textId="7AD30E0D" w:rsidR="003F725A" w:rsidRPr="00DD7B93" w:rsidRDefault="003F725A" w:rsidP="003F725A">
      <w:pPr>
        <w:pStyle w:val="Description"/>
        <w:numPr>
          <w:ilvl w:val="1"/>
          <w:numId w:val="1"/>
        </w:numPr>
        <w:tabs>
          <w:tab w:val="clear" w:pos="300"/>
        </w:tabs>
        <w:rPr>
          <w:sz w:val="22"/>
          <w:szCs w:val="22"/>
        </w:rPr>
      </w:pPr>
      <w:r w:rsidRPr="00DD7B93">
        <w:rPr>
          <w:sz w:val="22"/>
          <w:szCs w:val="22"/>
        </w:rPr>
        <w:t>Medicine</w:t>
      </w:r>
      <w:r w:rsidR="008F4616">
        <w:rPr>
          <w:sz w:val="22"/>
          <w:szCs w:val="22"/>
        </w:rPr>
        <w:t xml:space="preserve"> (M/F 65+)</w:t>
      </w:r>
    </w:p>
    <w:p w14:paraId="607B6BD6" w14:textId="23B8DAC7" w:rsidR="003F725A" w:rsidRPr="00DD7B93" w:rsidRDefault="003F725A" w:rsidP="003F725A">
      <w:pPr>
        <w:pStyle w:val="Description"/>
        <w:numPr>
          <w:ilvl w:val="1"/>
          <w:numId w:val="1"/>
        </w:numPr>
        <w:tabs>
          <w:tab w:val="clear" w:pos="300"/>
        </w:tabs>
        <w:rPr>
          <w:sz w:val="22"/>
          <w:szCs w:val="22"/>
        </w:rPr>
      </w:pPr>
      <w:r w:rsidRPr="00DD7B93">
        <w:rPr>
          <w:sz w:val="22"/>
          <w:szCs w:val="22"/>
        </w:rPr>
        <w:t>Surgery</w:t>
      </w:r>
      <w:r w:rsidR="008F4616">
        <w:rPr>
          <w:sz w:val="22"/>
          <w:szCs w:val="22"/>
        </w:rPr>
        <w:t xml:space="preserve"> </w:t>
      </w:r>
      <w:r w:rsidR="008F4616">
        <w:rPr>
          <w:sz w:val="22"/>
          <w:szCs w:val="22"/>
        </w:rPr>
        <w:t>(M/F 65+)</w:t>
      </w:r>
    </w:p>
    <w:p w14:paraId="79E4CBED" w14:textId="20C1FFA5" w:rsidR="003F725A" w:rsidRPr="00DD7B93" w:rsidRDefault="003F725A" w:rsidP="003F725A">
      <w:pPr>
        <w:pStyle w:val="Description"/>
        <w:numPr>
          <w:ilvl w:val="1"/>
          <w:numId w:val="1"/>
        </w:numPr>
        <w:tabs>
          <w:tab w:val="clear" w:pos="300"/>
        </w:tabs>
        <w:rPr>
          <w:sz w:val="22"/>
          <w:szCs w:val="22"/>
        </w:rPr>
      </w:pPr>
      <w:r w:rsidRPr="00DD7B93">
        <w:rPr>
          <w:sz w:val="22"/>
          <w:szCs w:val="22"/>
        </w:rPr>
        <w:t>Total</w:t>
      </w:r>
      <w:r w:rsidR="00F97B66">
        <w:rPr>
          <w:sz w:val="22"/>
          <w:szCs w:val="22"/>
        </w:rPr>
        <w:t xml:space="preserve"> Acute</w:t>
      </w:r>
      <w:r w:rsidR="008F4616">
        <w:rPr>
          <w:sz w:val="22"/>
          <w:szCs w:val="22"/>
        </w:rPr>
        <w:t xml:space="preserve"> </w:t>
      </w:r>
      <w:r w:rsidR="008F4616">
        <w:rPr>
          <w:sz w:val="22"/>
          <w:szCs w:val="22"/>
        </w:rPr>
        <w:t>(M/F 65+)</w:t>
      </w:r>
    </w:p>
    <w:p w14:paraId="59704579" w14:textId="3CDF12AA" w:rsidR="001B5FEC" w:rsidRPr="00DD7B93" w:rsidRDefault="001B5FEC" w:rsidP="001B5FEC">
      <w:pPr>
        <w:pStyle w:val="Description"/>
        <w:numPr>
          <w:ilvl w:val="0"/>
          <w:numId w:val="1"/>
        </w:numPr>
        <w:tabs>
          <w:tab w:val="clear" w:pos="300"/>
        </w:tabs>
        <w:rPr>
          <w:sz w:val="22"/>
          <w:szCs w:val="22"/>
        </w:rPr>
      </w:pPr>
      <w:r w:rsidRPr="00DD7B93">
        <w:rPr>
          <w:sz w:val="22"/>
          <w:szCs w:val="22"/>
        </w:rPr>
        <w:t xml:space="preserve">Emergency Department Utilization </w:t>
      </w:r>
      <w:r w:rsidR="00E4718A" w:rsidRPr="00DD7B93">
        <w:rPr>
          <w:sz w:val="22"/>
          <w:szCs w:val="22"/>
        </w:rPr>
        <w:t>(EDU</w:t>
      </w:r>
      <w:r w:rsidR="00F97B66">
        <w:rPr>
          <w:sz w:val="22"/>
          <w:szCs w:val="22"/>
        </w:rPr>
        <w:t>, M/F 65+</w:t>
      </w:r>
      <w:r w:rsidRPr="00DD7B93">
        <w:rPr>
          <w:sz w:val="22"/>
          <w:szCs w:val="22"/>
        </w:rPr>
        <w:t>)</w:t>
      </w:r>
    </w:p>
    <w:p w14:paraId="43260EE5" w14:textId="04AA2B88" w:rsidR="001B5FEC" w:rsidRPr="00DD7B93" w:rsidRDefault="001B5FEC" w:rsidP="001B5FEC">
      <w:pPr>
        <w:pStyle w:val="Description"/>
        <w:numPr>
          <w:ilvl w:val="0"/>
          <w:numId w:val="1"/>
        </w:numPr>
        <w:tabs>
          <w:tab w:val="clear" w:pos="300"/>
        </w:tabs>
        <w:rPr>
          <w:sz w:val="22"/>
          <w:szCs w:val="22"/>
        </w:rPr>
      </w:pPr>
      <w:r w:rsidRPr="00DD7B93">
        <w:rPr>
          <w:sz w:val="22"/>
          <w:szCs w:val="22"/>
        </w:rPr>
        <w:t>Hospitalization for Potentially Preventable Complications (</w:t>
      </w:r>
      <w:r w:rsidR="00E4718A" w:rsidRPr="00DD7B93">
        <w:rPr>
          <w:sz w:val="22"/>
          <w:szCs w:val="22"/>
        </w:rPr>
        <w:t>HPC</w:t>
      </w:r>
      <w:r w:rsidR="009D4EC5">
        <w:rPr>
          <w:sz w:val="22"/>
          <w:szCs w:val="22"/>
        </w:rPr>
        <w:t>), the</w:t>
      </w:r>
      <w:r w:rsidR="009D4EC5" w:rsidRPr="009D4EC5">
        <w:rPr>
          <w:sz w:val="22"/>
          <w:szCs w:val="22"/>
        </w:rPr>
        <w:t>re</w:t>
      </w:r>
      <w:r w:rsidRPr="009D4EC5">
        <w:rPr>
          <w:sz w:val="22"/>
          <w:szCs w:val="22"/>
        </w:rPr>
        <w:t xml:space="preserve"> </w:t>
      </w:r>
      <w:r w:rsidR="002313C3" w:rsidRPr="009D4EC5">
        <w:rPr>
          <w:sz w:val="22"/>
          <w:szCs w:val="22"/>
        </w:rPr>
        <w:t xml:space="preserve">are </w:t>
      </w:r>
      <w:r w:rsidRPr="009D4EC5">
        <w:rPr>
          <w:sz w:val="22"/>
          <w:szCs w:val="22"/>
        </w:rPr>
        <w:t>s</w:t>
      </w:r>
      <w:r w:rsidRPr="00DD7B93">
        <w:rPr>
          <w:sz w:val="22"/>
          <w:szCs w:val="22"/>
        </w:rPr>
        <w:t>eparate formulas for:</w:t>
      </w:r>
    </w:p>
    <w:p w14:paraId="26163C29" w14:textId="4E976651" w:rsidR="001B5FEC" w:rsidRPr="00DD7B93" w:rsidRDefault="001B5FEC" w:rsidP="001B5FEC">
      <w:pPr>
        <w:pStyle w:val="Description"/>
        <w:numPr>
          <w:ilvl w:val="1"/>
          <w:numId w:val="1"/>
        </w:numPr>
        <w:tabs>
          <w:tab w:val="clear" w:pos="300"/>
        </w:tabs>
        <w:rPr>
          <w:sz w:val="22"/>
          <w:szCs w:val="22"/>
        </w:rPr>
      </w:pPr>
      <w:r w:rsidRPr="00DD7B93">
        <w:rPr>
          <w:sz w:val="22"/>
          <w:szCs w:val="22"/>
        </w:rPr>
        <w:t>Acute</w:t>
      </w:r>
      <w:r w:rsidR="00F97B66">
        <w:rPr>
          <w:sz w:val="22"/>
          <w:szCs w:val="22"/>
        </w:rPr>
        <w:t xml:space="preserve"> ACSC (M/F Total)</w:t>
      </w:r>
    </w:p>
    <w:p w14:paraId="3E0EC9FC" w14:textId="2CD9C774" w:rsidR="001B5FEC" w:rsidRPr="00DD7B93" w:rsidRDefault="001B5FEC" w:rsidP="001B5FEC">
      <w:pPr>
        <w:pStyle w:val="Description"/>
        <w:numPr>
          <w:ilvl w:val="1"/>
          <w:numId w:val="1"/>
        </w:numPr>
        <w:tabs>
          <w:tab w:val="clear" w:pos="300"/>
        </w:tabs>
        <w:rPr>
          <w:sz w:val="22"/>
          <w:szCs w:val="22"/>
        </w:rPr>
      </w:pPr>
      <w:r w:rsidRPr="00DD7B93">
        <w:rPr>
          <w:sz w:val="22"/>
          <w:szCs w:val="22"/>
        </w:rPr>
        <w:t>Chronic</w:t>
      </w:r>
      <w:r w:rsidR="00F97B66">
        <w:rPr>
          <w:sz w:val="22"/>
          <w:szCs w:val="22"/>
        </w:rPr>
        <w:t xml:space="preserve"> ACSC (M/F Total)</w:t>
      </w:r>
    </w:p>
    <w:p w14:paraId="5867A143" w14:textId="51D3AC51" w:rsidR="001B5FEC" w:rsidRPr="00DD7B93" w:rsidRDefault="001B5FEC" w:rsidP="001B5FEC">
      <w:pPr>
        <w:pStyle w:val="Description"/>
        <w:numPr>
          <w:ilvl w:val="1"/>
          <w:numId w:val="1"/>
        </w:numPr>
        <w:tabs>
          <w:tab w:val="clear" w:pos="300"/>
        </w:tabs>
        <w:rPr>
          <w:sz w:val="22"/>
          <w:szCs w:val="22"/>
        </w:rPr>
      </w:pPr>
      <w:r w:rsidRPr="00DD7B93">
        <w:rPr>
          <w:sz w:val="22"/>
          <w:szCs w:val="22"/>
        </w:rPr>
        <w:t xml:space="preserve">Total </w:t>
      </w:r>
      <w:r w:rsidR="00F97B66">
        <w:rPr>
          <w:sz w:val="22"/>
          <w:szCs w:val="22"/>
        </w:rPr>
        <w:t>ACSC (M/F Total)</w:t>
      </w:r>
    </w:p>
    <w:p w14:paraId="1AA26394" w14:textId="77777777" w:rsidR="001B5FEC" w:rsidRPr="00DD7B93" w:rsidRDefault="001B5FEC" w:rsidP="001F4098">
      <w:pPr>
        <w:pStyle w:val="Description"/>
        <w:tabs>
          <w:tab w:val="clear" w:pos="300"/>
        </w:tabs>
        <w:ind w:left="780" w:firstLine="0"/>
        <w:rPr>
          <w:sz w:val="22"/>
          <w:szCs w:val="22"/>
        </w:rPr>
      </w:pPr>
      <w:r w:rsidRPr="00DD7B93">
        <w:rPr>
          <w:sz w:val="22"/>
          <w:szCs w:val="22"/>
        </w:rPr>
        <w:t>Plan All-Cause Readmissions (</w:t>
      </w:r>
      <w:r w:rsidR="00E4718A" w:rsidRPr="00DD7B93">
        <w:rPr>
          <w:sz w:val="22"/>
          <w:szCs w:val="22"/>
        </w:rPr>
        <w:t>PCR</w:t>
      </w:r>
      <w:r w:rsidRPr="00DD7B93">
        <w:rPr>
          <w:sz w:val="22"/>
          <w:szCs w:val="22"/>
        </w:rPr>
        <w:t>), there are separate formulas for:</w:t>
      </w:r>
    </w:p>
    <w:p w14:paraId="51310C7E" w14:textId="3A2A218B" w:rsidR="001B5FEC" w:rsidRPr="00DD7B93" w:rsidRDefault="00E47F23" w:rsidP="001B5FEC">
      <w:pPr>
        <w:pStyle w:val="Description"/>
        <w:numPr>
          <w:ilvl w:val="1"/>
          <w:numId w:val="1"/>
        </w:numPr>
        <w:tabs>
          <w:tab w:val="clear" w:pos="300"/>
        </w:tabs>
        <w:rPr>
          <w:sz w:val="22"/>
          <w:szCs w:val="22"/>
        </w:rPr>
      </w:pPr>
      <w:r>
        <w:rPr>
          <w:sz w:val="22"/>
          <w:szCs w:val="22"/>
        </w:rPr>
        <w:t>Ages 18-64</w:t>
      </w:r>
    </w:p>
    <w:p w14:paraId="61B917FC" w14:textId="03A93AD4" w:rsidR="001B5FEC" w:rsidRPr="00DD7B93" w:rsidRDefault="00E47F23" w:rsidP="001B5FEC">
      <w:pPr>
        <w:pStyle w:val="Description"/>
        <w:numPr>
          <w:ilvl w:val="1"/>
          <w:numId w:val="1"/>
        </w:numPr>
        <w:tabs>
          <w:tab w:val="clear" w:pos="300"/>
        </w:tabs>
        <w:rPr>
          <w:sz w:val="22"/>
          <w:szCs w:val="22"/>
        </w:rPr>
      </w:pPr>
      <w:r>
        <w:rPr>
          <w:sz w:val="22"/>
          <w:szCs w:val="22"/>
        </w:rPr>
        <w:t>Ages 65+</w:t>
      </w:r>
      <w:bookmarkStart w:id="1" w:name="_GoBack"/>
      <w:bookmarkEnd w:id="1"/>
    </w:p>
    <w:p w14:paraId="14DA1310" w14:textId="77777777" w:rsidR="001B5FEC" w:rsidRPr="00DD7B93" w:rsidRDefault="001B5FEC" w:rsidP="001B5FEC">
      <w:pPr>
        <w:spacing w:line="276" w:lineRule="auto"/>
        <w:rPr>
          <w:rFonts w:eastAsia="Batang"/>
          <w:b/>
          <w:bCs/>
          <w:szCs w:val="24"/>
          <w:lang w:eastAsia="ko-KR"/>
        </w:rPr>
      </w:pPr>
      <w:bookmarkStart w:id="2" w:name="_Toc442273951"/>
      <w:r w:rsidRPr="00DD7B93">
        <w:br w:type="page"/>
      </w:r>
    </w:p>
    <w:p w14:paraId="04B22257" w14:textId="77777777" w:rsidR="006F6D82" w:rsidRDefault="006F6D82" w:rsidP="006F6D82">
      <w:pPr>
        <w:pStyle w:val="AttachmentTitle"/>
        <w:spacing w:after="120"/>
      </w:pPr>
      <w:r>
        <w:lastRenderedPageBreak/>
        <w:t>Calculating Measure 2021 AHU: Acute Hospital Utilization - Medicine (M/F 65+)</w:t>
      </w:r>
    </w:p>
    <w:p w14:paraId="40DC20AC" w14:textId="27704335" w:rsidR="006F6D82" w:rsidRDefault="006F6D82" w:rsidP="006F6D82">
      <w:r w:rsidRPr="00CF20FE">
        <w:t xml:space="preserve">All data </w:t>
      </w:r>
      <w:r>
        <w:t xml:space="preserve">can be looked up by </w:t>
      </w:r>
      <w:proofErr w:type="spellStart"/>
      <w:r>
        <w:t>IndicatorKey</w:t>
      </w:r>
      <w:proofErr w:type="spellEnd"/>
      <w:r>
        <w:t xml:space="preserve"> (row) and Variable name (column).</w:t>
      </w:r>
    </w:p>
    <w:p w14:paraId="57DE41BF" w14:textId="77777777" w:rsidR="006F6D82" w:rsidRDefault="006F6D82" w:rsidP="006F6D82">
      <w:r>
        <w:t xml:space="preserve">The calculations below use the </w:t>
      </w:r>
      <w:proofErr w:type="spellStart"/>
      <w:r>
        <w:t>NonOutlierMemberCount</w:t>
      </w:r>
      <w:proofErr w:type="spellEnd"/>
      <w:r>
        <w:t xml:space="preserve">, </w:t>
      </w:r>
      <w:proofErr w:type="spellStart"/>
      <w:r>
        <w:t>ObservedCount</w:t>
      </w:r>
      <w:proofErr w:type="spellEnd"/>
      <w:r>
        <w:t xml:space="preserve"> and </w:t>
      </w:r>
      <w:proofErr w:type="spellStart"/>
      <w:r>
        <w:t>ExpectedCount</w:t>
      </w:r>
      <w:proofErr w:type="spellEnd"/>
      <w:r>
        <w:t xml:space="preserve"> values from the AHU Medicine (M/F 65+) indicator (</w:t>
      </w:r>
      <w:proofErr w:type="spellStart"/>
      <w:r>
        <w:t>IndicatorKey</w:t>
      </w:r>
      <w:proofErr w:type="spellEnd"/>
      <w:r>
        <w:t xml:space="preserve"> = </w:t>
      </w:r>
      <w:r w:rsidRPr="00C4490D">
        <w:t>203373_10</w:t>
      </w:r>
      <w:r>
        <w:t>).</w:t>
      </w:r>
    </w:p>
    <w:p w14:paraId="048D1F5F" w14:textId="77777777" w:rsidR="006F6D82" w:rsidRDefault="006F6D82" w:rsidP="006F6D82">
      <w:r>
        <w:t>For each contract, calculate the Medicine (M/F 65+) Observed-over-Expected Ratio (OE):</w:t>
      </w:r>
    </w:p>
    <w:p w14:paraId="34F930F7" w14:textId="77777777" w:rsidR="006F6D82" w:rsidRDefault="006F6D82" w:rsidP="006F6D82">
      <w:pPr>
        <w:ind w:firstLine="720"/>
      </w:pPr>
      <w:r>
        <w:t xml:space="preserve">OE = </w:t>
      </w:r>
      <m:oMath>
        <m:d>
          <m:dPr>
            <m:ctrlPr>
              <w:rPr>
                <w:rFonts w:ascii="Cambria Math" w:hAnsi="Cambria Math"/>
                <w:sz w:val="28"/>
                <w:szCs w:val="28"/>
              </w:rPr>
            </m:ctrlPr>
          </m:dPr>
          <m:e>
            <m:f>
              <m:fPr>
                <m:ctrlPr>
                  <w:rPr>
                    <w:rFonts w:ascii="Cambria Math" w:hAnsi="Cambria Math"/>
                    <w:sz w:val="28"/>
                    <w:szCs w:val="28"/>
                  </w:rPr>
                </m:ctrlPr>
              </m:fPr>
              <m:num>
                <w:proofErr w:type="spellStart"/>
                <m:r>
                  <m:rPr>
                    <m:nor/>
                  </m:rPr>
                  <w:rPr>
                    <w:sz w:val="28"/>
                    <w:szCs w:val="28"/>
                  </w:rPr>
                  <m:t>ObservedCount</m:t>
                </m:r>
                <w:proofErr w:type="spellEnd"/>
              </m:num>
              <m:den>
                <w:proofErr w:type="spellStart"/>
                <m:r>
                  <m:rPr>
                    <m:nor/>
                  </m:rPr>
                  <w:rPr>
                    <w:sz w:val="28"/>
                    <w:szCs w:val="28"/>
                  </w:rPr>
                  <m:t>ExpectedCount</m:t>
                </m:r>
                <w:proofErr w:type="spellEnd"/>
              </m:den>
            </m:f>
          </m:e>
        </m:d>
      </m:oMath>
    </w:p>
    <w:p w14:paraId="56D84913" w14:textId="77777777" w:rsidR="006F6D82" w:rsidRDefault="006F6D82" w:rsidP="006F6D82">
      <w:r>
        <w:t>Calculate the national average of the Medicine (M/F 65+) Observed Rate:</w:t>
      </w:r>
    </w:p>
    <w:p w14:paraId="42783378" w14:textId="77777777" w:rsidR="006F6D82" w:rsidRDefault="006F6D82" w:rsidP="006F6D82">
      <w:pPr>
        <w:pStyle w:val="Normal-Formula"/>
        <w:spacing w:before="120"/>
        <w:ind w:firstLine="720"/>
      </w:pPr>
      <w:proofErr w:type="spellStart"/>
      <w:r w:rsidRPr="00301E67">
        <w:t>NatAvgObs</w:t>
      </w:r>
      <w:proofErr w:type="spellEnd"/>
      <w:r w:rsidRPr="00301E67">
        <w:t xml:space="preserve"> = </w:t>
      </w:r>
      <m:oMath>
        <m:r>
          <m:rPr>
            <m:nor/>
          </m:rPr>
          <m:t>Average</m:t>
        </m:r>
        <m:d>
          <m:dPr>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w:proofErr w:type="spellStart"/>
                        <m:r>
                          <m:rPr>
                            <m:nor/>
                          </m:rPr>
                          <m:t>ObservedCount</m:t>
                        </m:r>
                        <w:proofErr w:type="spellEnd"/>
                      </m:e>
                      <m:sub>
                        <m:r>
                          <m:rPr>
                            <m:nor/>
                          </m:rPr>
                          <m:t>1</m:t>
                        </m:r>
                      </m:sub>
                    </m:sSub>
                  </m:num>
                  <m:den>
                    <m:sSub>
                      <m:sSubPr>
                        <m:ctrlPr>
                          <w:rPr>
                            <w:rFonts w:ascii="Cambria Math" w:hAnsi="Cambria Math"/>
                          </w:rPr>
                        </m:ctrlPr>
                      </m:sSubPr>
                      <m:e>
                        <w:proofErr w:type="spellStart"/>
                        <m:r>
                          <m:rPr>
                            <m:nor/>
                          </m:rPr>
                          <m:t>NonOutlierMemberCount</m:t>
                        </m:r>
                        <w:proofErr w:type="spellEnd"/>
                      </m:e>
                      <m:sub>
                        <m:r>
                          <m:rPr>
                            <m:nor/>
                          </m:rPr>
                          <m:t>1</m:t>
                        </m:r>
                      </m:sub>
                    </m:sSub>
                  </m:den>
                </m:f>
              </m:e>
            </m:d>
            <m:r>
              <m:rPr>
                <m:nor/>
              </m:rPr>
              <m:t xml:space="preserve"> + … +</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w:proofErr w:type="spellStart"/>
                        <m:r>
                          <m:rPr>
                            <m:nor/>
                          </m:rPr>
                          <m:t>ObservedCount</m:t>
                        </m:r>
                        <w:proofErr w:type="spellEnd"/>
                      </m:e>
                      <m:sub>
                        <m:r>
                          <m:rPr>
                            <m:nor/>
                          </m:rPr>
                          <m:t>n</m:t>
                        </m:r>
                      </m:sub>
                    </m:sSub>
                  </m:num>
                  <m:den>
                    <m:sSub>
                      <m:sSubPr>
                        <m:ctrlPr>
                          <w:rPr>
                            <w:rFonts w:ascii="Cambria Math" w:hAnsi="Cambria Math"/>
                          </w:rPr>
                        </m:ctrlPr>
                      </m:sSubPr>
                      <m:e>
                        <w:proofErr w:type="spellStart"/>
                        <m:r>
                          <m:rPr>
                            <m:nor/>
                          </m:rPr>
                          <m:t>NonOutlierMemberCount</m:t>
                        </m:r>
                        <w:proofErr w:type="spellEnd"/>
                      </m:e>
                      <m:sub>
                        <m:r>
                          <m:rPr>
                            <m:nor/>
                          </m:rPr>
                          <m:t>n</m:t>
                        </m:r>
                      </m:sub>
                    </m:sSub>
                  </m:den>
                </m:f>
              </m:e>
            </m:d>
          </m:e>
        </m:d>
      </m:oMath>
    </w:p>
    <w:p w14:paraId="185B6D12" w14:textId="77777777" w:rsidR="006F6D82" w:rsidRPr="001F52D8" w:rsidRDefault="006F6D82" w:rsidP="006F6D82">
      <w:r>
        <w:t>W</w:t>
      </w:r>
      <w:r w:rsidRPr="00301E67">
        <w:t xml:space="preserve">here 1 through n are all </w:t>
      </w:r>
      <w:r w:rsidRPr="00D208DD">
        <w:t xml:space="preserve">contracts with </w:t>
      </w:r>
      <w:r>
        <w:t xml:space="preserve">a Medicine (M/F 65+) </w:t>
      </w:r>
      <w:proofErr w:type="spellStart"/>
      <w:r>
        <w:t>NonOutlierMemberCount</w:t>
      </w:r>
      <w:proofErr w:type="spellEnd"/>
      <w:r w:rsidRPr="00D208DD">
        <w:t xml:space="preserve"> </w:t>
      </w:r>
      <w:r>
        <w:t>larger than or equal to</w:t>
      </w:r>
      <w:r w:rsidRPr="00D208DD">
        <w:t xml:space="preserve"> 150</w:t>
      </w:r>
      <w:r>
        <w:t>, and a Medicine (M/F 65+) OE larger than or equal to 0.2 and less than or equal to 5.0.</w:t>
      </w:r>
    </w:p>
    <w:p w14:paraId="0674034A" w14:textId="77777777" w:rsidR="006F6D82" w:rsidRDefault="006F6D82" w:rsidP="006F6D82">
      <w:pPr>
        <w:rPr>
          <w:szCs w:val="20"/>
        </w:rPr>
      </w:pPr>
      <w:r>
        <w:rPr>
          <w:szCs w:val="20"/>
        </w:rPr>
        <w:t>For each contract, calculate the Final Rate and convert to percentages:</w:t>
      </w:r>
    </w:p>
    <w:p w14:paraId="2BAEE6C1" w14:textId="77777777" w:rsidR="006F6D82" w:rsidRDefault="006F6D82" w:rsidP="006F6D82">
      <w:pPr>
        <w:pStyle w:val="Normal-Formula"/>
        <w:spacing w:before="120" w:after="120"/>
        <w:ind w:firstLine="720"/>
      </w:pPr>
      <w:r>
        <w:rPr>
          <w:szCs w:val="20"/>
        </w:rPr>
        <w:t>Final</w:t>
      </w:r>
      <w:r w:rsidRPr="00301E67">
        <w:rPr>
          <w:szCs w:val="20"/>
        </w:rPr>
        <w:t xml:space="preserve"> Rate =</w:t>
      </w:r>
      <w:r>
        <w:t xml:space="preserve"> </w:t>
      </w:r>
      <m:oMath>
        <m:r>
          <m:rPr>
            <m:nor/>
          </m:rPr>
          <m:t xml:space="preserve">OE x </m:t>
        </m:r>
        <w:proofErr w:type="spellStart"/>
        <m:r>
          <m:rPr>
            <m:nor/>
          </m:rPr>
          <m:t>NatAvgObs</m:t>
        </m:r>
        <w:proofErr w:type="spellEnd"/>
        <m:r>
          <m:rPr>
            <m:nor/>
          </m:rPr>
          <m:t xml:space="preserve"> x 1000 </m:t>
        </m:r>
      </m:oMath>
    </w:p>
    <w:p w14:paraId="6FD74EC8" w14:textId="77777777" w:rsidR="006F6D82" w:rsidRDefault="006F6D82" w:rsidP="006F6D82">
      <w:pPr>
        <w:pStyle w:val="Normal-Formula"/>
        <w:spacing w:before="120" w:after="120"/>
      </w:pPr>
      <w:r>
        <w:t>And round to the nearest integer.</w:t>
      </w:r>
    </w:p>
    <w:p w14:paraId="4CF21112" w14:textId="77777777" w:rsidR="006F6D82" w:rsidRDefault="006F6D82" w:rsidP="006F6D82"/>
    <w:p w14:paraId="7D85C13E" w14:textId="77777777" w:rsidR="006F6D82" w:rsidRPr="00C44E1D" w:rsidRDefault="006F6D82" w:rsidP="006F6D82">
      <w:pPr>
        <w:rPr>
          <w:rFonts w:eastAsia="Calibri"/>
        </w:rPr>
      </w:pPr>
      <w:r w:rsidRPr="00C44E1D">
        <w:rPr>
          <w:rFonts w:eastAsia="Calibri"/>
        </w:rPr>
        <w:t>Example: Calculating the final rate for Contract 1</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29" w:type="dxa"/>
          <w:bottom w:w="14" w:type="dxa"/>
          <w:right w:w="29" w:type="dxa"/>
        </w:tblCellMar>
        <w:tblLook w:val="04A0" w:firstRow="1" w:lastRow="0" w:firstColumn="1" w:lastColumn="0" w:noHBand="0" w:noVBand="1"/>
      </w:tblPr>
      <w:tblGrid>
        <w:gridCol w:w="815"/>
        <w:gridCol w:w="1052"/>
        <w:gridCol w:w="2008"/>
        <w:gridCol w:w="1289"/>
        <w:gridCol w:w="1261"/>
      </w:tblGrid>
      <w:tr w:rsidR="006F6D82" w:rsidRPr="00C44E1D" w14:paraId="320C7A2E" w14:textId="77777777" w:rsidTr="00721B09">
        <w:tc>
          <w:tcPr>
            <w:tcW w:w="0" w:type="auto"/>
            <w:shd w:val="clear" w:color="000000" w:fill="BFBFBF"/>
            <w:vAlign w:val="center"/>
            <w:hideMark/>
          </w:tcPr>
          <w:p w14:paraId="0F536256" w14:textId="77777777" w:rsidR="006F6D82" w:rsidRPr="00C44E1D" w:rsidRDefault="006F6D82" w:rsidP="00721B09">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Contract</w:t>
            </w:r>
          </w:p>
        </w:tc>
        <w:tc>
          <w:tcPr>
            <w:tcW w:w="0" w:type="auto"/>
            <w:shd w:val="clear" w:color="000000" w:fill="BFBFBF"/>
            <w:noWrap/>
            <w:vAlign w:val="center"/>
            <w:hideMark/>
          </w:tcPr>
          <w:p w14:paraId="0CF025A2" w14:textId="77777777" w:rsidR="006F6D82" w:rsidRPr="00C44E1D" w:rsidRDefault="006F6D82" w:rsidP="00721B09">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IndicatorKey</w:t>
            </w:r>
            <w:proofErr w:type="spellEnd"/>
          </w:p>
        </w:tc>
        <w:tc>
          <w:tcPr>
            <w:tcW w:w="0" w:type="auto"/>
            <w:shd w:val="clear" w:color="000000" w:fill="BFBFBF"/>
            <w:vAlign w:val="center"/>
            <w:hideMark/>
          </w:tcPr>
          <w:p w14:paraId="73E067A7" w14:textId="77777777" w:rsidR="006F6D82" w:rsidRPr="00C44E1D" w:rsidRDefault="006F6D82" w:rsidP="00721B09">
            <w:pPr>
              <w:spacing w:after="0"/>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NonOutlierMemberCount</w:t>
            </w:r>
            <w:proofErr w:type="spellEnd"/>
            <w:r>
              <w:rPr>
                <w:rFonts w:ascii="Arial Narrow Bold" w:eastAsia="Times New Roman" w:hAnsi="Arial Narrow Bold" w:cs="Times New Roman"/>
                <w:b/>
                <w:bCs/>
                <w:color w:val="000000"/>
                <w:sz w:val="20"/>
                <w:szCs w:val="20"/>
              </w:rPr>
              <w:t xml:space="preserve"> </w:t>
            </w:r>
          </w:p>
        </w:tc>
        <w:tc>
          <w:tcPr>
            <w:tcW w:w="0" w:type="auto"/>
            <w:shd w:val="clear" w:color="000000" w:fill="BFBFBF"/>
            <w:vAlign w:val="center"/>
            <w:hideMark/>
          </w:tcPr>
          <w:p w14:paraId="02F56D87" w14:textId="77777777" w:rsidR="006F6D82" w:rsidRPr="00C44E1D" w:rsidRDefault="006F6D82" w:rsidP="00721B09">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ObservedCount</w:t>
            </w:r>
            <w:proofErr w:type="spellEnd"/>
          </w:p>
        </w:tc>
        <w:tc>
          <w:tcPr>
            <w:tcW w:w="0" w:type="auto"/>
            <w:shd w:val="clear" w:color="000000" w:fill="BFBFBF"/>
            <w:vAlign w:val="center"/>
            <w:hideMark/>
          </w:tcPr>
          <w:p w14:paraId="1C779143" w14:textId="77777777" w:rsidR="006F6D82" w:rsidRPr="00C44E1D" w:rsidRDefault="006F6D82" w:rsidP="00721B09">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ExpectedCount</w:t>
            </w:r>
            <w:proofErr w:type="spellEnd"/>
          </w:p>
        </w:tc>
      </w:tr>
      <w:tr w:rsidR="006F6D82" w:rsidRPr="00C44E1D" w14:paraId="12A8629A" w14:textId="77777777" w:rsidTr="00721B09">
        <w:tc>
          <w:tcPr>
            <w:tcW w:w="0" w:type="auto"/>
            <w:shd w:val="clear" w:color="auto" w:fill="auto"/>
            <w:vAlign w:val="center"/>
          </w:tcPr>
          <w:p w14:paraId="23B80217" w14:textId="77777777" w:rsidR="006F6D82" w:rsidRDefault="006F6D82" w:rsidP="00721B09">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1</w:t>
            </w:r>
          </w:p>
        </w:tc>
        <w:tc>
          <w:tcPr>
            <w:tcW w:w="0" w:type="auto"/>
            <w:shd w:val="clear" w:color="auto" w:fill="auto"/>
            <w:noWrap/>
            <w:vAlign w:val="center"/>
          </w:tcPr>
          <w:p w14:paraId="6534FBDA" w14:textId="77777777" w:rsidR="006F6D82" w:rsidRPr="00C4490D" w:rsidRDefault="006F6D82" w:rsidP="00721B09">
            <w:pPr>
              <w:spacing w:after="0"/>
              <w:jc w:val="right"/>
              <w:rPr>
                <w:rFonts w:ascii="Arial Narrow" w:eastAsia="Times New Roman" w:hAnsi="Arial Narrow" w:cs="Times New Roman"/>
                <w:color w:val="000000"/>
                <w:sz w:val="20"/>
                <w:szCs w:val="20"/>
              </w:rPr>
            </w:pPr>
            <w:r w:rsidRPr="00C4490D">
              <w:rPr>
                <w:rFonts w:ascii="Arial Narrow" w:eastAsia="Times New Roman" w:hAnsi="Arial Narrow" w:cs="Times New Roman"/>
                <w:color w:val="000000"/>
                <w:sz w:val="20"/>
                <w:szCs w:val="20"/>
              </w:rPr>
              <w:t>203373_10</w:t>
            </w:r>
          </w:p>
        </w:tc>
        <w:tc>
          <w:tcPr>
            <w:tcW w:w="0" w:type="auto"/>
            <w:shd w:val="clear" w:color="auto" w:fill="auto"/>
            <w:noWrap/>
            <w:vAlign w:val="center"/>
          </w:tcPr>
          <w:p w14:paraId="3CAECFAF" w14:textId="77777777" w:rsidR="006F6D82" w:rsidRPr="00C44E1D" w:rsidRDefault="006F6D82"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4,792</w:t>
            </w:r>
          </w:p>
        </w:tc>
        <w:tc>
          <w:tcPr>
            <w:tcW w:w="0" w:type="auto"/>
            <w:shd w:val="clear" w:color="auto" w:fill="auto"/>
            <w:noWrap/>
            <w:vAlign w:val="center"/>
          </w:tcPr>
          <w:p w14:paraId="19623F39" w14:textId="77777777" w:rsidR="006F6D82" w:rsidRPr="00C44E1D" w:rsidRDefault="006F6D82"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641</w:t>
            </w:r>
          </w:p>
        </w:tc>
        <w:tc>
          <w:tcPr>
            <w:tcW w:w="0" w:type="auto"/>
            <w:shd w:val="clear" w:color="auto" w:fill="auto"/>
            <w:noWrap/>
            <w:vAlign w:val="center"/>
          </w:tcPr>
          <w:p w14:paraId="69202E98" w14:textId="77777777" w:rsidR="006F6D82" w:rsidRPr="00C44E1D" w:rsidRDefault="006F6D82"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642</w:t>
            </w:r>
          </w:p>
        </w:tc>
      </w:tr>
      <w:tr w:rsidR="006F6D82" w:rsidRPr="00C44E1D" w14:paraId="7E46507E" w14:textId="77777777" w:rsidTr="00721B09">
        <w:tc>
          <w:tcPr>
            <w:tcW w:w="0" w:type="auto"/>
            <w:shd w:val="clear" w:color="auto" w:fill="auto"/>
            <w:vAlign w:val="center"/>
          </w:tcPr>
          <w:p w14:paraId="60DB5834" w14:textId="77777777" w:rsidR="006F6D82" w:rsidRDefault="006F6D82" w:rsidP="00721B09">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2</w:t>
            </w:r>
          </w:p>
        </w:tc>
        <w:tc>
          <w:tcPr>
            <w:tcW w:w="0" w:type="auto"/>
            <w:shd w:val="clear" w:color="auto" w:fill="auto"/>
            <w:noWrap/>
            <w:vAlign w:val="center"/>
          </w:tcPr>
          <w:p w14:paraId="59D3ADD0" w14:textId="77777777" w:rsidR="006F6D82" w:rsidRPr="0042433C" w:rsidRDefault="006F6D82" w:rsidP="00721B09">
            <w:pPr>
              <w:spacing w:after="0"/>
              <w:jc w:val="right"/>
              <w:rPr>
                <w:rFonts w:ascii="Arial Narrow" w:eastAsia="Times New Roman" w:hAnsi="Arial Narrow" w:cs="Times New Roman"/>
                <w:color w:val="000000"/>
                <w:sz w:val="20"/>
                <w:szCs w:val="20"/>
              </w:rPr>
            </w:pPr>
            <w:r w:rsidRPr="00C4490D">
              <w:rPr>
                <w:rFonts w:ascii="Arial Narrow" w:eastAsia="Times New Roman" w:hAnsi="Arial Narrow" w:cs="Times New Roman"/>
                <w:color w:val="000000"/>
                <w:sz w:val="20"/>
                <w:szCs w:val="20"/>
              </w:rPr>
              <w:t>203373_10</w:t>
            </w:r>
          </w:p>
        </w:tc>
        <w:tc>
          <w:tcPr>
            <w:tcW w:w="0" w:type="auto"/>
            <w:shd w:val="clear" w:color="auto" w:fill="auto"/>
            <w:noWrap/>
            <w:vAlign w:val="center"/>
          </w:tcPr>
          <w:p w14:paraId="28BFE61F" w14:textId="77777777" w:rsidR="006F6D82" w:rsidRPr="00C44E1D" w:rsidRDefault="006F6D82"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4,761</w:t>
            </w:r>
          </w:p>
        </w:tc>
        <w:tc>
          <w:tcPr>
            <w:tcW w:w="0" w:type="auto"/>
            <w:shd w:val="clear" w:color="auto" w:fill="auto"/>
            <w:noWrap/>
            <w:vAlign w:val="center"/>
          </w:tcPr>
          <w:p w14:paraId="64EBF9C4" w14:textId="77777777" w:rsidR="006F6D82" w:rsidRPr="00C44E1D" w:rsidRDefault="006F6D82"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688</w:t>
            </w:r>
          </w:p>
        </w:tc>
        <w:tc>
          <w:tcPr>
            <w:tcW w:w="0" w:type="auto"/>
            <w:shd w:val="clear" w:color="auto" w:fill="auto"/>
            <w:noWrap/>
            <w:vAlign w:val="center"/>
          </w:tcPr>
          <w:p w14:paraId="4BD9D17C" w14:textId="77777777" w:rsidR="006F6D82" w:rsidRPr="00C44E1D" w:rsidRDefault="006F6D82"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668</w:t>
            </w:r>
          </w:p>
        </w:tc>
      </w:tr>
      <w:tr w:rsidR="006F6D82" w:rsidRPr="00C44E1D" w14:paraId="21C5DC75" w14:textId="77777777" w:rsidTr="00721B09">
        <w:tc>
          <w:tcPr>
            <w:tcW w:w="0" w:type="auto"/>
            <w:shd w:val="clear" w:color="auto" w:fill="auto"/>
            <w:vAlign w:val="center"/>
          </w:tcPr>
          <w:p w14:paraId="6A8AF8CB" w14:textId="77777777" w:rsidR="006F6D82" w:rsidRDefault="006F6D82" w:rsidP="00721B09">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3</w:t>
            </w:r>
          </w:p>
        </w:tc>
        <w:tc>
          <w:tcPr>
            <w:tcW w:w="0" w:type="auto"/>
            <w:shd w:val="clear" w:color="auto" w:fill="auto"/>
            <w:noWrap/>
            <w:vAlign w:val="center"/>
          </w:tcPr>
          <w:p w14:paraId="707769DF" w14:textId="77777777" w:rsidR="006F6D82" w:rsidRPr="0042433C" w:rsidRDefault="006F6D82" w:rsidP="00721B09">
            <w:pPr>
              <w:spacing w:after="0"/>
              <w:jc w:val="right"/>
              <w:rPr>
                <w:rFonts w:ascii="Arial Narrow" w:eastAsia="Times New Roman" w:hAnsi="Arial Narrow" w:cs="Times New Roman"/>
                <w:color w:val="000000"/>
                <w:sz w:val="20"/>
                <w:szCs w:val="20"/>
              </w:rPr>
            </w:pPr>
            <w:r w:rsidRPr="00C4490D">
              <w:rPr>
                <w:rFonts w:ascii="Arial Narrow" w:eastAsia="Times New Roman" w:hAnsi="Arial Narrow" w:cs="Times New Roman"/>
                <w:color w:val="000000"/>
                <w:sz w:val="20"/>
                <w:szCs w:val="20"/>
              </w:rPr>
              <w:t>203373_10</w:t>
            </w:r>
          </w:p>
        </w:tc>
        <w:tc>
          <w:tcPr>
            <w:tcW w:w="0" w:type="auto"/>
            <w:shd w:val="clear" w:color="auto" w:fill="auto"/>
            <w:noWrap/>
            <w:vAlign w:val="center"/>
          </w:tcPr>
          <w:p w14:paraId="30257FF5" w14:textId="77777777" w:rsidR="006F6D82" w:rsidRPr="00C44E1D" w:rsidRDefault="006F6D82"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8,629</w:t>
            </w:r>
          </w:p>
        </w:tc>
        <w:tc>
          <w:tcPr>
            <w:tcW w:w="0" w:type="auto"/>
            <w:shd w:val="clear" w:color="auto" w:fill="auto"/>
            <w:noWrap/>
            <w:vAlign w:val="center"/>
          </w:tcPr>
          <w:p w14:paraId="29AA9BDE" w14:textId="77777777" w:rsidR="006F6D82" w:rsidRPr="00C44E1D" w:rsidRDefault="006F6D82"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1,126</w:t>
            </w:r>
          </w:p>
        </w:tc>
        <w:tc>
          <w:tcPr>
            <w:tcW w:w="0" w:type="auto"/>
            <w:shd w:val="clear" w:color="auto" w:fill="auto"/>
            <w:noWrap/>
            <w:vAlign w:val="center"/>
          </w:tcPr>
          <w:p w14:paraId="112A6087" w14:textId="77777777" w:rsidR="006F6D82" w:rsidRPr="00C44E1D" w:rsidRDefault="006F6D82"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1,070</w:t>
            </w:r>
          </w:p>
        </w:tc>
      </w:tr>
      <w:tr w:rsidR="006F6D82" w:rsidRPr="00C44E1D" w14:paraId="641CDFF6" w14:textId="77777777" w:rsidTr="00721B09">
        <w:tc>
          <w:tcPr>
            <w:tcW w:w="0" w:type="auto"/>
            <w:shd w:val="clear" w:color="auto" w:fill="auto"/>
            <w:vAlign w:val="center"/>
          </w:tcPr>
          <w:p w14:paraId="3EA73DEF" w14:textId="77777777" w:rsidR="006F6D82" w:rsidRDefault="006F6D82" w:rsidP="00721B09">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4</w:t>
            </w:r>
          </w:p>
        </w:tc>
        <w:tc>
          <w:tcPr>
            <w:tcW w:w="0" w:type="auto"/>
            <w:shd w:val="clear" w:color="auto" w:fill="auto"/>
            <w:noWrap/>
            <w:vAlign w:val="center"/>
          </w:tcPr>
          <w:p w14:paraId="30FFD3F7" w14:textId="77777777" w:rsidR="006F6D82" w:rsidRPr="0042433C" w:rsidRDefault="006F6D82" w:rsidP="00721B09">
            <w:pPr>
              <w:spacing w:after="0"/>
              <w:jc w:val="right"/>
              <w:rPr>
                <w:rFonts w:ascii="Arial Narrow" w:hAnsi="Arial Narrow" w:cs="Calibri"/>
                <w:color w:val="000000"/>
                <w:sz w:val="20"/>
                <w:szCs w:val="20"/>
              </w:rPr>
            </w:pPr>
            <w:r w:rsidRPr="00C4490D">
              <w:rPr>
                <w:rFonts w:ascii="Arial Narrow" w:hAnsi="Arial Narrow" w:cs="Calibri"/>
                <w:color w:val="000000"/>
                <w:sz w:val="20"/>
                <w:szCs w:val="20"/>
              </w:rPr>
              <w:t>203373_10</w:t>
            </w:r>
          </w:p>
        </w:tc>
        <w:tc>
          <w:tcPr>
            <w:tcW w:w="0" w:type="auto"/>
            <w:shd w:val="clear" w:color="auto" w:fill="auto"/>
            <w:noWrap/>
            <w:vAlign w:val="center"/>
          </w:tcPr>
          <w:p w14:paraId="617371E9" w14:textId="77777777" w:rsidR="006F6D82" w:rsidRDefault="006F6D82" w:rsidP="00721B09">
            <w:pPr>
              <w:spacing w:after="0"/>
              <w:jc w:val="right"/>
              <w:rPr>
                <w:rFonts w:ascii="Arial Narrow" w:hAnsi="Arial Narrow" w:cs="Calibri"/>
                <w:color w:val="000000"/>
                <w:sz w:val="20"/>
                <w:szCs w:val="20"/>
              </w:rPr>
            </w:pPr>
            <w:r>
              <w:rPr>
                <w:rFonts w:ascii="Arial Narrow" w:hAnsi="Arial Narrow" w:cs="Calibri"/>
                <w:color w:val="000000"/>
                <w:sz w:val="20"/>
                <w:szCs w:val="20"/>
              </w:rPr>
              <w:t>533</w:t>
            </w:r>
          </w:p>
        </w:tc>
        <w:tc>
          <w:tcPr>
            <w:tcW w:w="0" w:type="auto"/>
            <w:shd w:val="clear" w:color="auto" w:fill="auto"/>
            <w:noWrap/>
            <w:vAlign w:val="center"/>
          </w:tcPr>
          <w:p w14:paraId="24E5E6EA" w14:textId="77777777" w:rsidR="006F6D82" w:rsidRDefault="006F6D82" w:rsidP="00721B09">
            <w:pPr>
              <w:spacing w:after="0"/>
              <w:jc w:val="right"/>
              <w:rPr>
                <w:rFonts w:ascii="Arial Narrow" w:hAnsi="Arial Narrow" w:cs="Calibri"/>
                <w:color w:val="000000"/>
                <w:sz w:val="20"/>
                <w:szCs w:val="20"/>
              </w:rPr>
            </w:pPr>
            <w:r>
              <w:rPr>
                <w:rFonts w:ascii="Arial Narrow" w:hAnsi="Arial Narrow" w:cs="Calibri"/>
                <w:color w:val="000000"/>
                <w:sz w:val="20"/>
                <w:szCs w:val="20"/>
              </w:rPr>
              <w:t>79</w:t>
            </w:r>
          </w:p>
        </w:tc>
        <w:tc>
          <w:tcPr>
            <w:tcW w:w="0" w:type="auto"/>
            <w:shd w:val="clear" w:color="auto" w:fill="auto"/>
            <w:noWrap/>
            <w:vAlign w:val="center"/>
          </w:tcPr>
          <w:p w14:paraId="22D86EBC" w14:textId="77777777" w:rsidR="006F6D82" w:rsidRDefault="006F6D82" w:rsidP="00721B09">
            <w:pPr>
              <w:spacing w:after="0"/>
              <w:jc w:val="right"/>
              <w:rPr>
                <w:rFonts w:ascii="Arial Narrow" w:hAnsi="Arial Narrow" w:cs="Calibri"/>
                <w:color w:val="000000"/>
                <w:sz w:val="20"/>
                <w:szCs w:val="20"/>
              </w:rPr>
            </w:pPr>
            <w:r>
              <w:rPr>
                <w:rFonts w:ascii="Arial Narrow" w:hAnsi="Arial Narrow" w:cs="Calibri"/>
                <w:color w:val="000000"/>
                <w:sz w:val="20"/>
                <w:szCs w:val="20"/>
              </w:rPr>
              <w:t>73</w:t>
            </w:r>
          </w:p>
        </w:tc>
      </w:tr>
    </w:tbl>
    <w:p w14:paraId="42C8CD03" w14:textId="77777777" w:rsidR="006F6D82" w:rsidRDefault="006F6D82" w:rsidP="006F6D82">
      <w:pPr>
        <w:rPr>
          <w:rFonts w:eastAsia="Calibri"/>
        </w:rPr>
      </w:pPr>
    </w:p>
    <w:p w14:paraId="2C6DD477" w14:textId="77777777" w:rsidR="006F6D82" w:rsidRPr="00C44E1D" w:rsidRDefault="006F6D82" w:rsidP="006F6D82">
      <w:pPr>
        <w:rPr>
          <w:rFonts w:eastAsia="Calibri" w:cs="Times New Roman"/>
        </w:rPr>
      </w:pPr>
      <w:proofErr w:type="spellStart"/>
      <w:r w:rsidRPr="00C44E1D">
        <w:rPr>
          <w:rFonts w:eastAsia="Calibri"/>
        </w:rPr>
        <w:t>Nat</w:t>
      </w:r>
      <w:r>
        <w:rPr>
          <w:rFonts w:eastAsia="Calibri"/>
        </w:rPr>
        <w:t>Avg</w:t>
      </w:r>
      <w:r w:rsidRPr="00C44E1D">
        <w:rPr>
          <w:rFonts w:eastAsia="Calibri"/>
        </w:rPr>
        <w:t>Obs</w:t>
      </w:r>
      <w:proofErr w:type="spellEnd"/>
      <w:r w:rsidRPr="00C44E1D">
        <w:rPr>
          <w:rFonts w:eastAsia="Calibri"/>
        </w:rPr>
        <w:t xml:space="preserve"> = </w:t>
      </w:r>
      <m:oMath>
        <m:r>
          <m:rPr>
            <m:nor/>
          </m:rPr>
          <w:rPr>
            <w:rFonts w:eastAsia="Calibri"/>
          </w:rPr>
          <m:t>Average</m:t>
        </m:r>
        <m:d>
          <m:dPr>
            <m:ctrlPr>
              <w:rPr>
                <w:rFonts w:ascii="Cambria Math" w:eastAsia="Calibri" w:hAnsi="Cambria Math"/>
              </w:rPr>
            </m:ctrlPr>
          </m:dPr>
          <m:e>
            <m:d>
              <m:dPr>
                <m:ctrlPr>
                  <w:rPr>
                    <w:rFonts w:ascii="Cambria Math" w:eastAsia="Calibri" w:hAnsi="Cambria Math"/>
                  </w:rPr>
                </m:ctrlPr>
              </m:dPr>
              <m:e>
                <m:f>
                  <m:fPr>
                    <m:ctrlPr>
                      <w:rPr>
                        <w:rFonts w:ascii="Cambria Math" w:eastAsia="Calibri" w:hAnsi="Cambria Math"/>
                      </w:rPr>
                    </m:ctrlPr>
                  </m:fPr>
                  <m:num>
                    <m:r>
                      <m:rPr>
                        <m:nor/>
                      </m:rPr>
                      <w:rPr>
                        <w:rFonts w:eastAsia="Calibri"/>
                      </w:rPr>
                      <m:t xml:space="preserve">641 </m:t>
                    </m:r>
                  </m:num>
                  <m:den>
                    <m:r>
                      <m:rPr>
                        <m:nor/>
                      </m:rPr>
                      <w:rPr>
                        <w:rFonts w:eastAsia="Calibri"/>
                      </w:rPr>
                      <m:t>4</m:t>
                    </m:r>
                    <m:r>
                      <m:rPr>
                        <m:nor/>
                      </m:rPr>
                      <w:rPr>
                        <w:rFonts w:ascii="Cambria Math" w:eastAsia="Calibri"/>
                      </w:rPr>
                      <m:t>,</m:t>
                    </m:r>
                    <m:r>
                      <m:rPr>
                        <m:nor/>
                      </m:rPr>
                      <w:rPr>
                        <w:rFonts w:eastAsia="Calibri"/>
                      </w:rPr>
                      <m:t>792</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688</m:t>
                    </m:r>
                  </m:num>
                  <m:den>
                    <m:r>
                      <m:rPr>
                        <m:nor/>
                      </m:rPr>
                      <w:rPr>
                        <w:rFonts w:eastAsia="Calibri"/>
                      </w:rPr>
                      <m:t>4,761</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1,126</m:t>
                    </m:r>
                  </m:num>
                  <m:den>
                    <m:r>
                      <m:rPr>
                        <m:nor/>
                      </m:rPr>
                      <w:rPr>
                        <w:rFonts w:eastAsia="Calibri"/>
                      </w:rPr>
                      <m:t>8,629</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79</m:t>
                    </m:r>
                  </m:num>
                  <m:den>
                    <m:r>
                      <m:rPr>
                        <m:nor/>
                      </m:rPr>
                      <w:rPr>
                        <w:rFonts w:eastAsia="Calibri"/>
                      </w:rPr>
                      <m:t>533</m:t>
                    </m:r>
                  </m:den>
                </m:f>
              </m:e>
            </m:d>
          </m:e>
        </m:d>
      </m:oMath>
    </w:p>
    <w:p w14:paraId="0C7CB40C" w14:textId="77777777" w:rsidR="006F6D82" w:rsidRPr="00C44E1D" w:rsidRDefault="006F6D82" w:rsidP="006F6D82">
      <w:pPr>
        <w:rPr>
          <w:rFonts w:ascii="Cambria Math" w:eastAsia="Calibri" w:hAnsi="Cambria Math"/>
          <w:oMath/>
        </w:rPr>
      </w:pPr>
      <w:proofErr w:type="spellStart"/>
      <w:r w:rsidRPr="00C44E1D">
        <w:rPr>
          <w:rFonts w:eastAsia="Calibri"/>
        </w:rPr>
        <w:t>Nat</w:t>
      </w:r>
      <w:r>
        <w:rPr>
          <w:rFonts w:eastAsia="Calibri"/>
        </w:rPr>
        <w:t>AvgObs</w:t>
      </w:r>
      <w:proofErr w:type="spellEnd"/>
      <w:r w:rsidRPr="00C44E1D">
        <w:rPr>
          <w:rFonts w:eastAsia="Calibri"/>
        </w:rPr>
        <w:t xml:space="preserve"> = </w:t>
      </w:r>
      <m:oMath>
        <m:r>
          <m:rPr>
            <m:nor/>
          </m:rPr>
          <w:rPr>
            <w:rFonts w:eastAsia="Calibri"/>
          </w:rPr>
          <m:t xml:space="preserve">Average </m:t>
        </m:r>
        <m:d>
          <m:dPr>
            <m:ctrlPr>
              <w:rPr>
                <w:rFonts w:ascii="Cambria Math" w:eastAsia="Calibri" w:hAnsi="Cambria Math"/>
              </w:rPr>
            </m:ctrlPr>
          </m:dPr>
          <m:e>
            <m:d>
              <m:dPr>
                <m:ctrlPr>
                  <w:rPr>
                    <w:rFonts w:ascii="Cambria Math" w:eastAsia="Calibri" w:hAnsi="Cambria Math"/>
                  </w:rPr>
                </m:ctrlPr>
              </m:dPr>
              <m:e>
                <m:r>
                  <m:rPr>
                    <m:nor/>
                  </m:rPr>
                  <w:rPr>
                    <w:rFonts w:eastAsia="Calibri"/>
                  </w:rPr>
                  <m:t>0.13376</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0.14451</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0.13049</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0.14822</m:t>
                </m:r>
              </m:e>
            </m:d>
          </m:e>
        </m:d>
      </m:oMath>
    </w:p>
    <w:p w14:paraId="2713E988" w14:textId="77777777" w:rsidR="006F6D82" w:rsidRDefault="006F6D82" w:rsidP="006F6D82">
      <w:pPr>
        <w:rPr>
          <w:rFonts w:eastAsia="Calibri"/>
        </w:rPr>
      </w:pPr>
      <w:r>
        <w:rPr>
          <w:rFonts w:eastAsia="Calibri"/>
        </w:rPr>
        <w:t>NatAvgObs</w:t>
      </w:r>
      <w:r w:rsidRPr="00C44E1D">
        <w:rPr>
          <w:rFonts w:eastAsia="Calibri"/>
        </w:rPr>
        <w:t xml:space="preserve"> = </w:t>
      </w:r>
      <w:r>
        <w:rPr>
          <w:rFonts w:eastAsia="Calibri"/>
        </w:rPr>
        <w:t>0</w:t>
      </w:r>
      <w:r w:rsidRPr="00C44E1D">
        <w:rPr>
          <w:rFonts w:eastAsia="Calibri"/>
        </w:rPr>
        <w:t>.139245</w:t>
      </w:r>
    </w:p>
    <w:p w14:paraId="41F2D096" w14:textId="77777777" w:rsidR="006F6D82" w:rsidRDefault="006F6D82" w:rsidP="006F6D82">
      <w:pPr>
        <w:pStyle w:val="Normal-Formula"/>
        <w:spacing w:before="120" w:after="120"/>
      </w:pPr>
      <w:r>
        <w:t xml:space="preserve">Final Rate Contract 1 = </w:t>
      </w:r>
      <m:oMath>
        <m:d>
          <m:dPr>
            <m:ctrlPr>
              <w:rPr>
                <w:rFonts w:ascii="Cambria Math" w:hAnsi="Cambria Math"/>
                <w:i/>
              </w:rPr>
            </m:ctrlPr>
          </m:dPr>
          <m:e>
            <m:d>
              <m:dPr>
                <m:ctrlPr>
                  <w:rPr>
                    <w:rFonts w:ascii="Cambria Math" w:hAnsi="Cambria Math"/>
                    <w:i/>
                  </w:rPr>
                </m:ctrlPr>
              </m:dPr>
              <m:e>
                <m:f>
                  <m:fPr>
                    <m:ctrlPr>
                      <w:rPr>
                        <w:rFonts w:ascii="Cambria Math" w:hAnsi="Cambria Math"/>
                        <w:i/>
                      </w:rPr>
                    </m:ctrlPr>
                  </m:fPr>
                  <m:num>
                    <m:r>
                      <m:rPr>
                        <m:nor/>
                      </m:rPr>
                      <m:t>641</m:t>
                    </m:r>
                  </m:num>
                  <m:den>
                    <m:r>
                      <m:rPr>
                        <m:nor/>
                      </m:rPr>
                      <m:t>642</m:t>
                    </m:r>
                  </m:den>
                </m:f>
              </m:e>
            </m:d>
            <m:r>
              <m:rPr>
                <m:nor/>
              </m:rPr>
              <m:t xml:space="preserve"> × .139245</m:t>
            </m:r>
          </m:e>
        </m:d>
        <m:r>
          <m:rPr>
            <m:nor/>
          </m:rPr>
          <m:t xml:space="preserve"> x 1000 = </m:t>
        </m:r>
        <m:r>
          <m:rPr>
            <m:nor/>
          </m:rPr>
          <w:rPr>
            <w:rFonts w:eastAsiaTheme="minorEastAsia"/>
          </w:rPr>
          <m:t>139.028</m:t>
        </m:r>
      </m:oMath>
    </w:p>
    <w:p w14:paraId="1B38DD97" w14:textId="77777777" w:rsidR="006F6D82" w:rsidRDefault="006F6D82" w:rsidP="006F6D82">
      <w:pPr>
        <w:pStyle w:val="Normal-Formula"/>
        <w:spacing w:before="120" w:after="120"/>
      </w:pPr>
      <w:r>
        <w:t>Final Rate reported for Contract 1 = 139</w:t>
      </w:r>
    </w:p>
    <w:p w14:paraId="26CBF7C4" w14:textId="77777777" w:rsidR="003F725A" w:rsidRPr="00DD7B93" w:rsidRDefault="003F725A" w:rsidP="003F725A">
      <w:pPr>
        <w:spacing w:line="276" w:lineRule="auto"/>
        <w:rPr>
          <w:sz w:val="18"/>
          <w:szCs w:val="24"/>
        </w:rPr>
      </w:pPr>
      <w:r w:rsidRPr="00DD7B93">
        <w:br w:type="page"/>
      </w:r>
    </w:p>
    <w:p w14:paraId="5BFE0835" w14:textId="77777777" w:rsidR="008F4616" w:rsidRDefault="008F4616" w:rsidP="008F4616">
      <w:pPr>
        <w:pStyle w:val="AttachmentTitle"/>
        <w:spacing w:after="120"/>
      </w:pPr>
      <w:r>
        <w:lastRenderedPageBreak/>
        <w:t>Calculating Measure 2021 AHU: Acute Hospital Utilization - Surgery (M/F 65+)</w:t>
      </w:r>
    </w:p>
    <w:p w14:paraId="3B8DAEE6" w14:textId="5B9006B7" w:rsidR="008F4616" w:rsidRDefault="008F4616" w:rsidP="008F4616">
      <w:r w:rsidRPr="00CF20FE">
        <w:t xml:space="preserve">All data </w:t>
      </w:r>
      <w:r>
        <w:t xml:space="preserve">can be looked up by </w:t>
      </w:r>
      <w:proofErr w:type="spellStart"/>
      <w:r>
        <w:t>IndicatorKey</w:t>
      </w:r>
      <w:proofErr w:type="spellEnd"/>
      <w:r>
        <w:t xml:space="preserve"> (row) and Variable name (column).</w:t>
      </w:r>
    </w:p>
    <w:p w14:paraId="457B78A2" w14:textId="77777777" w:rsidR="008F4616" w:rsidRDefault="008F4616" w:rsidP="008F4616">
      <w:r>
        <w:t xml:space="preserve">The calculations below use the </w:t>
      </w:r>
      <w:proofErr w:type="spellStart"/>
      <w:r>
        <w:t>NonOutlierMemberCount</w:t>
      </w:r>
      <w:proofErr w:type="spellEnd"/>
      <w:r>
        <w:t xml:space="preserve">, </w:t>
      </w:r>
      <w:proofErr w:type="spellStart"/>
      <w:r>
        <w:t>ObservedCount</w:t>
      </w:r>
      <w:proofErr w:type="spellEnd"/>
      <w:r>
        <w:t xml:space="preserve"> and </w:t>
      </w:r>
      <w:proofErr w:type="spellStart"/>
      <w:r>
        <w:t>ExpectedCount</w:t>
      </w:r>
      <w:proofErr w:type="spellEnd"/>
      <w:r>
        <w:t xml:space="preserve"> values from the AHU Surgery (M/F 65+) indicator (</w:t>
      </w:r>
      <w:proofErr w:type="spellStart"/>
      <w:r>
        <w:t>IndicatorKey</w:t>
      </w:r>
      <w:proofErr w:type="spellEnd"/>
      <w:r>
        <w:t xml:space="preserve"> = </w:t>
      </w:r>
      <w:r w:rsidRPr="00E879B1">
        <w:t>203403_10</w:t>
      </w:r>
      <w:r>
        <w:t>).</w:t>
      </w:r>
    </w:p>
    <w:p w14:paraId="2CCFB8D8" w14:textId="77777777" w:rsidR="008F4616" w:rsidRDefault="008F4616" w:rsidP="008F4616">
      <w:r>
        <w:t>For each contract, calculate the Surgery (M/F 65+) Observed-over-Expected Ratio (OE):</w:t>
      </w:r>
    </w:p>
    <w:p w14:paraId="37F2EFB7" w14:textId="77777777" w:rsidR="008F4616" w:rsidRDefault="008F4616" w:rsidP="008F4616">
      <w:pPr>
        <w:ind w:firstLine="720"/>
      </w:pPr>
      <w:r>
        <w:t xml:space="preserve">OE = </w:t>
      </w:r>
      <m:oMath>
        <m:d>
          <m:dPr>
            <m:ctrlPr>
              <w:rPr>
                <w:rFonts w:ascii="Cambria Math" w:hAnsi="Cambria Math"/>
                <w:sz w:val="28"/>
                <w:szCs w:val="28"/>
              </w:rPr>
            </m:ctrlPr>
          </m:dPr>
          <m:e>
            <m:f>
              <m:fPr>
                <m:ctrlPr>
                  <w:rPr>
                    <w:rFonts w:ascii="Cambria Math" w:hAnsi="Cambria Math"/>
                    <w:sz w:val="28"/>
                    <w:szCs w:val="28"/>
                  </w:rPr>
                </m:ctrlPr>
              </m:fPr>
              <m:num>
                <w:proofErr w:type="spellStart"/>
                <m:r>
                  <m:rPr>
                    <m:nor/>
                  </m:rPr>
                  <w:rPr>
                    <w:sz w:val="28"/>
                    <w:szCs w:val="28"/>
                  </w:rPr>
                  <m:t>ObservedCount</m:t>
                </m:r>
                <w:proofErr w:type="spellEnd"/>
              </m:num>
              <m:den>
                <w:proofErr w:type="spellStart"/>
                <m:r>
                  <m:rPr>
                    <m:nor/>
                  </m:rPr>
                  <w:rPr>
                    <w:sz w:val="28"/>
                    <w:szCs w:val="28"/>
                  </w:rPr>
                  <m:t>ExpectedCount</m:t>
                </m:r>
                <w:proofErr w:type="spellEnd"/>
              </m:den>
            </m:f>
          </m:e>
        </m:d>
      </m:oMath>
    </w:p>
    <w:p w14:paraId="7DE310A0" w14:textId="77777777" w:rsidR="008F4616" w:rsidRDefault="008F4616" w:rsidP="008F4616">
      <w:r>
        <w:t>Calculate the national average of the Surgery (M/F 65+) Observed Rate:</w:t>
      </w:r>
    </w:p>
    <w:p w14:paraId="0B01BF77" w14:textId="77777777" w:rsidR="008F4616" w:rsidRDefault="008F4616" w:rsidP="008F4616">
      <w:pPr>
        <w:pStyle w:val="Normal-Formula"/>
        <w:spacing w:before="120"/>
        <w:ind w:firstLine="720"/>
      </w:pPr>
      <w:proofErr w:type="spellStart"/>
      <w:r w:rsidRPr="00301E67">
        <w:t>NatAvgObs</w:t>
      </w:r>
      <w:proofErr w:type="spellEnd"/>
      <w:r w:rsidRPr="00301E67">
        <w:t xml:space="preserve"> = </w:t>
      </w:r>
      <m:oMath>
        <m:r>
          <m:rPr>
            <m:nor/>
          </m:rPr>
          <m:t>Average</m:t>
        </m:r>
        <m:d>
          <m:dPr>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w:proofErr w:type="spellStart"/>
                        <m:r>
                          <m:rPr>
                            <m:nor/>
                          </m:rPr>
                          <m:t>ObservedCount</m:t>
                        </m:r>
                        <w:proofErr w:type="spellEnd"/>
                      </m:e>
                      <m:sub>
                        <m:r>
                          <m:rPr>
                            <m:nor/>
                          </m:rPr>
                          <m:t>1</m:t>
                        </m:r>
                      </m:sub>
                    </m:sSub>
                  </m:num>
                  <m:den>
                    <m:sSub>
                      <m:sSubPr>
                        <m:ctrlPr>
                          <w:rPr>
                            <w:rFonts w:ascii="Cambria Math" w:hAnsi="Cambria Math"/>
                          </w:rPr>
                        </m:ctrlPr>
                      </m:sSubPr>
                      <m:e>
                        <w:proofErr w:type="spellStart"/>
                        <m:r>
                          <m:rPr>
                            <m:nor/>
                          </m:rPr>
                          <m:t>NonOutlierMemberCount</m:t>
                        </m:r>
                        <w:proofErr w:type="spellEnd"/>
                      </m:e>
                      <m:sub>
                        <m:r>
                          <m:rPr>
                            <m:nor/>
                          </m:rPr>
                          <m:t>1</m:t>
                        </m:r>
                      </m:sub>
                    </m:sSub>
                  </m:den>
                </m:f>
              </m:e>
            </m:d>
            <m:r>
              <m:rPr>
                <m:nor/>
              </m:rPr>
              <m:t xml:space="preserve"> + … +</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w:proofErr w:type="spellStart"/>
                        <m:r>
                          <m:rPr>
                            <m:nor/>
                          </m:rPr>
                          <m:t>ObservedCount</m:t>
                        </m:r>
                        <w:proofErr w:type="spellEnd"/>
                      </m:e>
                      <m:sub>
                        <m:r>
                          <m:rPr>
                            <m:nor/>
                          </m:rPr>
                          <m:t>n</m:t>
                        </m:r>
                      </m:sub>
                    </m:sSub>
                  </m:num>
                  <m:den>
                    <m:sSub>
                      <m:sSubPr>
                        <m:ctrlPr>
                          <w:rPr>
                            <w:rFonts w:ascii="Cambria Math" w:hAnsi="Cambria Math"/>
                          </w:rPr>
                        </m:ctrlPr>
                      </m:sSubPr>
                      <m:e>
                        <w:proofErr w:type="spellStart"/>
                        <m:r>
                          <m:rPr>
                            <m:nor/>
                          </m:rPr>
                          <m:t>NonOutlierMemberCount</m:t>
                        </m:r>
                        <w:proofErr w:type="spellEnd"/>
                      </m:e>
                      <m:sub>
                        <m:r>
                          <m:rPr>
                            <m:nor/>
                          </m:rPr>
                          <m:t>n</m:t>
                        </m:r>
                      </m:sub>
                    </m:sSub>
                  </m:den>
                </m:f>
              </m:e>
            </m:d>
          </m:e>
        </m:d>
      </m:oMath>
    </w:p>
    <w:p w14:paraId="5D1AFD17" w14:textId="77777777" w:rsidR="008F4616" w:rsidRPr="001F52D8" w:rsidRDefault="008F4616" w:rsidP="008F4616">
      <w:r>
        <w:t>W</w:t>
      </w:r>
      <w:r w:rsidRPr="00301E67">
        <w:t xml:space="preserve">here 1 through n are all </w:t>
      </w:r>
      <w:r w:rsidRPr="00D208DD">
        <w:t xml:space="preserve">contracts with </w:t>
      </w:r>
      <w:r>
        <w:t xml:space="preserve">a Surgery (M/F 65+) </w:t>
      </w:r>
      <w:proofErr w:type="spellStart"/>
      <w:r>
        <w:t>NonOutlierMemberCount</w:t>
      </w:r>
      <w:proofErr w:type="spellEnd"/>
      <w:r w:rsidRPr="00D208DD">
        <w:t xml:space="preserve"> </w:t>
      </w:r>
      <w:r>
        <w:t>larger than or equal to</w:t>
      </w:r>
      <w:r w:rsidRPr="00D208DD">
        <w:t xml:space="preserve"> 150</w:t>
      </w:r>
      <w:r>
        <w:t>, and a Surgery (M/F 65+) OE larger than or equal to 0.2 and less than or equal to 5.0.</w:t>
      </w:r>
    </w:p>
    <w:p w14:paraId="6F6C326B" w14:textId="77777777" w:rsidR="008F4616" w:rsidRDefault="008F4616" w:rsidP="008F4616">
      <w:pPr>
        <w:rPr>
          <w:szCs w:val="20"/>
        </w:rPr>
      </w:pPr>
      <w:r>
        <w:rPr>
          <w:szCs w:val="20"/>
        </w:rPr>
        <w:t>For each contract, calculate the Final Rate and convert to percentages:</w:t>
      </w:r>
    </w:p>
    <w:p w14:paraId="24D7359F" w14:textId="77777777" w:rsidR="008F4616" w:rsidRDefault="008F4616" w:rsidP="008F4616">
      <w:pPr>
        <w:pStyle w:val="Normal-Formula"/>
        <w:spacing w:before="120" w:after="120"/>
        <w:ind w:firstLine="720"/>
      </w:pPr>
      <w:r>
        <w:rPr>
          <w:szCs w:val="20"/>
        </w:rPr>
        <w:t>Final</w:t>
      </w:r>
      <w:r w:rsidRPr="00301E67">
        <w:rPr>
          <w:szCs w:val="20"/>
        </w:rPr>
        <w:t xml:space="preserve"> Rate =</w:t>
      </w:r>
      <w:r>
        <w:t xml:space="preserve"> </w:t>
      </w:r>
      <m:oMath>
        <m:r>
          <m:rPr>
            <m:nor/>
          </m:rPr>
          <m:t xml:space="preserve">OE x </m:t>
        </m:r>
        <w:proofErr w:type="spellStart"/>
        <m:r>
          <m:rPr>
            <m:nor/>
          </m:rPr>
          <m:t>NatAvgObs</m:t>
        </m:r>
        <w:proofErr w:type="spellEnd"/>
        <m:r>
          <m:rPr>
            <m:nor/>
          </m:rPr>
          <m:t xml:space="preserve"> x 1000 </m:t>
        </m:r>
      </m:oMath>
    </w:p>
    <w:p w14:paraId="6F30ED40" w14:textId="77777777" w:rsidR="008F4616" w:rsidRDefault="008F4616" w:rsidP="008F4616">
      <w:pPr>
        <w:pStyle w:val="Normal-Formula"/>
        <w:spacing w:before="120" w:after="120"/>
      </w:pPr>
      <w:r>
        <w:t>And round to the nearest integer.</w:t>
      </w:r>
    </w:p>
    <w:p w14:paraId="095A23C2" w14:textId="77777777" w:rsidR="008F4616" w:rsidRDefault="008F4616" w:rsidP="008F4616"/>
    <w:p w14:paraId="621A90F5" w14:textId="77777777" w:rsidR="008F4616" w:rsidRPr="00C44E1D" w:rsidRDefault="008F4616" w:rsidP="008F4616">
      <w:pPr>
        <w:rPr>
          <w:rFonts w:eastAsia="Calibri"/>
        </w:rPr>
      </w:pPr>
      <w:r w:rsidRPr="00C44E1D">
        <w:rPr>
          <w:rFonts w:eastAsia="Calibri"/>
        </w:rPr>
        <w:t>Example: Calculating the final rate for Contract 1</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29" w:type="dxa"/>
          <w:bottom w:w="14" w:type="dxa"/>
          <w:right w:w="29" w:type="dxa"/>
        </w:tblCellMar>
        <w:tblLook w:val="04A0" w:firstRow="1" w:lastRow="0" w:firstColumn="1" w:lastColumn="0" w:noHBand="0" w:noVBand="1"/>
      </w:tblPr>
      <w:tblGrid>
        <w:gridCol w:w="815"/>
        <w:gridCol w:w="1052"/>
        <w:gridCol w:w="2008"/>
        <w:gridCol w:w="1289"/>
        <w:gridCol w:w="1261"/>
      </w:tblGrid>
      <w:tr w:rsidR="008F4616" w:rsidRPr="00C44E1D" w14:paraId="6D9E4F34" w14:textId="77777777" w:rsidTr="00721B09">
        <w:tc>
          <w:tcPr>
            <w:tcW w:w="0" w:type="auto"/>
            <w:shd w:val="clear" w:color="000000" w:fill="BFBFBF"/>
            <w:vAlign w:val="center"/>
            <w:hideMark/>
          </w:tcPr>
          <w:p w14:paraId="3037EBC9" w14:textId="77777777" w:rsidR="008F4616" w:rsidRPr="00C44E1D" w:rsidRDefault="008F4616" w:rsidP="00721B09">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Contract</w:t>
            </w:r>
          </w:p>
        </w:tc>
        <w:tc>
          <w:tcPr>
            <w:tcW w:w="0" w:type="auto"/>
            <w:shd w:val="clear" w:color="000000" w:fill="BFBFBF"/>
            <w:noWrap/>
            <w:vAlign w:val="center"/>
            <w:hideMark/>
          </w:tcPr>
          <w:p w14:paraId="6C5D3D42" w14:textId="77777777" w:rsidR="008F4616" w:rsidRPr="00C44E1D" w:rsidRDefault="008F4616" w:rsidP="00721B09">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IndicatorKey</w:t>
            </w:r>
            <w:proofErr w:type="spellEnd"/>
          </w:p>
        </w:tc>
        <w:tc>
          <w:tcPr>
            <w:tcW w:w="0" w:type="auto"/>
            <w:shd w:val="clear" w:color="000000" w:fill="BFBFBF"/>
            <w:vAlign w:val="center"/>
            <w:hideMark/>
          </w:tcPr>
          <w:p w14:paraId="5003F281" w14:textId="77777777" w:rsidR="008F4616" w:rsidRPr="00C44E1D" w:rsidRDefault="008F4616" w:rsidP="00721B09">
            <w:pPr>
              <w:spacing w:after="0"/>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NonOutlierMemberCount</w:t>
            </w:r>
            <w:proofErr w:type="spellEnd"/>
            <w:r>
              <w:rPr>
                <w:rFonts w:ascii="Arial Narrow Bold" w:eastAsia="Times New Roman" w:hAnsi="Arial Narrow Bold" w:cs="Times New Roman"/>
                <w:b/>
                <w:bCs/>
                <w:color w:val="000000"/>
                <w:sz w:val="20"/>
                <w:szCs w:val="20"/>
              </w:rPr>
              <w:t xml:space="preserve"> </w:t>
            </w:r>
          </w:p>
        </w:tc>
        <w:tc>
          <w:tcPr>
            <w:tcW w:w="0" w:type="auto"/>
            <w:shd w:val="clear" w:color="000000" w:fill="BFBFBF"/>
            <w:vAlign w:val="center"/>
            <w:hideMark/>
          </w:tcPr>
          <w:p w14:paraId="427B1D7F" w14:textId="77777777" w:rsidR="008F4616" w:rsidRPr="00C44E1D" w:rsidRDefault="008F4616" w:rsidP="00721B09">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ObservedCount</w:t>
            </w:r>
            <w:proofErr w:type="spellEnd"/>
          </w:p>
        </w:tc>
        <w:tc>
          <w:tcPr>
            <w:tcW w:w="0" w:type="auto"/>
            <w:shd w:val="clear" w:color="000000" w:fill="BFBFBF"/>
            <w:vAlign w:val="center"/>
            <w:hideMark/>
          </w:tcPr>
          <w:p w14:paraId="08277ACA" w14:textId="77777777" w:rsidR="008F4616" w:rsidRPr="00C44E1D" w:rsidRDefault="008F4616" w:rsidP="00721B09">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ExpectedCount</w:t>
            </w:r>
            <w:proofErr w:type="spellEnd"/>
          </w:p>
        </w:tc>
      </w:tr>
      <w:tr w:rsidR="008F4616" w:rsidRPr="00C44E1D" w14:paraId="1766F0E5" w14:textId="77777777" w:rsidTr="00721B09">
        <w:tc>
          <w:tcPr>
            <w:tcW w:w="0" w:type="auto"/>
            <w:shd w:val="clear" w:color="auto" w:fill="auto"/>
            <w:vAlign w:val="center"/>
          </w:tcPr>
          <w:p w14:paraId="6D516417" w14:textId="77777777" w:rsidR="008F4616" w:rsidRDefault="008F4616" w:rsidP="00721B09">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1</w:t>
            </w:r>
          </w:p>
        </w:tc>
        <w:tc>
          <w:tcPr>
            <w:tcW w:w="0" w:type="auto"/>
            <w:shd w:val="clear" w:color="auto" w:fill="auto"/>
            <w:noWrap/>
            <w:vAlign w:val="center"/>
          </w:tcPr>
          <w:p w14:paraId="6679BD44" w14:textId="77777777" w:rsidR="008F4616" w:rsidRPr="00CC7E8C" w:rsidRDefault="008F4616" w:rsidP="00721B09">
            <w:pPr>
              <w:spacing w:after="0"/>
              <w:jc w:val="right"/>
              <w:rPr>
                <w:rFonts w:ascii="Arial Narrow" w:eastAsia="Times New Roman" w:hAnsi="Arial Narrow" w:cs="Times New Roman"/>
                <w:color w:val="000000"/>
                <w:sz w:val="16"/>
                <w:szCs w:val="16"/>
              </w:rPr>
            </w:pPr>
            <w:r w:rsidRPr="00CC7E8C">
              <w:rPr>
                <w:rFonts w:ascii="Arial Narrow" w:hAnsi="Arial Narrow"/>
                <w:sz w:val="20"/>
                <w:szCs w:val="20"/>
              </w:rPr>
              <w:t>203403_10</w:t>
            </w:r>
          </w:p>
        </w:tc>
        <w:tc>
          <w:tcPr>
            <w:tcW w:w="0" w:type="auto"/>
            <w:shd w:val="clear" w:color="auto" w:fill="auto"/>
            <w:noWrap/>
            <w:vAlign w:val="center"/>
          </w:tcPr>
          <w:p w14:paraId="675EBDBB" w14:textId="77777777" w:rsidR="008F4616" w:rsidRPr="00C44E1D" w:rsidRDefault="008F461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4,792</w:t>
            </w:r>
          </w:p>
        </w:tc>
        <w:tc>
          <w:tcPr>
            <w:tcW w:w="0" w:type="auto"/>
            <w:shd w:val="clear" w:color="auto" w:fill="auto"/>
            <w:noWrap/>
            <w:vAlign w:val="center"/>
          </w:tcPr>
          <w:p w14:paraId="38A19B95" w14:textId="77777777" w:rsidR="008F4616" w:rsidRPr="00C44E1D" w:rsidRDefault="008F461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641</w:t>
            </w:r>
          </w:p>
        </w:tc>
        <w:tc>
          <w:tcPr>
            <w:tcW w:w="0" w:type="auto"/>
            <w:shd w:val="clear" w:color="auto" w:fill="auto"/>
            <w:noWrap/>
            <w:vAlign w:val="center"/>
          </w:tcPr>
          <w:p w14:paraId="2ADA6524" w14:textId="77777777" w:rsidR="008F4616" w:rsidRPr="00C44E1D" w:rsidRDefault="008F461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642</w:t>
            </w:r>
          </w:p>
        </w:tc>
      </w:tr>
      <w:tr w:rsidR="008F4616" w:rsidRPr="00C44E1D" w14:paraId="40F42847" w14:textId="77777777" w:rsidTr="00721B09">
        <w:tc>
          <w:tcPr>
            <w:tcW w:w="0" w:type="auto"/>
            <w:shd w:val="clear" w:color="auto" w:fill="auto"/>
            <w:vAlign w:val="center"/>
          </w:tcPr>
          <w:p w14:paraId="63343A5C" w14:textId="77777777" w:rsidR="008F4616" w:rsidRDefault="008F4616" w:rsidP="00721B09">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2</w:t>
            </w:r>
          </w:p>
        </w:tc>
        <w:tc>
          <w:tcPr>
            <w:tcW w:w="0" w:type="auto"/>
            <w:shd w:val="clear" w:color="auto" w:fill="auto"/>
            <w:noWrap/>
            <w:vAlign w:val="center"/>
          </w:tcPr>
          <w:p w14:paraId="65AFCBF6" w14:textId="77777777" w:rsidR="008F4616" w:rsidRPr="0042433C" w:rsidRDefault="008F4616" w:rsidP="00721B09">
            <w:pPr>
              <w:spacing w:after="0"/>
              <w:jc w:val="right"/>
              <w:rPr>
                <w:rFonts w:ascii="Arial Narrow" w:eastAsia="Times New Roman" w:hAnsi="Arial Narrow" w:cs="Times New Roman"/>
                <w:color w:val="000000"/>
                <w:sz w:val="20"/>
                <w:szCs w:val="20"/>
              </w:rPr>
            </w:pPr>
            <w:r w:rsidRPr="00CC7E8C">
              <w:rPr>
                <w:rFonts w:ascii="Arial Narrow" w:hAnsi="Arial Narrow"/>
                <w:sz w:val="20"/>
                <w:szCs w:val="20"/>
              </w:rPr>
              <w:t>203403_10</w:t>
            </w:r>
          </w:p>
        </w:tc>
        <w:tc>
          <w:tcPr>
            <w:tcW w:w="0" w:type="auto"/>
            <w:shd w:val="clear" w:color="auto" w:fill="auto"/>
            <w:noWrap/>
            <w:vAlign w:val="center"/>
          </w:tcPr>
          <w:p w14:paraId="243095D4" w14:textId="77777777" w:rsidR="008F4616" w:rsidRPr="00C44E1D" w:rsidRDefault="008F461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4,761</w:t>
            </w:r>
          </w:p>
        </w:tc>
        <w:tc>
          <w:tcPr>
            <w:tcW w:w="0" w:type="auto"/>
            <w:shd w:val="clear" w:color="auto" w:fill="auto"/>
            <w:noWrap/>
            <w:vAlign w:val="center"/>
          </w:tcPr>
          <w:p w14:paraId="76F0AA59" w14:textId="77777777" w:rsidR="008F4616" w:rsidRPr="00C44E1D" w:rsidRDefault="008F461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688</w:t>
            </w:r>
          </w:p>
        </w:tc>
        <w:tc>
          <w:tcPr>
            <w:tcW w:w="0" w:type="auto"/>
            <w:shd w:val="clear" w:color="auto" w:fill="auto"/>
            <w:noWrap/>
            <w:vAlign w:val="center"/>
          </w:tcPr>
          <w:p w14:paraId="09C40B5A" w14:textId="77777777" w:rsidR="008F4616" w:rsidRPr="00C44E1D" w:rsidRDefault="008F461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668</w:t>
            </w:r>
          </w:p>
        </w:tc>
      </w:tr>
      <w:tr w:rsidR="008F4616" w:rsidRPr="00C44E1D" w14:paraId="43B2A589" w14:textId="77777777" w:rsidTr="00721B09">
        <w:tc>
          <w:tcPr>
            <w:tcW w:w="0" w:type="auto"/>
            <w:shd w:val="clear" w:color="auto" w:fill="auto"/>
            <w:vAlign w:val="center"/>
          </w:tcPr>
          <w:p w14:paraId="71BA088D" w14:textId="77777777" w:rsidR="008F4616" w:rsidRDefault="008F4616" w:rsidP="00721B09">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3</w:t>
            </w:r>
          </w:p>
        </w:tc>
        <w:tc>
          <w:tcPr>
            <w:tcW w:w="0" w:type="auto"/>
            <w:shd w:val="clear" w:color="auto" w:fill="auto"/>
            <w:noWrap/>
            <w:vAlign w:val="center"/>
          </w:tcPr>
          <w:p w14:paraId="08E7047C" w14:textId="77777777" w:rsidR="008F4616" w:rsidRPr="0042433C" w:rsidRDefault="008F4616" w:rsidP="00721B09">
            <w:pPr>
              <w:spacing w:after="0"/>
              <w:jc w:val="right"/>
              <w:rPr>
                <w:rFonts w:ascii="Arial Narrow" w:eastAsia="Times New Roman" w:hAnsi="Arial Narrow" w:cs="Times New Roman"/>
                <w:color w:val="000000"/>
                <w:sz w:val="20"/>
                <w:szCs w:val="20"/>
              </w:rPr>
            </w:pPr>
            <w:r w:rsidRPr="00CC7E8C">
              <w:rPr>
                <w:rFonts w:ascii="Arial Narrow" w:hAnsi="Arial Narrow"/>
                <w:sz w:val="20"/>
                <w:szCs w:val="20"/>
              </w:rPr>
              <w:t>203403_10</w:t>
            </w:r>
          </w:p>
        </w:tc>
        <w:tc>
          <w:tcPr>
            <w:tcW w:w="0" w:type="auto"/>
            <w:shd w:val="clear" w:color="auto" w:fill="auto"/>
            <w:noWrap/>
            <w:vAlign w:val="center"/>
          </w:tcPr>
          <w:p w14:paraId="21A3B4E2" w14:textId="77777777" w:rsidR="008F4616" w:rsidRPr="00C44E1D" w:rsidRDefault="008F461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8,629</w:t>
            </w:r>
          </w:p>
        </w:tc>
        <w:tc>
          <w:tcPr>
            <w:tcW w:w="0" w:type="auto"/>
            <w:shd w:val="clear" w:color="auto" w:fill="auto"/>
            <w:noWrap/>
            <w:vAlign w:val="center"/>
          </w:tcPr>
          <w:p w14:paraId="205EFF8C" w14:textId="77777777" w:rsidR="008F4616" w:rsidRPr="00C44E1D" w:rsidRDefault="008F461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1,126</w:t>
            </w:r>
          </w:p>
        </w:tc>
        <w:tc>
          <w:tcPr>
            <w:tcW w:w="0" w:type="auto"/>
            <w:shd w:val="clear" w:color="auto" w:fill="auto"/>
            <w:noWrap/>
            <w:vAlign w:val="center"/>
          </w:tcPr>
          <w:p w14:paraId="777E4F3C" w14:textId="77777777" w:rsidR="008F4616" w:rsidRPr="00C44E1D" w:rsidRDefault="008F461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1,070</w:t>
            </w:r>
          </w:p>
        </w:tc>
      </w:tr>
      <w:tr w:rsidR="008F4616" w:rsidRPr="00C44E1D" w14:paraId="6E7BFF80" w14:textId="77777777" w:rsidTr="00721B09">
        <w:tc>
          <w:tcPr>
            <w:tcW w:w="0" w:type="auto"/>
            <w:shd w:val="clear" w:color="auto" w:fill="auto"/>
            <w:vAlign w:val="center"/>
          </w:tcPr>
          <w:p w14:paraId="3785529C" w14:textId="77777777" w:rsidR="008F4616" w:rsidRDefault="008F4616" w:rsidP="00721B09">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4</w:t>
            </w:r>
          </w:p>
        </w:tc>
        <w:tc>
          <w:tcPr>
            <w:tcW w:w="0" w:type="auto"/>
            <w:shd w:val="clear" w:color="auto" w:fill="auto"/>
            <w:noWrap/>
            <w:vAlign w:val="center"/>
          </w:tcPr>
          <w:p w14:paraId="10BEFC59" w14:textId="77777777" w:rsidR="008F4616" w:rsidRPr="0042433C" w:rsidRDefault="008F4616" w:rsidP="00721B09">
            <w:pPr>
              <w:spacing w:after="0"/>
              <w:jc w:val="right"/>
              <w:rPr>
                <w:rFonts w:ascii="Arial Narrow" w:hAnsi="Arial Narrow" w:cs="Calibri"/>
                <w:color w:val="000000"/>
                <w:sz w:val="20"/>
                <w:szCs w:val="20"/>
              </w:rPr>
            </w:pPr>
            <w:r w:rsidRPr="00CC7E8C">
              <w:rPr>
                <w:rFonts w:ascii="Arial Narrow" w:hAnsi="Arial Narrow"/>
                <w:sz w:val="20"/>
                <w:szCs w:val="20"/>
              </w:rPr>
              <w:t>203403_10</w:t>
            </w:r>
          </w:p>
        </w:tc>
        <w:tc>
          <w:tcPr>
            <w:tcW w:w="0" w:type="auto"/>
            <w:shd w:val="clear" w:color="auto" w:fill="auto"/>
            <w:noWrap/>
            <w:vAlign w:val="center"/>
          </w:tcPr>
          <w:p w14:paraId="09E3955D" w14:textId="77777777" w:rsidR="008F4616" w:rsidRDefault="008F4616" w:rsidP="00721B09">
            <w:pPr>
              <w:spacing w:after="0"/>
              <w:jc w:val="right"/>
              <w:rPr>
                <w:rFonts w:ascii="Arial Narrow" w:hAnsi="Arial Narrow" w:cs="Calibri"/>
                <w:color w:val="000000"/>
                <w:sz w:val="20"/>
                <w:szCs w:val="20"/>
              </w:rPr>
            </w:pPr>
            <w:r>
              <w:rPr>
                <w:rFonts w:ascii="Arial Narrow" w:hAnsi="Arial Narrow" w:cs="Calibri"/>
                <w:color w:val="000000"/>
                <w:sz w:val="20"/>
                <w:szCs w:val="20"/>
              </w:rPr>
              <w:t>533</w:t>
            </w:r>
          </w:p>
        </w:tc>
        <w:tc>
          <w:tcPr>
            <w:tcW w:w="0" w:type="auto"/>
            <w:shd w:val="clear" w:color="auto" w:fill="auto"/>
            <w:noWrap/>
            <w:vAlign w:val="center"/>
          </w:tcPr>
          <w:p w14:paraId="7AE5B8A5" w14:textId="77777777" w:rsidR="008F4616" w:rsidRDefault="008F4616" w:rsidP="00721B09">
            <w:pPr>
              <w:spacing w:after="0"/>
              <w:jc w:val="right"/>
              <w:rPr>
                <w:rFonts w:ascii="Arial Narrow" w:hAnsi="Arial Narrow" w:cs="Calibri"/>
                <w:color w:val="000000"/>
                <w:sz w:val="20"/>
                <w:szCs w:val="20"/>
              </w:rPr>
            </w:pPr>
            <w:r>
              <w:rPr>
                <w:rFonts w:ascii="Arial Narrow" w:hAnsi="Arial Narrow" w:cs="Calibri"/>
                <w:color w:val="000000"/>
                <w:sz w:val="20"/>
                <w:szCs w:val="20"/>
              </w:rPr>
              <w:t>79</w:t>
            </w:r>
          </w:p>
        </w:tc>
        <w:tc>
          <w:tcPr>
            <w:tcW w:w="0" w:type="auto"/>
            <w:shd w:val="clear" w:color="auto" w:fill="auto"/>
            <w:noWrap/>
            <w:vAlign w:val="center"/>
          </w:tcPr>
          <w:p w14:paraId="59E9840E" w14:textId="77777777" w:rsidR="008F4616" w:rsidRDefault="008F4616" w:rsidP="00721B09">
            <w:pPr>
              <w:spacing w:after="0"/>
              <w:jc w:val="right"/>
              <w:rPr>
                <w:rFonts w:ascii="Arial Narrow" w:hAnsi="Arial Narrow" w:cs="Calibri"/>
                <w:color w:val="000000"/>
                <w:sz w:val="20"/>
                <w:szCs w:val="20"/>
              </w:rPr>
            </w:pPr>
            <w:r>
              <w:rPr>
                <w:rFonts w:ascii="Arial Narrow" w:hAnsi="Arial Narrow" w:cs="Calibri"/>
                <w:color w:val="000000"/>
                <w:sz w:val="20"/>
                <w:szCs w:val="20"/>
              </w:rPr>
              <w:t>73</w:t>
            </w:r>
          </w:p>
        </w:tc>
      </w:tr>
    </w:tbl>
    <w:p w14:paraId="2605B95A" w14:textId="77777777" w:rsidR="008F4616" w:rsidRDefault="008F4616" w:rsidP="008F4616">
      <w:pPr>
        <w:rPr>
          <w:rFonts w:eastAsia="Calibri"/>
        </w:rPr>
      </w:pPr>
    </w:p>
    <w:p w14:paraId="44A4823E" w14:textId="77777777" w:rsidR="008F4616" w:rsidRPr="00C44E1D" w:rsidRDefault="008F4616" w:rsidP="008F4616">
      <w:pPr>
        <w:rPr>
          <w:rFonts w:eastAsia="Calibri" w:cs="Times New Roman"/>
        </w:rPr>
      </w:pPr>
      <w:proofErr w:type="spellStart"/>
      <w:r w:rsidRPr="00C44E1D">
        <w:rPr>
          <w:rFonts w:eastAsia="Calibri"/>
        </w:rPr>
        <w:t>Nat</w:t>
      </w:r>
      <w:r>
        <w:rPr>
          <w:rFonts w:eastAsia="Calibri"/>
        </w:rPr>
        <w:t>Avg</w:t>
      </w:r>
      <w:r w:rsidRPr="00C44E1D">
        <w:rPr>
          <w:rFonts w:eastAsia="Calibri"/>
        </w:rPr>
        <w:t>Obs</w:t>
      </w:r>
      <w:proofErr w:type="spellEnd"/>
      <w:r w:rsidRPr="00C44E1D">
        <w:rPr>
          <w:rFonts w:eastAsia="Calibri"/>
        </w:rPr>
        <w:t xml:space="preserve"> = </w:t>
      </w:r>
      <m:oMath>
        <m:r>
          <m:rPr>
            <m:nor/>
          </m:rPr>
          <w:rPr>
            <w:rFonts w:eastAsia="Calibri"/>
          </w:rPr>
          <m:t>Average</m:t>
        </m:r>
        <m:d>
          <m:dPr>
            <m:ctrlPr>
              <w:rPr>
                <w:rFonts w:ascii="Cambria Math" w:eastAsia="Calibri" w:hAnsi="Cambria Math"/>
              </w:rPr>
            </m:ctrlPr>
          </m:dPr>
          <m:e>
            <m:d>
              <m:dPr>
                <m:ctrlPr>
                  <w:rPr>
                    <w:rFonts w:ascii="Cambria Math" w:eastAsia="Calibri" w:hAnsi="Cambria Math"/>
                  </w:rPr>
                </m:ctrlPr>
              </m:dPr>
              <m:e>
                <m:f>
                  <m:fPr>
                    <m:ctrlPr>
                      <w:rPr>
                        <w:rFonts w:ascii="Cambria Math" w:eastAsia="Calibri" w:hAnsi="Cambria Math"/>
                      </w:rPr>
                    </m:ctrlPr>
                  </m:fPr>
                  <m:num>
                    <m:r>
                      <m:rPr>
                        <m:nor/>
                      </m:rPr>
                      <w:rPr>
                        <w:rFonts w:eastAsia="Calibri"/>
                      </w:rPr>
                      <m:t xml:space="preserve">641 </m:t>
                    </m:r>
                  </m:num>
                  <m:den>
                    <m:r>
                      <m:rPr>
                        <m:nor/>
                      </m:rPr>
                      <w:rPr>
                        <w:rFonts w:eastAsia="Calibri"/>
                      </w:rPr>
                      <m:t>4</m:t>
                    </m:r>
                    <m:r>
                      <m:rPr>
                        <m:nor/>
                      </m:rPr>
                      <w:rPr>
                        <w:rFonts w:ascii="Cambria Math" w:eastAsia="Calibri"/>
                      </w:rPr>
                      <m:t>,</m:t>
                    </m:r>
                    <m:r>
                      <m:rPr>
                        <m:nor/>
                      </m:rPr>
                      <w:rPr>
                        <w:rFonts w:eastAsia="Calibri"/>
                      </w:rPr>
                      <m:t>792</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688</m:t>
                    </m:r>
                  </m:num>
                  <m:den>
                    <m:r>
                      <m:rPr>
                        <m:nor/>
                      </m:rPr>
                      <w:rPr>
                        <w:rFonts w:eastAsia="Calibri"/>
                      </w:rPr>
                      <m:t>4,761</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1,126</m:t>
                    </m:r>
                  </m:num>
                  <m:den>
                    <m:r>
                      <m:rPr>
                        <m:nor/>
                      </m:rPr>
                      <w:rPr>
                        <w:rFonts w:eastAsia="Calibri"/>
                      </w:rPr>
                      <m:t>8,629</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79</m:t>
                    </m:r>
                  </m:num>
                  <m:den>
                    <m:r>
                      <m:rPr>
                        <m:nor/>
                      </m:rPr>
                      <w:rPr>
                        <w:rFonts w:eastAsia="Calibri"/>
                      </w:rPr>
                      <m:t>533</m:t>
                    </m:r>
                  </m:den>
                </m:f>
              </m:e>
            </m:d>
          </m:e>
        </m:d>
      </m:oMath>
    </w:p>
    <w:p w14:paraId="7625687A" w14:textId="77777777" w:rsidR="008F4616" w:rsidRPr="00C44E1D" w:rsidRDefault="008F4616" w:rsidP="008F4616">
      <w:pPr>
        <w:rPr>
          <w:rFonts w:ascii="Cambria Math" w:eastAsia="Calibri" w:hAnsi="Cambria Math"/>
          <w:oMath/>
        </w:rPr>
      </w:pPr>
      <w:proofErr w:type="spellStart"/>
      <w:r w:rsidRPr="00C44E1D">
        <w:rPr>
          <w:rFonts w:eastAsia="Calibri"/>
        </w:rPr>
        <w:t>Nat</w:t>
      </w:r>
      <w:r>
        <w:rPr>
          <w:rFonts w:eastAsia="Calibri"/>
        </w:rPr>
        <w:t>AvgObs</w:t>
      </w:r>
      <w:proofErr w:type="spellEnd"/>
      <w:r w:rsidRPr="00C44E1D">
        <w:rPr>
          <w:rFonts w:eastAsia="Calibri"/>
        </w:rPr>
        <w:t xml:space="preserve"> = </w:t>
      </w:r>
      <m:oMath>
        <m:r>
          <m:rPr>
            <m:nor/>
          </m:rPr>
          <w:rPr>
            <w:rFonts w:eastAsia="Calibri"/>
          </w:rPr>
          <m:t xml:space="preserve">Average </m:t>
        </m:r>
        <m:d>
          <m:dPr>
            <m:ctrlPr>
              <w:rPr>
                <w:rFonts w:ascii="Cambria Math" w:eastAsia="Calibri" w:hAnsi="Cambria Math"/>
              </w:rPr>
            </m:ctrlPr>
          </m:dPr>
          <m:e>
            <m:d>
              <m:dPr>
                <m:ctrlPr>
                  <w:rPr>
                    <w:rFonts w:ascii="Cambria Math" w:eastAsia="Calibri" w:hAnsi="Cambria Math"/>
                  </w:rPr>
                </m:ctrlPr>
              </m:dPr>
              <m:e>
                <m:r>
                  <m:rPr>
                    <m:nor/>
                  </m:rPr>
                  <w:rPr>
                    <w:rFonts w:eastAsia="Calibri"/>
                  </w:rPr>
                  <m:t>0.13376</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0.14451</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0.13049</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0.14822</m:t>
                </m:r>
              </m:e>
            </m:d>
          </m:e>
        </m:d>
      </m:oMath>
    </w:p>
    <w:p w14:paraId="1425F600" w14:textId="77777777" w:rsidR="008F4616" w:rsidRDefault="008F4616" w:rsidP="008F4616">
      <w:pPr>
        <w:rPr>
          <w:rFonts w:eastAsia="Calibri"/>
        </w:rPr>
      </w:pPr>
      <w:r>
        <w:rPr>
          <w:rFonts w:eastAsia="Calibri"/>
        </w:rPr>
        <w:t>NatAvgObs</w:t>
      </w:r>
      <w:r w:rsidRPr="00C44E1D">
        <w:rPr>
          <w:rFonts w:eastAsia="Calibri"/>
        </w:rPr>
        <w:t xml:space="preserve"> = </w:t>
      </w:r>
      <w:r>
        <w:rPr>
          <w:rFonts w:eastAsia="Calibri"/>
        </w:rPr>
        <w:t>0</w:t>
      </w:r>
      <w:r w:rsidRPr="00C44E1D">
        <w:rPr>
          <w:rFonts w:eastAsia="Calibri"/>
        </w:rPr>
        <w:t>.139245</w:t>
      </w:r>
    </w:p>
    <w:p w14:paraId="0F5B2436" w14:textId="77777777" w:rsidR="008F4616" w:rsidRDefault="008F4616" w:rsidP="008F4616">
      <w:pPr>
        <w:pStyle w:val="Normal-Formula"/>
        <w:spacing w:before="120" w:after="120"/>
      </w:pPr>
      <w:r>
        <w:t xml:space="preserve">Final Rate Contract 1 = </w:t>
      </w:r>
      <m:oMath>
        <m:d>
          <m:dPr>
            <m:ctrlPr>
              <w:rPr>
                <w:rFonts w:ascii="Cambria Math" w:hAnsi="Cambria Math"/>
                <w:i/>
              </w:rPr>
            </m:ctrlPr>
          </m:dPr>
          <m:e>
            <m:d>
              <m:dPr>
                <m:ctrlPr>
                  <w:rPr>
                    <w:rFonts w:ascii="Cambria Math" w:hAnsi="Cambria Math"/>
                    <w:i/>
                  </w:rPr>
                </m:ctrlPr>
              </m:dPr>
              <m:e>
                <m:f>
                  <m:fPr>
                    <m:ctrlPr>
                      <w:rPr>
                        <w:rFonts w:ascii="Cambria Math" w:hAnsi="Cambria Math"/>
                        <w:i/>
                      </w:rPr>
                    </m:ctrlPr>
                  </m:fPr>
                  <m:num>
                    <m:r>
                      <m:rPr>
                        <m:nor/>
                      </m:rPr>
                      <m:t>641</m:t>
                    </m:r>
                  </m:num>
                  <m:den>
                    <m:r>
                      <m:rPr>
                        <m:nor/>
                      </m:rPr>
                      <m:t>642</m:t>
                    </m:r>
                  </m:den>
                </m:f>
              </m:e>
            </m:d>
            <m:r>
              <m:rPr>
                <m:nor/>
              </m:rPr>
              <m:t xml:space="preserve"> × .139245</m:t>
            </m:r>
          </m:e>
        </m:d>
        <m:r>
          <m:rPr>
            <m:nor/>
          </m:rPr>
          <m:t xml:space="preserve"> x 1000 = </m:t>
        </m:r>
        <m:r>
          <m:rPr>
            <m:nor/>
          </m:rPr>
          <w:rPr>
            <w:rFonts w:eastAsiaTheme="minorEastAsia"/>
          </w:rPr>
          <m:t>139.028</m:t>
        </m:r>
      </m:oMath>
    </w:p>
    <w:p w14:paraId="3688E6A9" w14:textId="77777777" w:rsidR="008F4616" w:rsidRDefault="008F4616" w:rsidP="008F4616">
      <w:pPr>
        <w:pStyle w:val="Normal-Formula"/>
        <w:spacing w:before="120" w:after="120"/>
      </w:pPr>
      <w:r>
        <w:t>Final Rate reported for Contract 1 = 139</w:t>
      </w:r>
    </w:p>
    <w:p w14:paraId="50A02CB3" w14:textId="5E25676F" w:rsidR="003F725A" w:rsidRPr="00DD7B93" w:rsidRDefault="003F725A" w:rsidP="003F725A">
      <w:pPr>
        <w:spacing w:line="276" w:lineRule="auto"/>
        <w:rPr>
          <w:rFonts w:eastAsiaTheme="minorEastAsia"/>
          <w:sz w:val="18"/>
          <w:szCs w:val="24"/>
        </w:rPr>
      </w:pPr>
      <w:r w:rsidRPr="00DD7B93">
        <w:br w:type="page"/>
      </w:r>
    </w:p>
    <w:p w14:paraId="26408388" w14:textId="77777777" w:rsidR="00F97B66" w:rsidRDefault="00F97B66" w:rsidP="00F97B66">
      <w:pPr>
        <w:pStyle w:val="AttachmentTitle"/>
        <w:spacing w:after="120"/>
      </w:pPr>
      <w:r>
        <w:lastRenderedPageBreak/>
        <w:t>Calculating Measure 2021 AHU: Acute Hospital Utilization - Total Acute (M/F 65+)</w:t>
      </w:r>
    </w:p>
    <w:p w14:paraId="1402B327" w14:textId="5E815E7B" w:rsidR="00F97B66" w:rsidRDefault="00F97B66" w:rsidP="00F97B66">
      <w:r w:rsidRPr="00CF20FE">
        <w:t xml:space="preserve">All data </w:t>
      </w:r>
      <w:r>
        <w:t xml:space="preserve">can be looked up by </w:t>
      </w:r>
      <w:proofErr w:type="spellStart"/>
      <w:r>
        <w:t>IndicatorKey</w:t>
      </w:r>
      <w:proofErr w:type="spellEnd"/>
      <w:r>
        <w:t xml:space="preserve"> (row) and Variable name (column).</w:t>
      </w:r>
    </w:p>
    <w:p w14:paraId="469FA23B" w14:textId="77777777" w:rsidR="00F97B66" w:rsidRDefault="00F97B66" w:rsidP="00F97B66">
      <w:r>
        <w:t xml:space="preserve">The calculations below use the </w:t>
      </w:r>
      <w:proofErr w:type="spellStart"/>
      <w:r>
        <w:t>NonOutlierMemberCount</w:t>
      </w:r>
      <w:proofErr w:type="spellEnd"/>
      <w:r>
        <w:t xml:space="preserve">, </w:t>
      </w:r>
      <w:proofErr w:type="spellStart"/>
      <w:r>
        <w:t>ObservedCount</w:t>
      </w:r>
      <w:proofErr w:type="spellEnd"/>
      <w:r>
        <w:t xml:space="preserve"> and </w:t>
      </w:r>
      <w:proofErr w:type="spellStart"/>
      <w:r>
        <w:t>ExpectedCount</w:t>
      </w:r>
      <w:proofErr w:type="spellEnd"/>
      <w:r>
        <w:t xml:space="preserve"> values from the AHU Total Acute (M/F 65+) indicator (</w:t>
      </w:r>
      <w:proofErr w:type="spellStart"/>
      <w:r>
        <w:t>IndicatorKey</w:t>
      </w:r>
      <w:proofErr w:type="spellEnd"/>
      <w:r>
        <w:t xml:space="preserve"> = </w:t>
      </w:r>
      <w:r w:rsidRPr="00F961B9">
        <w:t>203428_10</w:t>
      </w:r>
      <w:r>
        <w:t>).</w:t>
      </w:r>
    </w:p>
    <w:p w14:paraId="751F7AB6" w14:textId="77777777" w:rsidR="00F97B66" w:rsidRDefault="00F97B66" w:rsidP="00F97B66">
      <w:r>
        <w:t>For each contract, calculate the Total Acute (M/F 65+) Observed-over-Expected Ratio (OE):</w:t>
      </w:r>
    </w:p>
    <w:p w14:paraId="53B38AAF" w14:textId="77777777" w:rsidR="00F97B66" w:rsidRDefault="00F97B66" w:rsidP="00F97B66">
      <w:pPr>
        <w:ind w:firstLine="720"/>
      </w:pPr>
      <w:r>
        <w:t xml:space="preserve">OE = </w:t>
      </w:r>
      <m:oMath>
        <m:d>
          <m:dPr>
            <m:ctrlPr>
              <w:rPr>
                <w:rFonts w:ascii="Cambria Math" w:hAnsi="Cambria Math"/>
                <w:sz w:val="28"/>
                <w:szCs w:val="28"/>
              </w:rPr>
            </m:ctrlPr>
          </m:dPr>
          <m:e>
            <m:f>
              <m:fPr>
                <m:ctrlPr>
                  <w:rPr>
                    <w:rFonts w:ascii="Cambria Math" w:hAnsi="Cambria Math"/>
                    <w:sz w:val="28"/>
                    <w:szCs w:val="28"/>
                  </w:rPr>
                </m:ctrlPr>
              </m:fPr>
              <m:num>
                <w:proofErr w:type="spellStart"/>
                <m:r>
                  <m:rPr>
                    <m:nor/>
                  </m:rPr>
                  <w:rPr>
                    <w:sz w:val="28"/>
                    <w:szCs w:val="28"/>
                  </w:rPr>
                  <m:t>ObservedCount</m:t>
                </m:r>
                <w:proofErr w:type="spellEnd"/>
              </m:num>
              <m:den>
                <w:proofErr w:type="spellStart"/>
                <m:r>
                  <m:rPr>
                    <m:nor/>
                  </m:rPr>
                  <w:rPr>
                    <w:sz w:val="28"/>
                    <w:szCs w:val="28"/>
                  </w:rPr>
                  <m:t>ExpectedCount</m:t>
                </m:r>
                <w:proofErr w:type="spellEnd"/>
              </m:den>
            </m:f>
          </m:e>
        </m:d>
      </m:oMath>
    </w:p>
    <w:p w14:paraId="29DC2B13" w14:textId="77777777" w:rsidR="00F97B66" w:rsidRDefault="00F97B66" w:rsidP="00F97B66">
      <w:r>
        <w:t>Calculate the national average of the Total Acute (M/F 65+) Observed Rate:</w:t>
      </w:r>
    </w:p>
    <w:p w14:paraId="7E6D4706" w14:textId="77777777" w:rsidR="00F97B66" w:rsidRDefault="00F97B66" w:rsidP="00F97B66">
      <w:pPr>
        <w:pStyle w:val="Normal-Formula"/>
        <w:spacing w:before="120"/>
        <w:ind w:firstLine="720"/>
      </w:pPr>
      <w:proofErr w:type="spellStart"/>
      <w:r w:rsidRPr="00301E67">
        <w:t>NatAvgObs</w:t>
      </w:r>
      <w:proofErr w:type="spellEnd"/>
      <w:r w:rsidRPr="00301E67">
        <w:t xml:space="preserve"> = </w:t>
      </w:r>
      <m:oMath>
        <m:r>
          <m:rPr>
            <m:nor/>
          </m:rPr>
          <m:t>Average</m:t>
        </m:r>
        <m:d>
          <m:dPr>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w:proofErr w:type="spellStart"/>
                        <m:r>
                          <m:rPr>
                            <m:nor/>
                          </m:rPr>
                          <m:t>ObservedCount</m:t>
                        </m:r>
                        <w:proofErr w:type="spellEnd"/>
                      </m:e>
                      <m:sub>
                        <m:r>
                          <m:rPr>
                            <m:nor/>
                          </m:rPr>
                          <m:t>1</m:t>
                        </m:r>
                      </m:sub>
                    </m:sSub>
                  </m:num>
                  <m:den>
                    <m:sSub>
                      <m:sSubPr>
                        <m:ctrlPr>
                          <w:rPr>
                            <w:rFonts w:ascii="Cambria Math" w:hAnsi="Cambria Math"/>
                          </w:rPr>
                        </m:ctrlPr>
                      </m:sSubPr>
                      <m:e>
                        <w:proofErr w:type="spellStart"/>
                        <m:r>
                          <m:rPr>
                            <m:nor/>
                          </m:rPr>
                          <m:t>NonOutlierMemberCount</m:t>
                        </m:r>
                        <w:proofErr w:type="spellEnd"/>
                      </m:e>
                      <m:sub>
                        <m:r>
                          <m:rPr>
                            <m:nor/>
                          </m:rPr>
                          <m:t>1</m:t>
                        </m:r>
                      </m:sub>
                    </m:sSub>
                  </m:den>
                </m:f>
              </m:e>
            </m:d>
            <m:r>
              <m:rPr>
                <m:nor/>
              </m:rPr>
              <m:t xml:space="preserve"> + … +</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w:proofErr w:type="spellStart"/>
                        <m:r>
                          <m:rPr>
                            <m:nor/>
                          </m:rPr>
                          <m:t>ObservedCount</m:t>
                        </m:r>
                        <w:proofErr w:type="spellEnd"/>
                      </m:e>
                      <m:sub>
                        <m:r>
                          <m:rPr>
                            <m:nor/>
                          </m:rPr>
                          <m:t>n</m:t>
                        </m:r>
                      </m:sub>
                    </m:sSub>
                  </m:num>
                  <m:den>
                    <m:sSub>
                      <m:sSubPr>
                        <m:ctrlPr>
                          <w:rPr>
                            <w:rFonts w:ascii="Cambria Math" w:hAnsi="Cambria Math"/>
                          </w:rPr>
                        </m:ctrlPr>
                      </m:sSubPr>
                      <m:e>
                        <w:proofErr w:type="spellStart"/>
                        <m:r>
                          <m:rPr>
                            <m:nor/>
                          </m:rPr>
                          <m:t>NonOutlierMemberCount</m:t>
                        </m:r>
                        <w:proofErr w:type="spellEnd"/>
                      </m:e>
                      <m:sub>
                        <m:r>
                          <m:rPr>
                            <m:nor/>
                          </m:rPr>
                          <m:t>n</m:t>
                        </m:r>
                      </m:sub>
                    </m:sSub>
                  </m:den>
                </m:f>
              </m:e>
            </m:d>
          </m:e>
        </m:d>
      </m:oMath>
    </w:p>
    <w:p w14:paraId="414AAA30" w14:textId="77777777" w:rsidR="00F97B66" w:rsidRPr="001F52D8" w:rsidRDefault="00F97B66" w:rsidP="00F97B66">
      <w:r>
        <w:t>W</w:t>
      </w:r>
      <w:r w:rsidRPr="00301E67">
        <w:t xml:space="preserve">here 1 through n are all </w:t>
      </w:r>
      <w:r w:rsidRPr="00D208DD">
        <w:t xml:space="preserve">contracts with </w:t>
      </w:r>
      <w:r>
        <w:t xml:space="preserve">a Total Acute (M/F 65+) </w:t>
      </w:r>
      <w:proofErr w:type="spellStart"/>
      <w:r>
        <w:t>NonOutlierMemberCount</w:t>
      </w:r>
      <w:proofErr w:type="spellEnd"/>
      <w:r w:rsidRPr="00D208DD">
        <w:t xml:space="preserve"> </w:t>
      </w:r>
      <w:r>
        <w:t>larger than or equal to</w:t>
      </w:r>
      <w:r w:rsidRPr="00D208DD">
        <w:t xml:space="preserve"> 150</w:t>
      </w:r>
      <w:r>
        <w:t>, and a Total Acute (M/F 65+) OE larger than or equal to 0.2 and less than or equal to 5.0.</w:t>
      </w:r>
    </w:p>
    <w:p w14:paraId="686FDAC3" w14:textId="77777777" w:rsidR="00F97B66" w:rsidRDefault="00F97B66" w:rsidP="00F97B66">
      <w:pPr>
        <w:rPr>
          <w:szCs w:val="20"/>
        </w:rPr>
      </w:pPr>
      <w:r>
        <w:rPr>
          <w:szCs w:val="20"/>
        </w:rPr>
        <w:t>For each contract, calculate the Final Rate and convert to percentages:</w:t>
      </w:r>
    </w:p>
    <w:p w14:paraId="26285730" w14:textId="77777777" w:rsidR="00F97B66" w:rsidRDefault="00F97B66" w:rsidP="00F97B66">
      <w:pPr>
        <w:pStyle w:val="Normal-Formula"/>
        <w:spacing w:before="120" w:after="120"/>
        <w:ind w:firstLine="720"/>
      </w:pPr>
      <w:r>
        <w:rPr>
          <w:szCs w:val="20"/>
        </w:rPr>
        <w:t>Final</w:t>
      </w:r>
      <w:r w:rsidRPr="00301E67">
        <w:rPr>
          <w:szCs w:val="20"/>
        </w:rPr>
        <w:t xml:space="preserve"> Rate =</w:t>
      </w:r>
      <w:r>
        <w:t xml:space="preserve"> </w:t>
      </w:r>
      <m:oMath>
        <m:r>
          <m:rPr>
            <m:nor/>
          </m:rPr>
          <m:t xml:space="preserve">OE x </m:t>
        </m:r>
        <w:proofErr w:type="spellStart"/>
        <m:r>
          <m:rPr>
            <m:nor/>
          </m:rPr>
          <m:t>NatAvgObs</m:t>
        </m:r>
        <w:proofErr w:type="spellEnd"/>
        <m:r>
          <m:rPr>
            <m:nor/>
          </m:rPr>
          <m:t xml:space="preserve"> x 1000 </m:t>
        </m:r>
      </m:oMath>
    </w:p>
    <w:p w14:paraId="74A598F0" w14:textId="77777777" w:rsidR="00F97B66" w:rsidRDefault="00F97B66" w:rsidP="00F97B66">
      <w:pPr>
        <w:pStyle w:val="Normal-Formula"/>
        <w:spacing w:before="120" w:after="120"/>
      </w:pPr>
      <w:r>
        <w:t>And round to the nearest integer.</w:t>
      </w:r>
    </w:p>
    <w:p w14:paraId="7CA9E514" w14:textId="77777777" w:rsidR="00F97B66" w:rsidRDefault="00F97B66" w:rsidP="00F97B66"/>
    <w:p w14:paraId="1CC62EE6" w14:textId="77777777" w:rsidR="00F97B66" w:rsidRPr="00C44E1D" w:rsidRDefault="00F97B66" w:rsidP="00F97B66">
      <w:pPr>
        <w:rPr>
          <w:rFonts w:eastAsia="Calibri"/>
        </w:rPr>
      </w:pPr>
      <w:r w:rsidRPr="00C44E1D">
        <w:rPr>
          <w:rFonts w:eastAsia="Calibri"/>
        </w:rPr>
        <w:t>Example: Calculating the final rate for Contract 1</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29" w:type="dxa"/>
          <w:bottom w:w="14" w:type="dxa"/>
          <w:right w:w="29" w:type="dxa"/>
        </w:tblCellMar>
        <w:tblLook w:val="04A0" w:firstRow="1" w:lastRow="0" w:firstColumn="1" w:lastColumn="0" w:noHBand="0" w:noVBand="1"/>
      </w:tblPr>
      <w:tblGrid>
        <w:gridCol w:w="815"/>
        <w:gridCol w:w="1052"/>
        <w:gridCol w:w="2008"/>
        <w:gridCol w:w="1289"/>
        <w:gridCol w:w="1261"/>
      </w:tblGrid>
      <w:tr w:rsidR="00F97B66" w:rsidRPr="00C44E1D" w14:paraId="4F98A6F0" w14:textId="77777777" w:rsidTr="00721B09">
        <w:tc>
          <w:tcPr>
            <w:tcW w:w="0" w:type="auto"/>
            <w:shd w:val="clear" w:color="000000" w:fill="BFBFBF"/>
            <w:vAlign w:val="center"/>
            <w:hideMark/>
          </w:tcPr>
          <w:p w14:paraId="7A01E021" w14:textId="77777777" w:rsidR="00F97B66" w:rsidRPr="00C44E1D" w:rsidRDefault="00F97B66" w:rsidP="00721B09">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Contract</w:t>
            </w:r>
          </w:p>
        </w:tc>
        <w:tc>
          <w:tcPr>
            <w:tcW w:w="0" w:type="auto"/>
            <w:shd w:val="clear" w:color="000000" w:fill="BFBFBF"/>
            <w:noWrap/>
            <w:vAlign w:val="center"/>
            <w:hideMark/>
          </w:tcPr>
          <w:p w14:paraId="35004322" w14:textId="77777777" w:rsidR="00F97B66" w:rsidRPr="00C44E1D" w:rsidRDefault="00F97B66" w:rsidP="00721B09">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IndicatorKey</w:t>
            </w:r>
            <w:proofErr w:type="spellEnd"/>
          </w:p>
        </w:tc>
        <w:tc>
          <w:tcPr>
            <w:tcW w:w="0" w:type="auto"/>
            <w:shd w:val="clear" w:color="000000" w:fill="BFBFBF"/>
            <w:vAlign w:val="center"/>
            <w:hideMark/>
          </w:tcPr>
          <w:p w14:paraId="661C2D9D" w14:textId="77777777" w:rsidR="00F97B66" w:rsidRPr="00C44E1D" w:rsidRDefault="00F97B66" w:rsidP="00721B09">
            <w:pPr>
              <w:spacing w:after="0"/>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NonOutlierMemberCount</w:t>
            </w:r>
            <w:proofErr w:type="spellEnd"/>
            <w:r>
              <w:rPr>
                <w:rFonts w:ascii="Arial Narrow Bold" w:eastAsia="Times New Roman" w:hAnsi="Arial Narrow Bold" w:cs="Times New Roman"/>
                <w:b/>
                <w:bCs/>
                <w:color w:val="000000"/>
                <w:sz w:val="20"/>
                <w:szCs w:val="20"/>
              </w:rPr>
              <w:t xml:space="preserve"> </w:t>
            </w:r>
          </w:p>
        </w:tc>
        <w:tc>
          <w:tcPr>
            <w:tcW w:w="0" w:type="auto"/>
            <w:shd w:val="clear" w:color="000000" w:fill="BFBFBF"/>
            <w:vAlign w:val="center"/>
            <w:hideMark/>
          </w:tcPr>
          <w:p w14:paraId="620EDE10" w14:textId="77777777" w:rsidR="00F97B66" w:rsidRPr="00C44E1D" w:rsidRDefault="00F97B66" w:rsidP="00721B09">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ObservedCount</w:t>
            </w:r>
            <w:proofErr w:type="spellEnd"/>
          </w:p>
        </w:tc>
        <w:tc>
          <w:tcPr>
            <w:tcW w:w="0" w:type="auto"/>
            <w:shd w:val="clear" w:color="000000" w:fill="BFBFBF"/>
            <w:vAlign w:val="center"/>
            <w:hideMark/>
          </w:tcPr>
          <w:p w14:paraId="6F69F994" w14:textId="77777777" w:rsidR="00F97B66" w:rsidRPr="00C44E1D" w:rsidRDefault="00F97B66" w:rsidP="00721B09">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ExpectedCount</w:t>
            </w:r>
            <w:proofErr w:type="spellEnd"/>
          </w:p>
        </w:tc>
      </w:tr>
      <w:tr w:rsidR="00F97B66" w:rsidRPr="00C44E1D" w14:paraId="3C483ABA" w14:textId="77777777" w:rsidTr="00721B09">
        <w:tc>
          <w:tcPr>
            <w:tcW w:w="0" w:type="auto"/>
            <w:shd w:val="clear" w:color="auto" w:fill="auto"/>
            <w:vAlign w:val="center"/>
          </w:tcPr>
          <w:p w14:paraId="2E492EEA" w14:textId="77777777" w:rsidR="00F97B66" w:rsidRDefault="00F97B66" w:rsidP="00721B09">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1</w:t>
            </w:r>
          </w:p>
        </w:tc>
        <w:tc>
          <w:tcPr>
            <w:tcW w:w="0" w:type="auto"/>
            <w:shd w:val="clear" w:color="auto" w:fill="auto"/>
            <w:noWrap/>
            <w:vAlign w:val="center"/>
          </w:tcPr>
          <w:p w14:paraId="489985CC" w14:textId="77777777" w:rsidR="00F97B66" w:rsidRPr="00F961B9" w:rsidRDefault="00F97B66" w:rsidP="00721B09">
            <w:pPr>
              <w:spacing w:after="0"/>
              <w:jc w:val="right"/>
              <w:rPr>
                <w:rFonts w:ascii="Arial Narrow" w:eastAsia="Times New Roman" w:hAnsi="Arial Narrow" w:cs="Times New Roman"/>
                <w:color w:val="000000"/>
                <w:sz w:val="20"/>
                <w:szCs w:val="20"/>
              </w:rPr>
            </w:pPr>
            <w:r w:rsidRPr="00F961B9">
              <w:rPr>
                <w:rFonts w:ascii="Arial Narrow" w:eastAsia="Times New Roman" w:hAnsi="Arial Narrow" w:cs="Times New Roman"/>
                <w:color w:val="000000"/>
                <w:sz w:val="20"/>
                <w:szCs w:val="20"/>
              </w:rPr>
              <w:t>203428_10</w:t>
            </w:r>
          </w:p>
        </w:tc>
        <w:tc>
          <w:tcPr>
            <w:tcW w:w="0" w:type="auto"/>
            <w:shd w:val="clear" w:color="auto" w:fill="auto"/>
            <w:noWrap/>
            <w:vAlign w:val="center"/>
          </w:tcPr>
          <w:p w14:paraId="44AEC531" w14:textId="77777777" w:rsidR="00F97B66" w:rsidRPr="00C44E1D" w:rsidRDefault="00F97B6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4,792</w:t>
            </w:r>
          </w:p>
        </w:tc>
        <w:tc>
          <w:tcPr>
            <w:tcW w:w="0" w:type="auto"/>
            <w:shd w:val="clear" w:color="auto" w:fill="auto"/>
            <w:noWrap/>
            <w:vAlign w:val="center"/>
          </w:tcPr>
          <w:p w14:paraId="7FCFB9B8" w14:textId="77777777" w:rsidR="00F97B66" w:rsidRPr="00C44E1D" w:rsidRDefault="00F97B6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641</w:t>
            </w:r>
          </w:p>
        </w:tc>
        <w:tc>
          <w:tcPr>
            <w:tcW w:w="0" w:type="auto"/>
            <w:shd w:val="clear" w:color="auto" w:fill="auto"/>
            <w:noWrap/>
            <w:vAlign w:val="center"/>
          </w:tcPr>
          <w:p w14:paraId="5F14CEA3" w14:textId="77777777" w:rsidR="00F97B66" w:rsidRPr="00C44E1D" w:rsidRDefault="00F97B6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642</w:t>
            </w:r>
          </w:p>
        </w:tc>
      </w:tr>
      <w:tr w:rsidR="00F97B66" w:rsidRPr="00C44E1D" w14:paraId="4AD87BC7" w14:textId="77777777" w:rsidTr="00721B09">
        <w:tc>
          <w:tcPr>
            <w:tcW w:w="0" w:type="auto"/>
            <w:shd w:val="clear" w:color="auto" w:fill="auto"/>
            <w:vAlign w:val="center"/>
          </w:tcPr>
          <w:p w14:paraId="3A01C08C" w14:textId="77777777" w:rsidR="00F97B66" w:rsidRDefault="00F97B66" w:rsidP="00721B09">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2</w:t>
            </w:r>
          </w:p>
        </w:tc>
        <w:tc>
          <w:tcPr>
            <w:tcW w:w="0" w:type="auto"/>
            <w:shd w:val="clear" w:color="auto" w:fill="auto"/>
            <w:noWrap/>
            <w:vAlign w:val="center"/>
          </w:tcPr>
          <w:p w14:paraId="70447F91" w14:textId="77777777" w:rsidR="00F97B66" w:rsidRPr="0042433C" w:rsidRDefault="00F97B66" w:rsidP="00721B09">
            <w:pPr>
              <w:spacing w:after="0"/>
              <w:jc w:val="right"/>
              <w:rPr>
                <w:rFonts w:ascii="Arial Narrow" w:eastAsia="Times New Roman" w:hAnsi="Arial Narrow" w:cs="Times New Roman"/>
                <w:color w:val="000000"/>
                <w:sz w:val="20"/>
                <w:szCs w:val="20"/>
              </w:rPr>
            </w:pPr>
            <w:r w:rsidRPr="00F961B9">
              <w:rPr>
                <w:rFonts w:ascii="Arial Narrow" w:eastAsia="Times New Roman" w:hAnsi="Arial Narrow" w:cs="Times New Roman"/>
                <w:color w:val="000000"/>
                <w:sz w:val="20"/>
                <w:szCs w:val="20"/>
              </w:rPr>
              <w:t>203428_10</w:t>
            </w:r>
          </w:p>
        </w:tc>
        <w:tc>
          <w:tcPr>
            <w:tcW w:w="0" w:type="auto"/>
            <w:shd w:val="clear" w:color="auto" w:fill="auto"/>
            <w:noWrap/>
            <w:vAlign w:val="center"/>
          </w:tcPr>
          <w:p w14:paraId="0EDECD2C" w14:textId="77777777" w:rsidR="00F97B66" w:rsidRPr="00C44E1D" w:rsidRDefault="00F97B6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4,761</w:t>
            </w:r>
          </w:p>
        </w:tc>
        <w:tc>
          <w:tcPr>
            <w:tcW w:w="0" w:type="auto"/>
            <w:shd w:val="clear" w:color="auto" w:fill="auto"/>
            <w:noWrap/>
            <w:vAlign w:val="center"/>
          </w:tcPr>
          <w:p w14:paraId="1471CF41" w14:textId="77777777" w:rsidR="00F97B66" w:rsidRPr="00C44E1D" w:rsidRDefault="00F97B6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688</w:t>
            </w:r>
          </w:p>
        </w:tc>
        <w:tc>
          <w:tcPr>
            <w:tcW w:w="0" w:type="auto"/>
            <w:shd w:val="clear" w:color="auto" w:fill="auto"/>
            <w:noWrap/>
            <w:vAlign w:val="center"/>
          </w:tcPr>
          <w:p w14:paraId="6D28A1EA" w14:textId="77777777" w:rsidR="00F97B66" w:rsidRPr="00C44E1D" w:rsidRDefault="00F97B6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668</w:t>
            </w:r>
          </w:p>
        </w:tc>
      </w:tr>
      <w:tr w:rsidR="00F97B66" w:rsidRPr="00C44E1D" w14:paraId="5B0E283E" w14:textId="77777777" w:rsidTr="00721B09">
        <w:tc>
          <w:tcPr>
            <w:tcW w:w="0" w:type="auto"/>
            <w:shd w:val="clear" w:color="auto" w:fill="auto"/>
            <w:vAlign w:val="center"/>
          </w:tcPr>
          <w:p w14:paraId="6E115F2D" w14:textId="77777777" w:rsidR="00F97B66" w:rsidRDefault="00F97B66" w:rsidP="00721B09">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3</w:t>
            </w:r>
          </w:p>
        </w:tc>
        <w:tc>
          <w:tcPr>
            <w:tcW w:w="0" w:type="auto"/>
            <w:shd w:val="clear" w:color="auto" w:fill="auto"/>
            <w:noWrap/>
            <w:vAlign w:val="center"/>
          </w:tcPr>
          <w:p w14:paraId="2B7D320B" w14:textId="77777777" w:rsidR="00F97B66" w:rsidRPr="0042433C" w:rsidRDefault="00F97B66" w:rsidP="00721B09">
            <w:pPr>
              <w:spacing w:after="0"/>
              <w:jc w:val="right"/>
              <w:rPr>
                <w:rFonts w:ascii="Arial Narrow" w:eastAsia="Times New Roman" w:hAnsi="Arial Narrow" w:cs="Times New Roman"/>
                <w:color w:val="000000"/>
                <w:sz w:val="20"/>
                <w:szCs w:val="20"/>
              </w:rPr>
            </w:pPr>
            <w:r w:rsidRPr="00F961B9">
              <w:rPr>
                <w:rFonts w:ascii="Arial Narrow" w:eastAsia="Times New Roman" w:hAnsi="Arial Narrow" w:cs="Times New Roman"/>
                <w:color w:val="000000"/>
                <w:sz w:val="20"/>
                <w:szCs w:val="20"/>
              </w:rPr>
              <w:t>203428_10</w:t>
            </w:r>
          </w:p>
        </w:tc>
        <w:tc>
          <w:tcPr>
            <w:tcW w:w="0" w:type="auto"/>
            <w:shd w:val="clear" w:color="auto" w:fill="auto"/>
            <w:noWrap/>
            <w:vAlign w:val="center"/>
          </w:tcPr>
          <w:p w14:paraId="7CF58AA9" w14:textId="77777777" w:rsidR="00F97B66" w:rsidRPr="00C44E1D" w:rsidRDefault="00F97B6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8,629</w:t>
            </w:r>
          </w:p>
        </w:tc>
        <w:tc>
          <w:tcPr>
            <w:tcW w:w="0" w:type="auto"/>
            <w:shd w:val="clear" w:color="auto" w:fill="auto"/>
            <w:noWrap/>
            <w:vAlign w:val="center"/>
          </w:tcPr>
          <w:p w14:paraId="72D57E36" w14:textId="77777777" w:rsidR="00F97B66" w:rsidRPr="00C44E1D" w:rsidRDefault="00F97B6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1,126</w:t>
            </w:r>
          </w:p>
        </w:tc>
        <w:tc>
          <w:tcPr>
            <w:tcW w:w="0" w:type="auto"/>
            <w:shd w:val="clear" w:color="auto" w:fill="auto"/>
            <w:noWrap/>
            <w:vAlign w:val="center"/>
          </w:tcPr>
          <w:p w14:paraId="0357D189" w14:textId="77777777" w:rsidR="00F97B66" w:rsidRPr="00C44E1D" w:rsidRDefault="00F97B6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1,070</w:t>
            </w:r>
          </w:p>
        </w:tc>
      </w:tr>
      <w:tr w:rsidR="00F97B66" w:rsidRPr="00C44E1D" w14:paraId="2DA32666" w14:textId="77777777" w:rsidTr="00721B09">
        <w:tc>
          <w:tcPr>
            <w:tcW w:w="0" w:type="auto"/>
            <w:shd w:val="clear" w:color="auto" w:fill="auto"/>
            <w:vAlign w:val="center"/>
          </w:tcPr>
          <w:p w14:paraId="492ACA8F" w14:textId="77777777" w:rsidR="00F97B66" w:rsidRDefault="00F97B66" w:rsidP="00721B09">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4</w:t>
            </w:r>
          </w:p>
        </w:tc>
        <w:tc>
          <w:tcPr>
            <w:tcW w:w="0" w:type="auto"/>
            <w:shd w:val="clear" w:color="auto" w:fill="auto"/>
            <w:noWrap/>
            <w:vAlign w:val="center"/>
          </w:tcPr>
          <w:p w14:paraId="09A9A958" w14:textId="77777777" w:rsidR="00F97B66" w:rsidRPr="0042433C" w:rsidRDefault="00F97B66" w:rsidP="00721B09">
            <w:pPr>
              <w:spacing w:after="0"/>
              <w:jc w:val="right"/>
              <w:rPr>
                <w:rFonts w:ascii="Arial Narrow" w:hAnsi="Arial Narrow" w:cs="Calibri"/>
                <w:color w:val="000000"/>
                <w:sz w:val="20"/>
                <w:szCs w:val="20"/>
              </w:rPr>
            </w:pPr>
            <w:r w:rsidRPr="00F961B9">
              <w:rPr>
                <w:rFonts w:ascii="Arial Narrow" w:hAnsi="Arial Narrow" w:cs="Calibri"/>
                <w:color w:val="000000"/>
                <w:sz w:val="20"/>
                <w:szCs w:val="20"/>
              </w:rPr>
              <w:t>203428_10</w:t>
            </w:r>
          </w:p>
        </w:tc>
        <w:tc>
          <w:tcPr>
            <w:tcW w:w="0" w:type="auto"/>
            <w:shd w:val="clear" w:color="auto" w:fill="auto"/>
            <w:noWrap/>
            <w:vAlign w:val="center"/>
          </w:tcPr>
          <w:p w14:paraId="4CD23CD5" w14:textId="77777777" w:rsidR="00F97B66" w:rsidRDefault="00F97B66" w:rsidP="00721B09">
            <w:pPr>
              <w:spacing w:after="0"/>
              <w:jc w:val="right"/>
              <w:rPr>
                <w:rFonts w:ascii="Arial Narrow" w:hAnsi="Arial Narrow" w:cs="Calibri"/>
                <w:color w:val="000000"/>
                <w:sz w:val="20"/>
                <w:szCs w:val="20"/>
              </w:rPr>
            </w:pPr>
            <w:r>
              <w:rPr>
                <w:rFonts w:ascii="Arial Narrow" w:hAnsi="Arial Narrow" w:cs="Calibri"/>
                <w:color w:val="000000"/>
                <w:sz w:val="20"/>
                <w:szCs w:val="20"/>
              </w:rPr>
              <w:t>533</w:t>
            </w:r>
          </w:p>
        </w:tc>
        <w:tc>
          <w:tcPr>
            <w:tcW w:w="0" w:type="auto"/>
            <w:shd w:val="clear" w:color="auto" w:fill="auto"/>
            <w:noWrap/>
            <w:vAlign w:val="center"/>
          </w:tcPr>
          <w:p w14:paraId="38748322" w14:textId="77777777" w:rsidR="00F97B66" w:rsidRDefault="00F97B66" w:rsidP="00721B09">
            <w:pPr>
              <w:spacing w:after="0"/>
              <w:jc w:val="right"/>
              <w:rPr>
                <w:rFonts w:ascii="Arial Narrow" w:hAnsi="Arial Narrow" w:cs="Calibri"/>
                <w:color w:val="000000"/>
                <w:sz w:val="20"/>
                <w:szCs w:val="20"/>
              </w:rPr>
            </w:pPr>
            <w:r>
              <w:rPr>
                <w:rFonts w:ascii="Arial Narrow" w:hAnsi="Arial Narrow" w:cs="Calibri"/>
                <w:color w:val="000000"/>
                <w:sz w:val="20"/>
                <w:szCs w:val="20"/>
              </w:rPr>
              <w:t>79</w:t>
            </w:r>
          </w:p>
        </w:tc>
        <w:tc>
          <w:tcPr>
            <w:tcW w:w="0" w:type="auto"/>
            <w:shd w:val="clear" w:color="auto" w:fill="auto"/>
            <w:noWrap/>
            <w:vAlign w:val="center"/>
          </w:tcPr>
          <w:p w14:paraId="68D77B54" w14:textId="77777777" w:rsidR="00F97B66" w:rsidRDefault="00F97B66" w:rsidP="00721B09">
            <w:pPr>
              <w:spacing w:after="0"/>
              <w:jc w:val="right"/>
              <w:rPr>
                <w:rFonts w:ascii="Arial Narrow" w:hAnsi="Arial Narrow" w:cs="Calibri"/>
                <w:color w:val="000000"/>
                <w:sz w:val="20"/>
                <w:szCs w:val="20"/>
              </w:rPr>
            </w:pPr>
            <w:r>
              <w:rPr>
                <w:rFonts w:ascii="Arial Narrow" w:hAnsi="Arial Narrow" w:cs="Calibri"/>
                <w:color w:val="000000"/>
                <w:sz w:val="20"/>
                <w:szCs w:val="20"/>
              </w:rPr>
              <w:t>73</w:t>
            </w:r>
          </w:p>
        </w:tc>
      </w:tr>
    </w:tbl>
    <w:p w14:paraId="6704EB92" w14:textId="77777777" w:rsidR="00F97B66" w:rsidRDefault="00F97B66" w:rsidP="00F97B66">
      <w:pPr>
        <w:rPr>
          <w:rFonts w:eastAsia="Calibri"/>
        </w:rPr>
      </w:pPr>
    </w:p>
    <w:p w14:paraId="42CE3C0C" w14:textId="77777777" w:rsidR="00F97B66" w:rsidRPr="00C44E1D" w:rsidRDefault="00F97B66" w:rsidP="00F97B66">
      <w:pPr>
        <w:rPr>
          <w:rFonts w:eastAsia="Calibri" w:cs="Times New Roman"/>
        </w:rPr>
      </w:pPr>
      <w:proofErr w:type="spellStart"/>
      <w:r w:rsidRPr="00C44E1D">
        <w:rPr>
          <w:rFonts w:eastAsia="Calibri"/>
        </w:rPr>
        <w:t>Nat</w:t>
      </w:r>
      <w:r>
        <w:rPr>
          <w:rFonts w:eastAsia="Calibri"/>
        </w:rPr>
        <w:t>Avg</w:t>
      </w:r>
      <w:r w:rsidRPr="00C44E1D">
        <w:rPr>
          <w:rFonts w:eastAsia="Calibri"/>
        </w:rPr>
        <w:t>Obs</w:t>
      </w:r>
      <w:proofErr w:type="spellEnd"/>
      <w:r w:rsidRPr="00C44E1D">
        <w:rPr>
          <w:rFonts w:eastAsia="Calibri"/>
        </w:rPr>
        <w:t xml:space="preserve"> = </w:t>
      </w:r>
      <m:oMath>
        <m:r>
          <m:rPr>
            <m:nor/>
          </m:rPr>
          <w:rPr>
            <w:rFonts w:eastAsia="Calibri"/>
          </w:rPr>
          <m:t>Average</m:t>
        </m:r>
        <m:d>
          <m:dPr>
            <m:ctrlPr>
              <w:rPr>
                <w:rFonts w:ascii="Cambria Math" w:eastAsia="Calibri" w:hAnsi="Cambria Math"/>
              </w:rPr>
            </m:ctrlPr>
          </m:dPr>
          <m:e>
            <m:d>
              <m:dPr>
                <m:ctrlPr>
                  <w:rPr>
                    <w:rFonts w:ascii="Cambria Math" w:eastAsia="Calibri" w:hAnsi="Cambria Math"/>
                  </w:rPr>
                </m:ctrlPr>
              </m:dPr>
              <m:e>
                <m:f>
                  <m:fPr>
                    <m:ctrlPr>
                      <w:rPr>
                        <w:rFonts w:ascii="Cambria Math" w:eastAsia="Calibri" w:hAnsi="Cambria Math"/>
                      </w:rPr>
                    </m:ctrlPr>
                  </m:fPr>
                  <m:num>
                    <m:r>
                      <m:rPr>
                        <m:nor/>
                      </m:rPr>
                      <w:rPr>
                        <w:rFonts w:eastAsia="Calibri"/>
                      </w:rPr>
                      <m:t xml:space="preserve">641 </m:t>
                    </m:r>
                  </m:num>
                  <m:den>
                    <m:r>
                      <m:rPr>
                        <m:nor/>
                      </m:rPr>
                      <w:rPr>
                        <w:rFonts w:eastAsia="Calibri"/>
                      </w:rPr>
                      <m:t>4</m:t>
                    </m:r>
                    <m:r>
                      <m:rPr>
                        <m:nor/>
                      </m:rPr>
                      <w:rPr>
                        <w:rFonts w:ascii="Cambria Math" w:eastAsia="Calibri"/>
                      </w:rPr>
                      <m:t>,</m:t>
                    </m:r>
                    <m:r>
                      <m:rPr>
                        <m:nor/>
                      </m:rPr>
                      <w:rPr>
                        <w:rFonts w:eastAsia="Calibri"/>
                      </w:rPr>
                      <m:t>792</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688</m:t>
                    </m:r>
                  </m:num>
                  <m:den>
                    <m:r>
                      <m:rPr>
                        <m:nor/>
                      </m:rPr>
                      <w:rPr>
                        <w:rFonts w:eastAsia="Calibri"/>
                      </w:rPr>
                      <m:t>4,761</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1,126</m:t>
                    </m:r>
                  </m:num>
                  <m:den>
                    <m:r>
                      <m:rPr>
                        <m:nor/>
                      </m:rPr>
                      <w:rPr>
                        <w:rFonts w:eastAsia="Calibri"/>
                      </w:rPr>
                      <m:t>8,629</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79</m:t>
                    </m:r>
                  </m:num>
                  <m:den>
                    <m:r>
                      <m:rPr>
                        <m:nor/>
                      </m:rPr>
                      <w:rPr>
                        <w:rFonts w:eastAsia="Calibri"/>
                      </w:rPr>
                      <m:t>533</m:t>
                    </m:r>
                  </m:den>
                </m:f>
              </m:e>
            </m:d>
          </m:e>
        </m:d>
      </m:oMath>
    </w:p>
    <w:p w14:paraId="7CE2636F" w14:textId="77777777" w:rsidR="00F97B66" w:rsidRPr="00C44E1D" w:rsidRDefault="00F97B66" w:rsidP="00F97B66">
      <w:pPr>
        <w:rPr>
          <w:rFonts w:ascii="Cambria Math" w:eastAsia="Calibri" w:hAnsi="Cambria Math"/>
          <w:oMath/>
        </w:rPr>
      </w:pPr>
      <w:proofErr w:type="spellStart"/>
      <w:r w:rsidRPr="00C44E1D">
        <w:rPr>
          <w:rFonts w:eastAsia="Calibri"/>
        </w:rPr>
        <w:t>Nat</w:t>
      </w:r>
      <w:r>
        <w:rPr>
          <w:rFonts w:eastAsia="Calibri"/>
        </w:rPr>
        <w:t>AvgObs</w:t>
      </w:r>
      <w:proofErr w:type="spellEnd"/>
      <w:r w:rsidRPr="00C44E1D">
        <w:rPr>
          <w:rFonts w:eastAsia="Calibri"/>
        </w:rPr>
        <w:t xml:space="preserve"> = </w:t>
      </w:r>
      <m:oMath>
        <m:r>
          <m:rPr>
            <m:nor/>
          </m:rPr>
          <w:rPr>
            <w:rFonts w:eastAsia="Calibri"/>
          </w:rPr>
          <m:t xml:space="preserve">Average </m:t>
        </m:r>
        <m:d>
          <m:dPr>
            <m:ctrlPr>
              <w:rPr>
                <w:rFonts w:ascii="Cambria Math" w:eastAsia="Calibri" w:hAnsi="Cambria Math"/>
              </w:rPr>
            </m:ctrlPr>
          </m:dPr>
          <m:e>
            <m:d>
              <m:dPr>
                <m:ctrlPr>
                  <w:rPr>
                    <w:rFonts w:ascii="Cambria Math" w:eastAsia="Calibri" w:hAnsi="Cambria Math"/>
                  </w:rPr>
                </m:ctrlPr>
              </m:dPr>
              <m:e>
                <m:r>
                  <m:rPr>
                    <m:nor/>
                  </m:rPr>
                  <w:rPr>
                    <w:rFonts w:eastAsia="Calibri"/>
                  </w:rPr>
                  <m:t>0.13376</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0.14451</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0.13049</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0.14822</m:t>
                </m:r>
              </m:e>
            </m:d>
          </m:e>
        </m:d>
      </m:oMath>
    </w:p>
    <w:p w14:paraId="140D99AE" w14:textId="77777777" w:rsidR="00F97B66" w:rsidRDefault="00F97B66" w:rsidP="00F97B66">
      <w:pPr>
        <w:rPr>
          <w:rFonts w:eastAsia="Calibri"/>
        </w:rPr>
      </w:pPr>
      <w:r>
        <w:rPr>
          <w:rFonts w:eastAsia="Calibri"/>
        </w:rPr>
        <w:t>NatAvgObs</w:t>
      </w:r>
      <w:r w:rsidRPr="00C44E1D">
        <w:rPr>
          <w:rFonts w:eastAsia="Calibri"/>
        </w:rPr>
        <w:t xml:space="preserve"> = </w:t>
      </w:r>
      <w:r>
        <w:rPr>
          <w:rFonts w:eastAsia="Calibri"/>
        </w:rPr>
        <w:t>0</w:t>
      </w:r>
      <w:r w:rsidRPr="00C44E1D">
        <w:rPr>
          <w:rFonts w:eastAsia="Calibri"/>
        </w:rPr>
        <w:t>.139245</w:t>
      </w:r>
    </w:p>
    <w:p w14:paraId="68CD6187" w14:textId="77777777" w:rsidR="00F97B66" w:rsidRDefault="00F97B66" w:rsidP="00F97B66">
      <w:pPr>
        <w:pStyle w:val="Normal-Formula"/>
        <w:spacing w:before="120" w:after="120"/>
      </w:pPr>
      <w:r>
        <w:t xml:space="preserve">Final Rate Contract 1 = </w:t>
      </w:r>
      <m:oMath>
        <m:d>
          <m:dPr>
            <m:ctrlPr>
              <w:rPr>
                <w:rFonts w:ascii="Cambria Math" w:hAnsi="Cambria Math"/>
                <w:i/>
              </w:rPr>
            </m:ctrlPr>
          </m:dPr>
          <m:e>
            <m:d>
              <m:dPr>
                <m:ctrlPr>
                  <w:rPr>
                    <w:rFonts w:ascii="Cambria Math" w:hAnsi="Cambria Math"/>
                    <w:i/>
                  </w:rPr>
                </m:ctrlPr>
              </m:dPr>
              <m:e>
                <m:f>
                  <m:fPr>
                    <m:ctrlPr>
                      <w:rPr>
                        <w:rFonts w:ascii="Cambria Math" w:hAnsi="Cambria Math"/>
                        <w:i/>
                      </w:rPr>
                    </m:ctrlPr>
                  </m:fPr>
                  <m:num>
                    <m:r>
                      <m:rPr>
                        <m:nor/>
                      </m:rPr>
                      <m:t>641</m:t>
                    </m:r>
                  </m:num>
                  <m:den>
                    <m:r>
                      <m:rPr>
                        <m:nor/>
                      </m:rPr>
                      <m:t>642</m:t>
                    </m:r>
                  </m:den>
                </m:f>
              </m:e>
            </m:d>
            <m:r>
              <m:rPr>
                <m:nor/>
              </m:rPr>
              <m:t xml:space="preserve"> × .139245</m:t>
            </m:r>
          </m:e>
        </m:d>
        <m:r>
          <m:rPr>
            <m:nor/>
          </m:rPr>
          <m:t xml:space="preserve"> x 1000 = </m:t>
        </m:r>
        <m:r>
          <m:rPr>
            <m:nor/>
          </m:rPr>
          <w:rPr>
            <w:rFonts w:eastAsiaTheme="minorEastAsia"/>
          </w:rPr>
          <m:t>139.028</m:t>
        </m:r>
      </m:oMath>
    </w:p>
    <w:p w14:paraId="2A237686" w14:textId="77777777" w:rsidR="00F97B66" w:rsidRDefault="00F97B66" w:rsidP="00F97B66">
      <w:pPr>
        <w:pStyle w:val="Normal-Formula"/>
        <w:spacing w:before="120" w:after="120"/>
      </w:pPr>
      <w:r>
        <w:t>Final Rate reported for Contract 1 = 139</w:t>
      </w:r>
    </w:p>
    <w:p w14:paraId="7CE4CA59" w14:textId="77777777" w:rsidR="00F97B66" w:rsidRDefault="003F725A" w:rsidP="00F97B66">
      <w:pPr>
        <w:pStyle w:val="AttachmentTitle"/>
        <w:spacing w:after="120"/>
      </w:pPr>
      <w:r w:rsidRPr="00DD7B93">
        <w:rPr>
          <w:color w:val="auto"/>
        </w:rPr>
        <w:br w:type="page"/>
      </w:r>
      <w:r w:rsidR="00F97B66">
        <w:lastRenderedPageBreak/>
        <w:t>Calculating Measure 2021 EDU: Emergency Department Utilization (M/F 65+)</w:t>
      </w:r>
    </w:p>
    <w:p w14:paraId="7033A31A" w14:textId="09D45F5F" w:rsidR="00F97B66" w:rsidRDefault="00F97B66" w:rsidP="00F97B66">
      <w:r w:rsidRPr="00CF20FE">
        <w:t xml:space="preserve">All data </w:t>
      </w:r>
      <w:r>
        <w:t xml:space="preserve">can be looked up by </w:t>
      </w:r>
      <w:proofErr w:type="spellStart"/>
      <w:r>
        <w:t>IndicatorKey</w:t>
      </w:r>
      <w:proofErr w:type="spellEnd"/>
      <w:r>
        <w:t xml:space="preserve"> (row) and Variable name (column).</w:t>
      </w:r>
    </w:p>
    <w:p w14:paraId="08051682" w14:textId="77777777" w:rsidR="00F97B66" w:rsidRDefault="00F97B66" w:rsidP="00F97B66">
      <w:r>
        <w:t xml:space="preserve">The calculations below use the </w:t>
      </w:r>
      <w:proofErr w:type="spellStart"/>
      <w:r>
        <w:t>NonOutlierMemberCount</w:t>
      </w:r>
      <w:proofErr w:type="spellEnd"/>
      <w:r>
        <w:t xml:space="preserve">, </w:t>
      </w:r>
      <w:proofErr w:type="spellStart"/>
      <w:r>
        <w:t>ObservedCount</w:t>
      </w:r>
      <w:proofErr w:type="spellEnd"/>
      <w:r>
        <w:t xml:space="preserve"> and </w:t>
      </w:r>
      <w:proofErr w:type="spellStart"/>
      <w:r>
        <w:t>ExpectedCount</w:t>
      </w:r>
      <w:proofErr w:type="spellEnd"/>
      <w:r>
        <w:t xml:space="preserve"> values from the EDU (M/F 65+) indicator (</w:t>
      </w:r>
      <w:proofErr w:type="spellStart"/>
      <w:r>
        <w:t>IndicatorKey</w:t>
      </w:r>
      <w:proofErr w:type="spellEnd"/>
      <w:r>
        <w:t xml:space="preserve"> = </w:t>
      </w:r>
      <w:r w:rsidRPr="003158C1">
        <w:t>203472_10</w:t>
      </w:r>
      <w:r>
        <w:t>).</w:t>
      </w:r>
    </w:p>
    <w:p w14:paraId="463D28A8" w14:textId="77777777" w:rsidR="00F97B66" w:rsidRDefault="00F97B66" w:rsidP="00F97B66">
      <w:r>
        <w:t>For each contract, calculate the (M/F 65+) Observed-over-Expected Ratio (OE):</w:t>
      </w:r>
    </w:p>
    <w:p w14:paraId="334D8E0C" w14:textId="77777777" w:rsidR="00F97B66" w:rsidRDefault="00F97B66" w:rsidP="00F97B66">
      <w:pPr>
        <w:ind w:firstLine="720"/>
      </w:pPr>
      <w:r>
        <w:t xml:space="preserve">OE = </w:t>
      </w:r>
      <m:oMath>
        <m:d>
          <m:dPr>
            <m:ctrlPr>
              <w:rPr>
                <w:rFonts w:ascii="Cambria Math" w:hAnsi="Cambria Math"/>
                <w:sz w:val="28"/>
                <w:szCs w:val="28"/>
              </w:rPr>
            </m:ctrlPr>
          </m:dPr>
          <m:e>
            <m:f>
              <m:fPr>
                <m:ctrlPr>
                  <w:rPr>
                    <w:rFonts w:ascii="Cambria Math" w:hAnsi="Cambria Math"/>
                    <w:sz w:val="28"/>
                    <w:szCs w:val="28"/>
                  </w:rPr>
                </m:ctrlPr>
              </m:fPr>
              <m:num>
                <w:proofErr w:type="spellStart"/>
                <m:r>
                  <m:rPr>
                    <m:nor/>
                  </m:rPr>
                  <w:rPr>
                    <w:sz w:val="28"/>
                    <w:szCs w:val="28"/>
                  </w:rPr>
                  <m:t>ObservedCount</m:t>
                </m:r>
                <w:proofErr w:type="spellEnd"/>
              </m:num>
              <m:den>
                <w:proofErr w:type="spellStart"/>
                <m:r>
                  <m:rPr>
                    <m:nor/>
                  </m:rPr>
                  <w:rPr>
                    <w:sz w:val="28"/>
                    <w:szCs w:val="28"/>
                  </w:rPr>
                  <m:t>ExpectedCount</m:t>
                </m:r>
                <w:proofErr w:type="spellEnd"/>
              </m:den>
            </m:f>
          </m:e>
        </m:d>
      </m:oMath>
    </w:p>
    <w:p w14:paraId="414F341B" w14:textId="77777777" w:rsidR="00F97B66" w:rsidRDefault="00F97B66" w:rsidP="00F97B66">
      <w:r>
        <w:t>Calculate the national average of the (M/F 65+) Observed Rate:</w:t>
      </w:r>
    </w:p>
    <w:p w14:paraId="168ED02B" w14:textId="77777777" w:rsidR="00F97B66" w:rsidRDefault="00F97B66" w:rsidP="00F97B66">
      <w:pPr>
        <w:pStyle w:val="Normal-Formula"/>
        <w:spacing w:before="120"/>
        <w:ind w:firstLine="720"/>
      </w:pPr>
      <w:proofErr w:type="spellStart"/>
      <w:r w:rsidRPr="00301E67">
        <w:t>NatAvgObs</w:t>
      </w:r>
      <w:proofErr w:type="spellEnd"/>
      <w:r w:rsidRPr="00301E67">
        <w:t xml:space="preserve"> = </w:t>
      </w:r>
      <m:oMath>
        <m:r>
          <m:rPr>
            <m:nor/>
          </m:rPr>
          <m:t>Average</m:t>
        </m:r>
        <m:d>
          <m:dPr>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w:proofErr w:type="spellStart"/>
                        <m:r>
                          <m:rPr>
                            <m:nor/>
                          </m:rPr>
                          <m:t>ObservedCount</m:t>
                        </m:r>
                        <w:proofErr w:type="spellEnd"/>
                      </m:e>
                      <m:sub>
                        <m:r>
                          <m:rPr>
                            <m:nor/>
                          </m:rPr>
                          <m:t>1</m:t>
                        </m:r>
                      </m:sub>
                    </m:sSub>
                  </m:num>
                  <m:den>
                    <m:sSub>
                      <m:sSubPr>
                        <m:ctrlPr>
                          <w:rPr>
                            <w:rFonts w:ascii="Cambria Math" w:hAnsi="Cambria Math"/>
                          </w:rPr>
                        </m:ctrlPr>
                      </m:sSubPr>
                      <m:e>
                        <w:proofErr w:type="spellStart"/>
                        <m:r>
                          <m:rPr>
                            <m:nor/>
                          </m:rPr>
                          <m:t>NonOutlierMemberCount</m:t>
                        </m:r>
                        <w:proofErr w:type="spellEnd"/>
                      </m:e>
                      <m:sub>
                        <m:r>
                          <m:rPr>
                            <m:nor/>
                          </m:rPr>
                          <m:t>1</m:t>
                        </m:r>
                      </m:sub>
                    </m:sSub>
                  </m:den>
                </m:f>
              </m:e>
            </m:d>
            <m:r>
              <m:rPr>
                <m:nor/>
              </m:rPr>
              <m:t xml:space="preserve"> + … +</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w:proofErr w:type="spellStart"/>
                        <m:r>
                          <m:rPr>
                            <m:nor/>
                          </m:rPr>
                          <m:t>ObservedCount</m:t>
                        </m:r>
                        <w:proofErr w:type="spellEnd"/>
                      </m:e>
                      <m:sub>
                        <m:r>
                          <m:rPr>
                            <m:nor/>
                          </m:rPr>
                          <m:t>n</m:t>
                        </m:r>
                      </m:sub>
                    </m:sSub>
                  </m:num>
                  <m:den>
                    <m:sSub>
                      <m:sSubPr>
                        <m:ctrlPr>
                          <w:rPr>
                            <w:rFonts w:ascii="Cambria Math" w:hAnsi="Cambria Math"/>
                          </w:rPr>
                        </m:ctrlPr>
                      </m:sSubPr>
                      <m:e>
                        <w:proofErr w:type="spellStart"/>
                        <m:r>
                          <m:rPr>
                            <m:nor/>
                          </m:rPr>
                          <m:t>NonOutlierMemberCount</m:t>
                        </m:r>
                        <w:proofErr w:type="spellEnd"/>
                      </m:e>
                      <m:sub>
                        <m:r>
                          <m:rPr>
                            <m:nor/>
                          </m:rPr>
                          <m:t>n</m:t>
                        </m:r>
                      </m:sub>
                    </m:sSub>
                  </m:den>
                </m:f>
              </m:e>
            </m:d>
          </m:e>
        </m:d>
      </m:oMath>
    </w:p>
    <w:p w14:paraId="7FD4CBB9" w14:textId="77777777" w:rsidR="00F97B66" w:rsidRPr="001F52D8" w:rsidRDefault="00F97B66" w:rsidP="00F97B66">
      <w:r>
        <w:t>W</w:t>
      </w:r>
      <w:r w:rsidRPr="00301E67">
        <w:t xml:space="preserve">here 1 through n are all </w:t>
      </w:r>
      <w:r w:rsidRPr="00D208DD">
        <w:t xml:space="preserve">contracts with </w:t>
      </w:r>
      <w:r>
        <w:t xml:space="preserve">a (M/F 65+) </w:t>
      </w:r>
      <w:proofErr w:type="spellStart"/>
      <w:r>
        <w:t>NonOutlierMemberCount</w:t>
      </w:r>
      <w:proofErr w:type="spellEnd"/>
      <w:r w:rsidRPr="00D208DD">
        <w:t xml:space="preserve"> </w:t>
      </w:r>
      <w:r>
        <w:t>larger than or equal to</w:t>
      </w:r>
      <w:r w:rsidRPr="00D208DD">
        <w:t xml:space="preserve"> 150</w:t>
      </w:r>
      <w:r>
        <w:t>, and a (M/F 65+) OE larger than or equal to 0.2 and less than or equal to 5.0.</w:t>
      </w:r>
    </w:p>
    <w:p w14:paraId="21986AB3" w14:textId="77777777" w:rsidR="00F97B66" w:rsidRDefault="00F97B66" w:rsidP="00F97B66">
      <w:pPr>
        <w:rPr>
          <w:szCs w:val="20"/>
        </w:rPr>
      </w:pPr>
      <w:r>
        <w:rPr>
          <w:szCs w:val="20"/>
        </w:rPr>
        <w:t>For each contract, calculate the Final Rate and convert to percentages:</w:t>
      </w:r>
    </w:p>
    <w:p w14:paraId="6F421D7B" w14:textId="77777777" w:rsidR="00F97B66" w:rsidRDefault="00F97B66" w:rsidP="00F97B66">
      <w:pPr>
        <w:pStyle w:val="Normal-Formula"/>
        <w:spacing w:before="120" w:after="120"/>
        <w:ind w:firstLine="720"/>
      </w:pPr>
      <w:r>
        <w:rPr>
          <w:szCs w:val="20"/>
        </w:rPr>
        <w:t>Final</w:t>
      </w:r>
      <w:r w:rsidRPr="00301E67">
        <w:rPr>
          <w:szCs w:val="20"/>
        </w:rPr>
        <w:t xml:space="preserve"> Rate =</w:t>
      </w:r>
      <w:r>
        <w:t xml:space="preserve"> </w:t>
      </w:r>
      <m:oMath>
        <m:r>
          <m:rPr>
            <m:nor/>
          </m:rPr>
          <m:t xml:space="preserve">OE x </m:t>
        </m:r>
        <w:proofErr w:type="spellStart"/>
        <m:r>
          <m:rPr>
            <m:nor/>
          </m:rPr>
          <m:t>NatAvgObs</m:t>
        </m:r>
        <w:proofErr w:type="spellEnd"/>
        <m:r>
          <m:rPr>
            <m:nor/>
          </m:rPr>
          <m:t xml:space="preserve"> x 1000 </m:t>
        </m:r>
      </m:oMath>
    </w:p>
    <w:p w14:paraId="5671EA53" w14:textId="77777777" w:rsidR="00F97B66" w:rsidRDefault="00F97B66" w:rsidP="00F97B66">
      <w:pPr>
        <w:pStyle w:val="Normal-Formula"/>
        <w:spacing w:before="120" w:after="120"/>
      </w:pPr>
      <w:r>
        <w:t>And round to the nearest integer.</w:t>
      </w:r>
    </w:p>
    <w:p w14:paraId="42ECA6A3" w14:textId="77777777" w:rsidR="00F97B66" w:rsidRDefault="00F97B66" w:rsidP="00F97B66"/>
    <w:p w14:paraId="0BC18A45" w14:textId="77777777" w:rsidR="00F97B66" w:rsidRPr="00C44E1D" w:rsidRDefault="00F97B66" w:rsidP="00F97B66">
      <w:pPr>
        <w:rPr>
          <w:rFonts w:eastAsia="Calibri"/>
        </w:rPr>
      </w:pPr>
      <w:r w:rsidRPr="00C44E1D">
        <w:rPr>
          <w:rFonts w:eastAsia="Calibri"/>
        </w:rPr>
        <w:t>Example: Calculating the final rate for Contract 1</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29" w:type="dxa"/>
          <w:bottom w:w="14" w:type="dxa"/>
          <w:right w:w="29" w:type="dxa"/>
        </w:tblCellMar>
        <w:tblLook w:val="04A0" w:firstRow="1" w:lastRow="0" w:firstColumn="1" w:lastColumn="0" w:noHBand="0" w:noVBand="1"/>
      </w:tblPr>
      <w:tblGrid>
        <w:gridCol w:w="815"/>
        <w:gridCol w:w="1052"/>
        <w:gridCol w:w="2008"/>
        <w:gridCol w:w="1289"/>
        <w:gridCol w:w="1261"/>
      </w:tblGrid>
      <w:tr w:rsidR="00F97B66" w:rsidRPr="00C44E1D" w14:paraId="7772C03D" w14:textId="77777777" w:rsidTr="00721B09">
        <w:tc>
          <w:tcPr>
            <w:tcW w:w="0" w:type="auto"/>
            <w:shd w:val="clear" w:color="000000" w:fill="BFBFBF"/>
            <w:vAlign w:val="center"/>
            <w:hideMark/>
          </w:tcPr>
          <w:p w14:paraId="1AE21E62" w14:textId="77777777" w:rsidR="00F97B66" w:rsidRPr="00C44E1D" w:rsidRDefault="00F97B66" w:rsidP="00721B09">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Contract</w:t>
            </w:r>
          </w:p>
        </w:tc>
        <w:tc>
          <w:tcPr>
            <w:tcW w:w="0" w:type="auto"/>
            <w:shd w:val="clear" w:color="000000" w:fill="BFBFBF"/>
            <w:noWrap/>
            <w:vAlign w:val="center"/>
            <w:hideMark/>
          </w:tcPr>
          <w:p w14:paraId="6FB45A9C" w14:textId="77777777" w:rsidR="00F97B66" w:rsidRPr="00C44E1D" w:rsidRDefault="00F97B66" w:rsidP="00721B09">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IndicatorKey</w:t>
            </w:r>
            <w:proofErr w:type="spellEnd"/>
          </w:p>
        </w:tc>
        <w:tc>
          <w:tcPr>
            <w:tcW w:w="0" w:type="auto"/>
            <w:shd w:val="clear" w:color="000000" w:fill="BFBFBF"/>
            <w:vAlign w:val="center"/>
            <w:hideMark/>
          </w:tcPr>
          <w:p w14:paraId="7504F7AC" w14:textId="77777777" w:rsidR="00F97B66" w:rsidRPr="00C44E1D" w:rsidRDefault="00F97B66" w:rsidP="00721B09">
            <w:pPr>
              <w:spacing w:after="0"/>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NonOutlierMemberCount</w:t>
            </w:r>
            <w:proofErr w:type="spellEnd"/>
            <w:r>
              <w:rPr>
                <w:rFonts w:ascii="Arial Narrow Bold" w:eastAsia="Times New Roman" w:hAnsi="Arial Narrow Bold" w:cs="Times New Roman"/>
                <w:b/>
                <w:bCs/>
                <w:color w:val="000000"/>
                <w:sz w:val="20"/>
                <w:szCs w:val="20"/>
              </w:rPr>
              <w:t xml:space="preserve"> </w:t>
            </w:r>
          </w:p>
        </w:tc>
        <w:tc>
          <w:tcPr>
            <w:tcW w:w="0" w:type="auto"/>
            <w:shd w:val="clear" w:color="000000" w:fill="BFBFBF"/>
            <w:vAlign w:val="center"/>
            <w:hideMark/>
          </w:tcPr>
          <w:p w14:paraId="5A9E7BFE" w14:textId="77777777" w:rsidR="00F97B66" w:rsidRPr="00C44E1D" w:rsidRDefault="00F97B66" w:rsidP="00721B09">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ObservedCount</w:t>
            </w:r>
            <w:proofErr w:type="spellEnd"/>
          </w:p>
        </w:tc>
        <w:tc>
          <w:tcPr>
            <w:tcW w:w="0" w:type="auto"/>
            <w:shd w:val="clear" w:color="000000" w:fill="BFBFBF"/>
            <w:vAlign w:val="center"/>
            <w:hideMark/>
          </w:tcPr>
          <w:p w14:paraId="0D079884" w14:textId="77777777" w:rsidR="00F97B66" w:rsidRPr="00C44E1D" w:rsidRDefault="00F97B66" w:rsidP="00721B09">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ExpectedCount</w:t>
            </w:r>
            <w:proofErr w:type="spellEnd"/>
          </w:p>
        </w:tc>
      </w:tr>
      <w:tr w:rsidR="00F97B66" w:rsidRPr="00C44E1D" w14:paraId="25731FC5" w14:textId="77777777" w:rsidTr="00721B09">
        <w:tc>
          <w:tcPr>
            <w:tcW w:w="0" w:type="auto"/>
            <w:shd w:val="clear" w:color="auto" w:fill="auto"/>
            <w:vAlign w:val="center"/>
          </w:tcPr>
          <w:p w14:paraId="0845DE86" w14:textId="77777777" w:rsidR="00F97B66" w:rsidRDefault="00F97B66" w:rsidP="00721B09">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1</w:t>
            </w:r>
          </w:p>
        </w:tc>
        <w:tc>
          <w:tcPr>
            <w:tcW w:w="0" w:type="auto"/>
            <w:shd w:val="clear" w:color="auto" w:fill="auto"/>
            <w:noWrap/>
          </w:tcPr>
          <w:p w14:paraId="7B765F9E" w14:textId="77777777" w:rsidR="00F97B66" w:rsidRPr="003158C1" w:rsidRDefault="00F97B66" w:rsidP="00721B09">
            <w:pPr>
              <w:spacing w:after="0"/>
              <w:jc w:val="right"/>
              <w:rPr>
                <w:rFonts w:ascii="Arial Narrow" w:eastAsia="Times New Roman" w:hAnsi="Arial Narrow" w:cs="Times New Roman"/>
                <w:color w:val="000000"/>
                <w:sz w:val="20"/>
                <w:szCs w:val="20"/>
              </w:rPr>
            </w:pPr>
            <w:r w:rsidRPr="003158C1">
              <w:rPr>
                <w:rFonts w:ascii="Arial Narrow" w:hAnsi="Arial Narrow"/>
                <w:sz w:val="20"/>
                <w:szCs w:val="20"/>
              </w:rPr>
              <w:t>203472_10</w:t>
            </w:r>
          </w:p>
        </w:tc>
        <w:tc>
          <w:tcPr>
            <w:tcW w:w="0" w:type="auto"/>
            <w:shd w:val="clear" w:color="auto" w:fill="auto"/>
            <w:noWrap/>
            <w:vAlign w:val="center"/>
          </w:tcPr>
          <w:p w14:paraId="073F1F4C" w14:textId="77777777" w:rsidR="00F97B66" w:rsidRPr="00C44E1D" w:rsidRDefault="00F97B6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4,792</w:t>
            </w:r>
          </w:p>
        </w:tc>
        <w:tc>
          <w:tcPr>
            <w:tcW w:w="0" w:type="auto"/>
            <w:shd w:val="clear" w:color="auto" w:fill="auto"/>
            <w:noWrap/>
            <w:vAlign w:val="center"/>
          </w:tcPr>
          <w:p w14:paraId="1BA0537E" w14:textId="77777777" w:rsidR="00F97B66" w:rsidRPr="00C44E1D" w:rsidRDefault="00F97B6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641</w:t>
            </w:r>
          </w:p>
        </w:tc>
        <w:tc>
          <w:tcPr>
            <w:tcW w:w="0" w:type="auto"/>
            <w:shd w:val="clear" w:color="auto" w:fill="auto"/>
            <w:noWrap/>
            <w:vAlign w:val="center"/>
          </w:tcPr>
          <w:p w14:paraId="70AFDB0B" w14:textId="77777777" w:rsidR="00F97B66" w:rsidRPr="00C44E1D" w:rsidRDefault="00F97B6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642</w:t>
            </w:r>
          </w:p>
        </w:tc>
      </w:tr>
      <w:tr w:rsidR="00F97B66" w:rsidRPr="00C44E1D" w14:paraId="7E0340F4" w14:textId="77777777" w:rsidTr="00721B09">
        <w:tc>
          <w:tcPr>
            <w:tcW w:w="0" w:type="auto"/>
            <w:shd w:val="clear" w:color="auto" w:fill="auto"/>
            <w:vAlign w:val="center"/>
          </w:tcPr>
          <w:p w14:paraId="4C969C43" w14:textId="77777777" w:rsidR="00F97B66" w:rsidRDefault="00F97B66" w:rsidP="00721B09">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2</w:t>
            </w:r>
          </w:p>
        </w:tc>
        <w:tc>
          <w:tcPr>
            <w:tcW w:w="0" w:type="auto"/>
            <w:shd w:val="clear" w:color="auto" w:fill="auto"/>
            <w:noWrap/>
          </w:tcPr>
          <w:p w14:paraId="48F58C0F" w14:textId="77777777" w:rsidR="00F97B66" w:rsidRPr="003158C1" w:rsidRDefault="00F97B66" w:rsidP="00721B09">
            <w:pPr>
              <w:spacing w:after="0"/>
              <w:jc w:val="right"/>
              <w:rPr>
                <w:rFonts w:ascii="Arial Narrow" w:eastAsia="Times New Roman" w:hAnsi="Arial Narrow" w:cs="Times New Roman"/>
                <w:color w:val="000000"/>
                <w:sz w:val="20"/>
                <w:szCs w:val="20"/>
              </w:rPr>
            </w:pPr>
            <w:r w:rsidRPr="003158C1">
              <w:rPr>
                <w:rFonts w:ascii="Arial Narrow" w:hAnsi="Arial Narrow"/>
                <w:sz w:val="20"/>
                <w:szCs w:val="20"/>
              </w:rPr>
              <w:t>203472_10</w:t>
            </w:r>
          </w:p>
        </w:tc>
        <w:tc>
          <w:tcPr>
            <w:tcW w:w="0" w:type="auto"/>
            <w:shd w:val="clear" w:color="auto" w:fill="auto"/>
            <w:noWrap/>
            <w:vAlign w:val="center"/>
          </w:tcPr>
          <w:p w14:paraId="0F0AED80" w14:textId="77777777" w:rsidR="00F97B66" w:rsidRPr="00C44E1D" w:rsidRDefault="00F97B6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4,761</w:t>
            </w:r>
          </w:p>
        </w:tc>
        <w:tc>
          <w:tcPr>
            <w:tcW w:w="0" w:type="auto"/>
            <w:shd w:val="clear" w:color="auto" w:fill="auto"/>
            <w:noWrap/>
            <w:vAlign w:val="center"/>
          </w:tcPr>
          <w:p w14:paraId="3145F701" w14:textId="77777777" w:rsidR="00F97B66" w:rsidRPr="00C44E1D" w:rsidRDefault="00F97B6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688</w:t>
            </w:r>
          </w:p>
        </w:tc>
        <w:tc>
          <w:tcPr>
            <w:tcW w:w="0" w:type="auto"/>
            <w:shd w:val="clear" w:color="auto" w:fill="auto"/>
            <w:noWrap/>
            <w:vAlign w:val="center"/>
          </w:tcPr>
          <w:p w14:paraId="6421C158" w14:textId="77777777" w:rsidR="00F97B66" w:rsidRPr="00C44E1D" w:rsidRDefault="00F97B6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668</w:t>
            </w:r>
          </w:p>
        </w:tc>
      </w:tr>
      <w:tr w:rsidR="00F97B66" w:rsidRPr="00C44E1D" w14:paraId="55AF8363" w14:textId="77777777" w:rsidTr="00721B09">
        <w:tc>
          <w:tcPr>
            <w:tcW w:w="0" w:type="auto"/>
            <w:shd w:val="clear" w:color="auto" w:fill="auto"/>
            <w:vAlign w:val="center"/>
          </w:tcPr>
          <w:p w14:paraId="5DDFD7BC" w14:textId="77777777" w:rsidR="00F97B66" w:rsidRDefault="00F97B66" w:rsidP="00721B09">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3</w:t>
            </w:r>
          </w:p>
        </w:tc>
        <w:tc>
          <w:tcPr>
            <w:tcW w:w="0" w:type="auto"/>
            <w:shd w:val="clear" w:color="auto" w:fill="auto"/>
            <w:noWrap/>
          </w:tcPr>
          <w:p w14:paraId="6F643451" w14:textId="77777777" w:rsidR="00F97B66" w:rsidRPr="003158C1" w:rsidRDefault="00F97B66" w:rsidP="00721B09">
            <w:pPr>
              <w:spacing w:after="0"/>
              <w:jc w:val="right"/>
              <w:rPr>
                <w:rFonts w:ascii="Arial Narrow" w:eastAsia="Times New Roman" w:hAnsi="Arial Narrow" w:cs="Times New Roman"/>
                <w:color w:val="000000"/>
                <w:sz w:val="20"/>
                <w:szCs w:val="20"/>
              </w:rPr>
            </w:pPr>
            <w:r w:rsidRPr="003158C1">
              <w:rPr>
                <w:rFonts w:ascii="Arial Narrow" w:hAnsi="Arial Narrow"/>
                <w:sz w:val="20"/>
                <w:szCs w:val="20"/>
              </w:rPr>
              <w:t>203472_10</w:t>
            </w:r>
          </w:p>
        </w:tc>
        <w:tc>
          <w:tcPr>
            <w:tcW w:w="0" w:type="auto"/>
            <w:shd w:val="clear" w:color="auto" w:fill="auto"/>
            <w:noWrap/>
            <w:vAlign w:val="center"/>
          </w:tcPr>
          <w:p w14:paraId="7237EC47" w14:textId="77777777" w:rsidR="00F97B66" w:rsidRPr="00C44E1D" w:rsidRDefault="00F97B6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8,629</w:t>
            </w:r>
          </w:p>
        </w:tc>
        <w:tc>
          <w:tcPr>
            <w:tcW w:w="0" w:type="auto"/>
            <w:shd w:val="clear" w:color="auto" w:fill="auto"/>
            <w:noWrap/>
            <w:vAlign w:val="center"/>
          </w:tcPr>
          <w:p w14:paraId="66704C83" w14:textId="77777777" w:rsidR="00F97B66" w:rsidRPr="00C44E1D" w:rsidRDefault="00F97B6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1,126</w:t>
            </w:r>
          </w:p>
        </w:tc>
        <w:tc>
          <w:tcPr>
            <w:tcW w:w="0" w:type="auto"/>
            <w:shd w:val="clear" w:color="auto" w:fill="auto"/>
            <w:noWrap/>
            <w:vAlign w:val="center"/>
          </w:tcPr>
          <w:p w14:paraId="7D342D01" w14:textId="77777777" w:rsidR="00F97B66" w:rsidRPr="00C44E1D" w:rsidRDefault="00F97B6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1,070</w:t>
            </w:r>
          </w:p>
        </w:tc>
      </w:tr>
      <w:tr w:rsidR="00F97B66" w:rsidRPr="00C44E1D" w14:paraId="09E01B19" w14:textId="77777777" w:rsidTr="00721B09">
        <w:tc>
          <w:tcPr>
            <w:tcW w:w="0" w:type="auto"/>
            <w:shd w:val="clear" w:color="auto" w:fill="auto"/>
            <w:vAlign w:val="center"/>
          </w:tcPr>
          <w:p w14:paraId="495048E7" w14:textId="77777777" w:rsidR="00F97B66" w:rsidRDefault="00F97B66" w:rsidP="00721B09">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4</w:t>
            </w:r>
          </w:p>
        </w:tc>
        <w:tc>
          <w:tcPr>
            <w:tcW w:w="0" w:type="auto"/>
            <w:shd w:val="clear" w:color="auto" w:fill="auto"/>
            <w:noWrap/>
          </w:tcPr>
          <w:p w14:paraId="28099AE3" w14:textId="77777777" w:rsidR="00F97B66" w:rsidRPr="003158C1" w:rsidRDefault="00F97B66" w:rsidP="00721B09">
            <w:pPr>
              <w:spacing w:after="0"/>
              <w:jc w:val="right"/>
              <w:rPr>
                <w:rFonts w:ascii="Arial Narrow" w:hAnsi="Arial Narrow" w:cs="Calibri"/>
                <w:color w:val="000000"/>
                <w:sz w:val="20"/>
                <w:szCs w:val="20"/>
              </w:rPr>
            </w:pPr>
            <w:r w:rsidRPr="003158C1">
              <w:rPr>
                <w:rFonts w:ascii="Arial Narrow" w:hAnsi="Arial Narrow"/>
                <w:sz w:val="20"/>
                <w:szCs w:val="20"/>
              </w:rPr>
              <w:t>203472_10</w:t>
            </w:r>
          </w:p>
        </w:tc>
        <w:tc>
          <w:tcPr>
            <w:tcW w:w="0" w:type="auto"/>
            <w:shd w:val="clear" w:color="auto" w:fill="auto"/>
            <w:noWrap/>
            <w:vAlign w:val="center"/>
          </w:tcPr>
          <w:p w14:paraId="1387CF8F" w14:textId="77777777" w:rsidR="00F97B66" w:rsidRDefault="00F97B66" w:rsidP="00721B09">
            <w:pPr>
              <w:spacing w:after="0"/>
              <w:jc w:val="right"/>
              <w:rPr>
                <w:rFonts w:ascii="Arial Narrow" w:hAnsi="Arial Narrow" w:cs="Calibri"/>
                <w:color w:val="000000"/>
                <w:sz w:val="20"/>
                <w:szCs w:val="20"/>
              </w:rPr>
            </w:pPr>
            <w:r>
              <w:rPr>
                <w:rFonts w:ascii="Arial Narrow" w:hAnsi="Arial Narrow" w:cs="Calibri"/>
                <w:color w:val="000000"/>
                <w:sz w:val="20"/>
                <w:szCs w:val="20"/>
              </w:rPr>
              <w:t>533</w:t>
            </w:r>
          </w:p>
        </w:tc>
        <w:tc>
          <w:tcPr>
            <w:tcW w:w="0" w:type="auto"/>
            <w:shd w:val="clear" w:color="auto" w:fill="auto"/>
            <w:noWrap/>
            <w:vAlign w:val="center"/>
          </w:tcPr>
          <w:p w14:paraId="5C32534D" w14:textId="77777777" w:rsidR="00F97B66" w:rsidRDefault="00F97B66" w:rsidP="00721B09">
            <w:pPr>
              <w:spacing w:after="0"/>
              <w:jc w:val="right"/>
              <w:rPr>
                <w:rFonts w:ascii="Arial Narrow" w:hAnsi="Arial Narrow" w:cs="Calibri"/>
                <w:color w:val="000000"/>
                <w:sz w:val="20"/>
                <w:szCs w:val="20"/>
              </w:rPr>
            </w:pPr>
            <w:r>
              <w:rPr>
                <w:rFonts w:ascii="Arial Narrow" w:hAnsi="Arial Narrow" w:cs="Calibri"/>
                <w:color w:val="000000"/>
                <w:sz w:val="20"/>
                <w:szCs w:val="20"/>
              </w:rPr>
              <w:t>79</w:t>
            </w:r>
          </w:p>
        </w:tc>
        <w:tc>
          <w:tcPr>
            <w:tcW w:w="0" w:type="auto"/>
            <w:shd w:val="clear" w:color="auto" w:fill="auto"/>
            <w:noWrap/>
            <w:vAlign w:val="center"/>
          </w:tcPr>
          <w:p w14:paraId="11B28D36" w14:textId="77777777" w:rsidR="00F97B66" w:rsidRDefault="00F97B66" w:rsidP="00721B09">
            <w:pPr>
              <w:spacing w:after="0"/>
              <w:jc w:val="right"/>
              <w:rPr>
                <w:rFonts w:ascii="Arial Narrow" w:hAnsi="Arial Narrow" w:cs="Calibri"/>
                <w:color w:val="000000"/>
                <w:sz w:val="20"/>
                <w:szCs w:val="20"/>
              </w:rPr>
            </w:pPr>
            <w:r>
              <w:rPr>
                <w:rFonts w:ascii="Arial Narrow" w:hAnsi="Arial Narrow" w:cs="Calibri"/>
                <w:color w:val="000000"/>
                <w:sz w:val="20"/>
                <w:szCs w:val="20"/>
              </w:rPr>
              <w:t>73</w:t>
            </w:r>
          </w:p>
        </w:tc>
      </w:tr>
    </w:tbl>
    <w:p w14:paraId="757C56AF" w14:textId="77777777" w:rsidR="00F97B66" w:rsidRDefault="00F97B66" w:rsidP="00F97B66">
      <w:pPr>
        <w:rPr>
          <w:rFonts w:eastAsia="Calibri"/>
        </w:rPr>
      </w:pPr>
    </w:p>
    <w:p w14:paraId="3E167827" w14:textId="77777777" w:rsidR="00F97B66" w:rsidRPr="00C44E1D" w:rsidRDefault="00F97B66" w:rsidP="00F97B66">
      <w:pPr>
        <w:rPr>
          <w:rFonts w:eastAsia="Calibri" w:cs="Times New Roman"/>
        </w:rPr>
      </w:pPr>
      <w:proofErr w:type="spellStart"/>
      <w:r w:rsidRPr="00C44E1D">
        <w:rPr>
          <w:rFonts w:eastAsia="Calibri"/>
        </w:rPr>
        <w:t>Nat</w:t>
      </w:r>
      <w:r>
        <w:rPr>
          <w:rFonts w:eastAsia="Calibri"/>
        </w:rPr>
        <w:t>Avg</w:t>
      </w:r>
      <w:r w:rsidRPr="00C44E1D">
        <w:rPr>
          <w:rFonts w:eastAsia="Calibri"/>
        </w:rPr>
        <w:t>Obs</w:t>
      </w:r>
      <w:proofErr w:type="spellEnd"/>
      <w:r w:rsidRPr="00C44E1D">
        <w:rPr>
          <w:rFonts w:eastAsia="Calibri"/>
        </w:rPr>
        <w:t xml:space="preserve"> = </w:t>
      </w:r>
      <m:oMath>
        <m:r>
          <m:rPr>
            <m:nor/>
          </m:rPr>
          <w:rPr>
            <w:rFonts w:eastAsia="Calibri"/>
          </w:rPr>
          <m:t>Average</m:t>
        </m:r>
        <m:d>
          <m:dPr>
            <m:ctrlPr>
              <w:rPr>
                <w:rFonts w:ascii="Cambria Math" w:eastAsia="Calibri" w:hAnsi="Cambria Math"/>
              </w:rPr>
            </m:ctrlPr>
          </m:dPr>
          <m:e>
            <m:d>
              <m:dPr>
                <m:ctrlPr>
                  <w:rPr>
                    <w:rFonts w:ascii="Cambria Math" w:eastAsia="Calibri" w:hAnsi="Cambria Math"/>
                  </w:rPr>
                </m:ctrlPr>
              </m:dPr>
              <m:e>
                <m:f>
                  <m:fPr>
                    <m:ctrlPr>
                      <w:rPr>
                        <w:rFonts w:ascii="Cambria Math" w:eastAsia="Calibri" w:hAnsi="Cambria Math"/>
                      </w:rPr>
                    </m:ctrlPr>
                  </m:fPr>
                  <m:num>
                    <m:r>
                      <m:rPr>
                        <m:nor/>
                      </m:rPr>
                      <w:rPr>
                        <w:rFonts w:eastAsia="Calibri"/>
                      </w:rPr>
                      <m:t xml:space="preserve">641 </m:t>
                    </m:r>
                  </m:num>
                  <m:den>
                    <m:r>
                      <m:rPr>
                        <m:nor/>
                      </m:rPr>
                      <w:rPr>
                        <w:rFonts w:eastAsia="Calibri"/>
                      </w:rPr>
                      <m:t>4</m:t>
                    </m:r>
                    <m:r>
                      <m:rPr>
                        <m:nor/>
                      </m:rPr>
                      <w:rPr>
                        <w:rFonts w:ascii="Cambria Math" w:eastAsia="Calibri"/>
                      </w:rPr>
                      <m:t>,</m:t>
                    </m:r>
                    <m:r>
                      <m:rPr>
                        <m:nor/>
                      </m:rPr>
                      <w:rPr>
                        <w:rFonts w:eastAsia="Calibri"/>
                      </w:rPr>
                      <m:t>792</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688</m:t>
                    </m:r>
                  </m:num>
                  <m:den>
                    <m:r>
                      <m:rPr>
                        <m:nor/>
                      </m:rPr>
                      <w:rPr>
                        <w:rFonts w:eastAsia="Calibri"/>
                      </w:rPr>
                      <m:t>4,761</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1,126</m:t>
                    </m:r>
                  </m:num>
                  <m:den>
                    <m:r>
                      <m:rPr>
                        <m:nor/>
                      </m:rPr>
                      <w:rPr>
                        <w:rFonts w:eastAsia="Calibri"/>
                      </w:rPr>
                      <m:t>8,629</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79</m:t>
                    </m:r>
                  </m:num>
                  <m:den>
                    <m:r>
                      <m:rPr>
                        <m:nor/>
                      </m:rPr>
                      <w:rPr>
                        <w:rFonts w:eastAsia="Calibri"/>
                      </w:rPr>
                      <m:t>533</m:t>
                    </m:r>
                  </m:den>
                </m:f>
              </m:e>
            </m:d>
          </m:e>
        </m:d>
      </m:oMath>
    </w:p>
    <w:p w14:paraId="7F0C3E51" w14:textId="77777777" w:rsidR="00F97B66" w:rsidRPr="00C44E1D" w:rsidRDefault="00F97B66" w:rsidP="00F97B66">
      <w:pPr>
        <w:rPr>
          <w:rFonts w:ascii="Cambria Math" w:eastAsia="Calibri" w:hAnsi="Cambria Math"/>
          <w:oMath/>
        </w:rPr>
      </w:pPr>
      <w:proofErr w:type="spellStart"/>
      <w:r w:rsidRPr="00C44E1D">
        <w:rPr>
          <w:rFonts w:eastAsia="Calibri"/>
        </w:rPr>
        <w:t>Nat</w:t>
      </w:r>
      <w:r>
        <w:rPr>
          <w:rFonts w:eastAsia="Calibri"/>
        </w:rPr>
        <w:t>AvgObs</w:t>
      </w:r>
      <w:proofErr w:type="spellEnd"/>
      <w:r w:rsidRPr="00C44E1D">
        <w:rPr>
          <w:rFonts w:eastAsia="Calibri"/>
        </w:rPr>
        <w:t xml:space="preserve"> = </w:t>
      </w:r>
      <m:oMath>
        <m:r>
          <m:rPr>
            <m:nor/>
          </m:rPr>
          <w:rPr>
            <w:rFonts w:eastAsia="Calibri"/>
          </w:rPr>
          <m:t xml:space="preserve">Average </m:t>
        </m:r>
        <m:d>
          <m:dPr>
            <m:ctrlPr>
              <w:rPr>
                <w:rFonts w:ascii="Cambria Math" w:eastAsia="Calibri" w:hAnsi="Cambria Math"/>
              </w:rPr>
            </m:ctrlPr>
          </m:dPr>
          <m:e>
            <m:d>
              <m:dPr>
                <m:ctrlPr>
                  <w:rPr>
                    <w:rFonts w:ascii="Cambria Math" w:eastAsia="Calibri" w:hAnsi="Cambria Math"/>
                  </w:rPr>
                </m:ctrlPr>
              </m:dPr>
              <m:e>
                <m:r>
                  <m:rPr>
                    <m:nor/>
                  </m:rPr>
                  <w:rPr>
                    <w:rFonts w:eastAsia="Calibri"/>
                  </w:rPr>
                  <m:t>0.13376</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0.14451</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0.13049</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0.14822</m:t>
                </m:r>
              </m:e>
            </m:d>
          </m:e>
        </m:d>
      </m:oMath>
    </w:p>
    <w:p w14:paraId="13BF9494" w14:textId="77777777" w:rsidR="00F97B66" w:rsidRDefault="00F97B66" w:rsidP="00F97B66">
      <w:pPr>
        <w:rPr>
          <w:rFonts w:eastAsia="Calibri"/>
        </w:rPr>
      </w:pPr>
      <w:r>
        <w:rPr>
          <w:rFonts w:eastAsia="Calibri"/>
        </w:rPr>
        <w:t>NatAvgObs</w:t>
      </w:r>
      <w:r w:rsidRPr="00C44E1D">
        <w:rPr>
          <w:rFonts w:eastAsia="Calibri"/>
        </w:rPr>
        <w:t xml:space="preserve"> = </w:t>
      </w:r>
      <w:r>
        <w:rPr>
          <w:rFonts w:eastAsia="Calibri"/>
        </w:rPr>
        <w:t>0</w:t>
      </w:r>
      <w:r w:rsidRPr="00C44E1D">
        <w:rPr>
          <w:rFonts w:eastAsia="Calibri"/>
        </w:rPr>
        <w:t>.139245</w:t>
      </w:r>
    </w:p>
    <w:p w14:paraId="37B39BA7" w14:textId="77777777" w:rsidR="00F97B66" w:rsidRDefault="00F97B66" w:rsidP="00F97B66">
      <w:pPr>
        <w:pStyle w:val="Normal-Formula"/>
        <w:spacing w:before="120" w:after="120"/>
      </w:pPr>
      <w:r>
        <w:t xml:space="preserve">Final Rate Contract 1 = </w:t>
      </w:r>
      <m:oMath>
        <m:d>
          <m:dPr>
            <m:ctrlPr>
              <w:rPr>
                <w:rFonts w:ascii="Cambria Math" w:hAnsi="Cambria Math"/>
                <w:i/>
              </w:rPr>
            </m:ctrlPr>
          </m:dPr>
          <m:e>
            <m:d>
              <m:dPr>
                <m:ctrlPr>
                  <w:rPr>
                    <w:rFonts w:ascii="Cambria Math" w:hAnsi="Cambria Math"/>
                    <w:i/>
                  </w:rPr>
                </m:ctrlPr>
              </m:dPr>
              <m:e>
                <m:f>
                  <m:fPr>
                    <m:ctrlPr>
                      <w:rPr>
                        <w:rFonts w:ascii="Cambria Math" w:hAnsi="Cambria Math"/>
                        <w:i/>
                      </w:rPr>
                    </m:ctrlPr>
                  </m:fPr>
                  <m:num>
                    <m:r>
                      <m:rPr>
                        <m:nor/>
                      </m:rPr>
                      <m:t>641</m:t>
                    </m:r>
                  </m:num>
                  <m:den>
                    <m:r>
                      <m:rPr>
                        <m:nor/>
                      </m:rPr>
                      <m:t>642</m:t>
                    </m:r>
                  </m:den>
                </m:f>
              </m:e>
            </m:d>
            <m:r>
              <m:rPr>
                <m:nor/>
              </m:rPr>
              <m:t xml:space="preserve"> × .139245</m:t>
            </m:r>
          </m:e>
        </m:d>
        <m:r>
          <m:rPr>
            <m:nor/>
          </m:rPr>
          <m:t xml:space="preserve"> x 1000 = </m:t>
        </m:r>
        <m:r>
          <m:rPr>
            <m:nor/>
          </m:rPr>
          <w:rPr>
            <w:rFonts w:eastAsiaTheme="minorEastAsia"/>
          </w:rPr>
          <m:t>139.028</m:t>
        </m:r>
      </m:oMath>
    </w:p>
    <w:p w14:paraId="00671DC1" w14:textId="77777777" w:rsidR="00F97B66" w:rsidRDefault="00F97B66" w:rsidP="00F97B66">
      <w:pPr>
        <w:pStyle w:val="Normal-Formula"/>
        <w:spacing w:before="120" w:after="120"/>
      </w:pPr>
      <w:r>
        <w:t>Final Rate reported for Contract 1 = 139</w:t>
      </w:r>
    </w:p>
    <w:p w14:paraId="267B41F1" w14:textId="3A095A73" w:rsidR="006438CB" w:rsidRPr="00DD7B93" w:rsidRDefault="006438CB" w:rsidP="00F97B66">
      <w:pPr>
        <w:pStyle w:val="AttachmentTitle"/>
        <w:spacing w:after="120"/>
        <w:rPr>
          <w:rFonts w:eastAsiaTheme="minorEastAsia"/>
        </w:rPr>
      </w:pPr>
    </w:p>
    <w:bookmarkEnd w:id="2"/>
    <w:p w14:paraId="619D7452" w14:textId="77777777" w:rsidR="001B5FEC" w:rsidRPr="00DD7B93" w:rsidRDefault="001B5FEC" w:rsidP="001B5FEC">
      <w:pPr>
        <w:spacing w:line="276" w:lineRule="auto"/>
        <w:rPr>
          <w:rFonts w:eastAsia="Batang"/>
          <w:b/>
          <w:bCs/>
          <w:szCs w:val="24"/>
          <w:lang w:eastAsia="ko-KR"/>
        </w:rPr>
      </w:pPr>
      <w:r w:rsidRPr="00DD7B93">
        <w:br w:type="page"/>
      </w:r>
    </w:p>
    <w:p w14:paraId="7CD09439" w14:textId="77777777" w:rsidR="00F97B66" w:rsidRDefault="00F97B66" w:rsidP="00F97B66">
      <w:pPr>
        <w:pStyle w:val="AttachmentTitle"/>
        <w:spacing w:after="120"/>
      </w:pPr>
      <w:r>
        <w:lastRenderedPageBreak/>
        <w:t>Calculating Measure 2021 HPC: Hospitalization for Potentially Preventable Complications – Acute ACSC (M/F Total)</w:t>
      </w:r>
    </w:p>
    <w:p w14:paraId="1EB33511" w14:textId="4C1DCD96" w:rsidR="00F97B66" w:rsidRDefault="00F97B66" w:rsidP="00F97B66">
      <w:r w:rsidRPr="00CF20FE">
        <w:t xml:space="preserve">All </w:t>
      </w:r>
      <w:r>
        <w:t xml:space="preserve">data </w:t>
      </w:r>
      <w:r>
        <w:t xml:space="preserve">can be looked up by </w:t>
      </w:r>
      <w:proofErr w:type="spellStart"/>
      <w:r>
        <w:t>IndicatorKey</w:t>
      </w:r>
      <w:proofErr w:type="spellEnd"/>
      <w:r>
        <w:t xml:space="preserve"> (row) and Variable name (column).</w:t>
      </w:r>
    </w:p>
    <w:p w14:paraId="5C079E2C" w14:textId="77777777" w:rsidR="00F97B66" w:rsidRDefault="00F97B66" w:rsidP="00F97B66">
      <w:r>
        <w:t xml:space="preserve">The calculations below use the </w:t>
      </w:r>
      <w:proofErr w:type="spellStart"/>
      <w:r>
        <w:t>NonOutlierMemberCount</w:t>
      </w:r>
      <w:proofErr w:type="spellEnd"/>
      <w:r>
        <w:t xml:space="preserve">, </w:t>
      </w:r>
      <w:proofErr w:type="spellStart"/>
      <w:r>
        <w:t>ObservedCount</w:t>
      </w:r>
      <w:proofErr w:type="spellEnd"/>
      <w:r>
        <w:t xml:space="preserve"> and </w:t>
      </w:r>
      <w:proofErr w:type="spellStart"/>
      <w:r>
        <w:t>ExpectedCount</w:t>
      </w:r>
      <w:proofErr w:type="spellEnd"/>
      <w:r>
        <w:t xml:space="preserve"> values from the HPC Acute ACSC (M/F Total) indicator (</w:t>
      </w:r>
      <w:proofErr w:type="spellStart"/>
      <w:r>
        <w:t>IndicatorKey</w:t>
      </w:r>
      <w:proofErr w:type="spellEnd"/>
      <w:r>
        <w:t xml:space="preserve"> = </w:t>
      </w:r>
      <w:r w:rsidRPr="00121821">
        <w:t>201243_20</w:t>
      </w:r>
      <w:r>
        <w:t>).</w:t>
      </w:r>
    </w:p>
    <w:p w14:paraId="2B4BE563" w14:textId="77777777" w:rsidR="00F97B66" w:rsidRDefault="00F97B66" w:rsidP="00F97B66">
      <w:r>
        <w:t>For each contract, calculate the Acute ACSC (M/F Total) Observed-over-Expected Ratio (OE):</w:t>
      </w:r>
    </w:p>
    <w:p w14:paraId="19ABD3EB" w14:textId="77777777" w:rsidR="00F97B66" w:rsidRDefault="00F97B66" w:rsidP="00F97B66">
      <w:pPr>
        <w:ind w:firstLine="720"/>
      </w:pPr>
      <w:r>
        <w:t xml:space="preserve">OE = </w:t>
      </w:r>
      <m:oMath>
        <m:d>
          <m:dPr>
            <m:ctrlPr>
              <w:rPr>
                <w:rFonts w:ascii="Cambria Math" w:hAnsi="Cambria Math"/>
                <w:sz w:val="28"/>
                <w:szCs w:val="28"/>
              </w:rPr>
            </m:ctrlPr>
          </m:dPr>
          <m:e>
            <m:f>
              <m:fPr>
                <m:ctrlPr>
                  <w:rPr>
                    <w:rFonts w:ascii="Cambria Math" w:hAnsi="Cambria Math"/>
                    <w:sz w:val="28"/>
                    <w:szCs w:val="28"/>
                  </w:rPr>
                </m:ctrlPr>
              </m:fPr>
              <m:num>
                <w:proofErr w:type="spellStart"/>
                <m:r>
                  <m:rPr>
                    <m:nor/>
                  </m:rPr>
                  <w:rPr>
                    <w:sz w:val="28"/>
                    <w:szCs w:val="28"/>
                  </w:rPr>
                  <m:t>ObservedCount</m:t>
                </m:r>
                <w:proofErr w:type="spellEnd"/>
              </m:num>
              <m:den>
                <w:proofErr w:type="spellStart"/>
                <m:r>
                  <m:rPr>
                    <m:nor/>
                  </m:rPr>
                  <w:rPr>
                    <w:sz w:val="28"/>
                    <w:szCs w:val="28"/>
                  </w:rPr>
                  <m:t>ExpectedCount</m:t>
                </m:r>
                <w:proofErr w:type="spellEnd"/>
              </m:den>
            </m:f>
          </m:e>
        </m:d>
      </m:oMath>
    </w:p>
    <w:p w14:paraId="6FEDA6C0" w14:textId="77777777" w:rsidR="00F97B66" w:rsidRDefault="00F97B66" w:rsidP="00F97B66">
      <w:r>
        <w:t>Calculate the national average of the Acute ACSC (M/F Total) Observed Rate:</w:t>
      </w:r>
    </w:p>
    <w:p w14:paraId="0B22FF6D" w14:textId="77777777" w:rsidR="00F97B66" w:rsidRDefault="00F97B66" w:rsidP="00F97B66">
      <w:pPr>
        <w:pStyle w:val="Normal-Formula"/>
        <w:spacing w:before="120"/>
        <w:ind w:firstLine="720"/>
      </w:pPr>
      <w:proofErr w:type="spellStart"/>
      <w:r w:rsidRPr="00301E67">
        <w:t>NatAvgObs</w:t>
      </w:r>
      <w:proofErr w:type="spellEnd"/>
      <w:r w:rsidRPr="00301E67">
        <w:t xml:space="preserve"> = </w:t>
      </w:r>
      <m:oMath>
        <m:r>
          <m:rPr>
            <m:nor/>
          </m:rPr>
          <m:t>Average</m:t>
        </m:r>
        <m:d>
          <m:dPr>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w:proofErr w:type="spellStart"/>
                        <m:r>
                          <m:rPr>
                            <m:nor/>
                          </m:rPr>
                          <m:t>ObservedCount</m:t>
                        </m:r>
                        <w:proofErr w:type="spellEnd"/>
                      </m:e>
                      <m:sub>
                        <m:r>
                          <m:rPr>
                            <m:nor/>
                          </m:rPr>
                          <m:t>1</m:t>
                        </m:r>
                      </m:sub>
                    </m:sSub>
                  </m:num>
                  <m:den>
                    <m:sSub>
                      <m:sSubPr>
                        <m:ctrlPr>
                          <w:rPr>
                            <w:rFonts w:ascii="Cambria Math" w:hAnsi="Cambria Math"/>
                          </w:rPr>
                        </m:ctrlPr>
                      </m:sSubPr>
                      <m:e>
                        <w:proofErr w:type="spellStart"/>
                        <m:r>
                          <m:rPr>
                            <m:nor/>
                          </m:rPr>
                          <m:t>NonOutlierMemberCount</m:t>
                        </m:r>
                        <w:proofErr w:type="spellEnd"/>
                      </m:e>
                      <m:sub>
                        <m:r>
                          <m:rPr>
                            <m:nor/>
                          </m:rPr>
                          <m:t>1</m:t>
                        </m:r>
                      </m:sub>
                    </m:sSub>
                  </m:den>
                </m:f>
              </m:e>
            </m:d>
            <m:r>
              <m:rPr>
                <m:nor/>
              </m:rPr>
              <m:t xml:space="preserve"> + … +</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w:proofErr w:type="spellStart"/>
                        <m:r>
                          <m:rPr>
                            <m:nor/>
                          </m:rPr>
                          <m:t>ObservedCount</m:t>
                        </m:r>
                        <w:proofErr w:type="spellEnd"/>
                      </m:e>
                      <m:sub>
                        <m:r>
                          <m:rPr>
                            <m:nor/>
                          </m:rPr>
                          <m:t>n</m:t>
                        </m:r>
                      </m:sub>
                    </m:sSub>
                  </m:num>
                  <m:den>
                    <m:sSub>
                      <m:sSubPr>
                        <m:ctrlPr>
                          <w:rPr>
                            <w:rFonts w:ascii="Cambria Math" w:hAnsi="Cambria Math"/>
                          </w:rPr>
                        </m:ctrlPr>
                      </m:sSubPr>
                      <m:e>
                        <w:proofErr w:type="spellStart"/>
                        <m:r>
                          <m:rPr>
                            <m:nor/>
                          </m:rPr>
                          <m:t>NonOutlierMemberCount</m:t>
                        </m:r>
                        <w:proofErr w:type="spellEnd"/>
                      </m:e>
                      <m:sub>
                        <m:r>
                          <m:rPr>
                            <m:nor/>
                          </m:rPr>
                          <m:t>n</m:t>
                        </m:r>
                      </m:sub>
                    </m:sSub>
                  </m:den>
                </m:f>
              </m:e>
            </m:d>
          </m:e>
        </m:d>
      </m:oMath>
    </w:p>
    <w:p w14:paraId="58ADACD2" w14:textId="77777777" w:rsidR="00F97B66" w:rsidRPr="001F52D8" w:rsidRDefault="00F97B66" w:rsidP="00F97B66">
      <w:r>
        <w:t>W</w:t>
      </w:r>
      <w:r w:rsidRPr="00301E67">
        <w:t xml:space="preserve">here 1 through n are all </w:t>
      </w:r>
      <w:r w:rsidRPr="00D208DD">
        <w:t xml:space="preserve">contracts with </w:t>
      </w:r>
      <w:r>
        <w:t xml:space="preserve">an Acute ACSC (M/F Total) </w:t>
      </w:r>
      <w:proofErr w:type="spellStart"/>
      <w:r>
        <w:t>NonOutlierMemberCount</w:t>
      </w:r>
      <w:proofErr w:type="spellEnd"/>
      <w:r w:rsidRPr="00D208DD">
        <w:t xml:space="preserve"> </w:t>
      </w:r>
      <w:r>
        <w:t>larger than or equal to</w:t>
      </w:r>
      <w:r w:rsidRPr="00D208DD">
        <w:t xml:space="preserve"> 150</w:t>
      </w:r>
      <w:r>
        <w:t>, and an Acute ACSC (M/F Total) OE larger than or equal to 0.2 and less than or equal to 5.0.</w:t>
      </w:r>
    </w:p>
    <w:p w14:paraId="19CBE549" w14:textId="77777777" w:rsidR="00F97B66" w:rsidRDefault="00F97B66" w:rsidP="00F97B66">
      <w:pPr>
        <w:rPr>
          <w:szCs w:val="20"/>
        </w:rPr>
      </w:pPr>
      <w:r>
        <w:rPr>
          <w:szCs w:val="20"/>
        </w:rPr>
        <w:t>For each contract, calculate the Final Rate and convert to percentages:</w:t>
      </w:r>
    </w:p>
    <w:p w14:paraId="3E27D1B3" w14:textId="77777777" w:rsidR="00F97B66" w:rsidRDefault="00F97B66" w:rsidP="00F97B66">
      <w:pPr>
        <w:pStyle w:val="Normal-Formula"/>
        <w:spacing w:before="120" w:after="120"/>
        <w:ind w:firstLine="720"/>
      </w:pPr>
      <w:r>
        <w:rPr>
          <w:szCs w:val="20"/>
        </w:rPr>
        <w:t>Final</w:t>
      </w:r>
      <w:r w:rsidRPr="00301E67">
        <w:rPr>
          <w:szCs w:val="20"/>
        </w:rPr>
        <w:t xml:space="preserve"> Rate =</w:t>
      </w:r>
      <w:r>
        <w:t xml:space="preserve"> </w:t>
      </w:r>
      <m:oMath>
        <m:r>
          <m:rPr>
            <m:nor/>
          </m:rPr>
          <m:t xml:space="preserve">OE x </m:t>
        </m:r>
        <w:proofErr w:type="spellStart"/>
        <m:r>
          <m:rPr>
            <m:nor/>
          </m:rPr>
          <m:t>NatAvgObs</m:t>
        </m:r>
        <w:proofErr w:type="spellEnd"/>
        <m:r>
          <m:rPr>
            <m:nor/>
          </m:rPr>
          <m:t xml:space="preserve"> x 1000 </m:t>
        </m:r>
      </m:oMath>
    </w:p>
    <w:p w14:paraId="18A49200" w14:textId="77777777" w:rsidR="00F97B66" w:rsidRDefault="00F97B66" w:rsidP="00F97B66">
      <w:pPr>
        <w:pStyle w:val="Normal-Formula"/>
        <w:spacing w:before="120" w:after="120"/>
      </w:pPr>
      <w:r>
        <w:t>And round to the nearest integer.</w:t>
      </w:r>
    </w:p>
    <w:p w14:paraId="7C81D8E5" w14:textId="77777777" w:rsidR="00F97B66" w:rsidRDefault="00F97B66" w:rsidP="00F97B66"/>
    <w:p w14:paraId="4946C7A5" w14:textId="77777777" w:rsidR="00F97B66" w:rsidRPr="00C44E1D" w:rsidRDefault="00F97B66" w:rsidP="00F97B66">
      <w:pPr>
        <w:rPr>
          <w:rFonts w:eastAsia="Calibri"/>
        </w:rPr>
      </w:pPr>
      <w:r w:rsidRPr="00C44E1D">
        <w:rPr>
          <w:rFonts w:eastAsia="Calibri"/>
        </w:rPr>
        <w:t>Example: Calculating the final rate for Contract 1</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29" w:type="dxa"/>
          <w:bottom w:w="14" w:type="dxa"/>
          <w:right w:w="29" w:type="dxa"/>
        </w:tblCellMar>
        <w:tblLook w:val="04A0" w:firstRow="1" w:lastRow="0" w:firstColumn="1" w:lastColumn="0" w:noHBand="0" w:noVBand="1"/>
      </w:tblPr>
      <w:tblGrid>
        <w:gridCol w:w="815"/>
        <w:gridCol w:w="1052"/>
        <w:gridCol w:w="2008"/>
        <w:gridCol w:w="1289"/>
        <w:gridCol w:w="1261"/>
      </w:tblGrid>
      <w:tr w:rsidR="00F97B66" w:rsidRPr="00C44E1D" w14:paraId="2DBC6828" w14:textId="77777777" w:rsidTr="00721B09">
        <w:tc>
          <w:tcPr>
            <w:tcW w:w="0" w:type="auto"/>
            <w:shd w:val="clear" w:color="000000" w:fill="BFBFBF"/>
            <w:vAlign w:val="center"/>
            <w:hideMark/>
          </w:tcPr>
          <w:p w14:paraId="3B65E932" w14:textId="77777777" w:rsidR="00F97B66" w:rsidRPr="00C44E1D" w:rsidRDefault="00F97B66" w:rsidP="00721B09">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Contract</w:t>
            </w:r>
          </w:p>
        </w:tc>
        <w:tc>
          <w:tcPr>
            <w:tcW w:w="0" w:type="auto"/>
            <w:shd w:val="clear" w:color="000000" w:fill="BFBFBF"/>
            <w:noWrap/>
            <w:vAlign w:val="center"/>
            <w:hideMark/>
          </w:tcPr>
          <w:p w14:paraId="4FAFFE5A" w14:textId="77777777" w:rsidR="00F97B66" w:rsidRPr="00C44E1D" w:rsidRDefault="00F97B66" w:rsidP="00721B09">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IndicatorKey</w:t>
            </w:r>
            <w:proofErr w:type="spellEnd"/>
          </w:p>
        </w:tc>
        <w:tc>
          <w:tcPr>
            <w:tcW w:w="0" w:type="auto"/>
            <w:shd w:val="clear" w:color="000000" w:fill="BFBFBF"/>
            <w:vAlign w:val="center"/>
            <w:hideMark/>
          </w:tcPr>
          <w:p w14:paraId="2DBD9EB5" w14:textId="77777777" w:rsidR="00F97B66" w:rsidRPr="00C44E1D" w:rsidRDefault="00F97B66" w:rsidP="00721B09">
            <w:pPr>
              <w:spacing w:after="0"/>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NonOutlierMemberCount</w:t>
            </w:r>
            <w:proofErr w:type="spellEnd"/>
            <w:r>
              <w:rPr>
                <w:rFonts w:ascii="Arial Narrow Bold" w:eastAsia="Times New Roman" w:hAnsi="Arial Narrow Bold" w:cs="Times New Roman"/>
                <w:b/>
                <w:bCs/>
                <w:color w:val="000000"/>
                <w:sz w:val="20"/>
                <w:szCs w:val="20"/>
              </w:rPr>
              <w:t xml:space="preserve"> </w:t>
            </w:r>
          </w:p>
        </w:tc>
        <w:tc>
          <w:tcPr>
            <w:tcW w:w="0" w:type="auto"/>
            <w:shd w:val="clear" w:color="000000" w:fill="BFBFBF"/>
            <w:vAlign w:val="center"/>
            <w:hideMark/>
          </w:tcPr>
          <w:p w14:paraId="5E7E61B0" w14:textId="77777777" w:rsidR="00F97B66" w:rsidRPr="00C44E1D" w:rsidRDefault="00F97B66" w:rsidP="00721B09">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ObservedCount</w:t>
            </w:r>
            <w:proofErr w:type="spellEnd"/>
          </w:p>
        </w:tc>
        <w:tc>
          <w:tcPr>
            <w:tcW w:w="0" w:type="auto"/>
            <w:shd w:val="clear" w:color="000000" w:fill="BFBFBF"/>
            <w:vAlign w:val="center"/>
            <w:hideMark/>
          </w:tcPr>
          <w:p w14:paraId="31769845" w14:textId="77777777" w:rsidR="00F97B66" w:rsidRPr="00C44E1D" w:rsidRDefault="00F97B66" w:rsidP="00721B09">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ExpectedCount</w:t>
            </w:r>
            <w:proofErr w:type="spellEnd"/>
          </w:p>
        </w:tc>
      </w:tr>
      <w:tr w:rsidR="00F97B66" w:rsidRPr="00C44E1D" w14:paraId="4A2E455B" w14:textId="77777777" w:rsidTr="00721B09">
        <w:tc>
          <w:tcPr>
            <w:tcW w:w="0" w:type="auto"/>
            <w:shd w:val="clear" w:color="auto" w:fill="auto"/>
            <w:vAlign w:val="center"/>
          </w:tcPr>
          <w:p w14:paraId="2FF49F3F" w14:textId="77777777" w:rsidR="00F97B66" w:rsidRDefault="00F97B66" w:rsidP="00721B09">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1</w:t>
            </w:r>
          </w:p>
        </w:tc>
        <w:tc>
          <w:tcPr>
            <w:tcW w:w="0" w:type="auto"/>
            <w:shd w:val="clear" w:color="auto" w:fill="auto"/>
            <w:noWrap/>
          </w:tcPr>
          <w:p w14:paraId="568E101F" w14:textId="77777777" w:rsidR="00F97B66" w:rsidRPr="00121821" w:rsidRDefault="00F97B66" w:rsidP="00721B09">
            <w:pPr>
              <w:spacing w:after="0"/>
              <w:jc w:val="right"/>
              <w:rPr>
                <w:rFonts w:ascii="Arial Narrow" w:eastAsia="Times New Roman" w:hAnsi="Arial Narrow" w:cs="Times New Roman"/>
                <w:color w:val="000000"/>
                <w:sz w:val="20"/>
                <w:szCs w:val="20"/>
              </w:rPr>
            </w:pPr>
            <w:r w:rsidRPr="00121821">
              <w:rPr>
                <w:rFonts w:ascii="Arial Narrow" w:hAnsi="Arial Narrow"/>
                <w:sz w:val="20"/>
                <w:szCs w:val="20"/>
              </w:rPr>
              <w:t>201243_20</w:t>
            </w:r>
          </w:p>
        </w:tc>
        <w:tc>
          <w:tcPr>
            <w:tcW w:w="0" w:type="auto"/>
            <w:shd w:val="clear" w:color="auto" w:fill="auto"/>
            <w:noWrap/>
            <w:vAlign w:val="center"/>
          </w:tcPr>
          <w:p w14:paraId="230D661B" w14:textId="77777777" w:rsidR="00F97B66" w:rsidRPr="00C44E1D" w:rsidRDefault="00F97B6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4,792</w:t>
            </w:r>
          </w:p>
        </w:tc>
        <w:tc>
          <w:tcPr>
            <w:tcW w:w="0" w:type="auto"/>
            <w:shd w:val="clear" w:color="auto" w:fill="auto"/>
            <w:noWrap/>
            <w:vAlign w:val="center"/>
          </w:tcPr>
          <w:p w14:paraId="5412E26A" w14:textId="77777777" w:rsidR="00F97B66" w:rsidRPr="00C44E1D" w:rsidRDefault="00F97B6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641</w:t>
            </w:r>
          </w:p>
        </w:tc>
        <w:tc>
          <w:tcPr>
            <w:tcW w:w="0" w:type="auto"/>
            <w:shd w:val="clear" w:color="auto" w:fill="auto"/>
            <w:noWrap/>
            <w:vAlign w:val="center"/>
          </w:tcPr>
          <w:p w14:paraId="7384D6B8" w14:textId="77777777" w:rsidR="00F97B66" w:rsidRPr="00C44E1D" w:rsidRDefault="00F97B6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642</w:t>
            </w:r>
          </w:p>
        </w:tc>
      </w:tr>
      <w:tr w:rsidR="00F97B66" w:rsidRPr="00C44E1D" w14:paraId="05C87DA3" w14:textId="77777777" w:rsidTr="00721B09">
        <w:tc>
          <w:tcPr>
            <w:tcW w:w="0" w:type="auto"/>
            <w:shd w:val="clear" w:color="auto" w:fill="auto"/>
            <w:vAlign w:val="center"/>
          </w:tcPr>
          <w:p w14:paraId="6C279F47" w14:textId="77777777" w:rsidR="00F97B66" w:rsidRDefault="00F97B66" w:rsidP="00721B09">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2</w:t>
            </w:r>
          </w:p>
        </w:tc>
        <w:tc>
          <w:tcPr>
            <w:tcW w:w="0" w:type="auto"/>
            <w:shd w:val="clear" w:color="auto" w:fill="auto"/>
            <w:noWrap/>
          </w:tcPr>
          <w:p w14:paraId="47166439" w14:textId="77777777" w:rsidR="00F97B66" w:rsidRPr="00121821" w:rsidRDefault="00F97B66" w:rsidP="00721B09">
            <w:pPr>
              <w:spacing w:after="0"/>
              <w:jc w:val="right"/>
              <w:rPr>
                <w:rFonts w:ascii="Arial Narrow" w:eastAsia="Times New Roman" w:hAnsi="Arial Narrow" w:cs="Times New Roman"/>
                <w:color w:val="000000"/>
                <w:sz w:val="20"/>
                <w:szCs w:val="20"/>
              </w:rPr>
            </w:pPr>
            <w:r w:rsidRPr="00121821">
              <w:rPr>
                <w:rFonts w:ascii="Arial Narrow" w:hAnsi="Arial Narrow"/>
                <w:sz w:val="20"/>
                <w:szCs w:val="20"/>
              </w:rPr>
              <w:t>201243_20</w:t>
            </w:r>
          </w:p>
        </w:tc>
        <w:tc>
          <w:tcPr>
            <w:tcW w:w="0" w:type="auto"/>
            <w:shd w:val="clear" w:color="auto" w:fill="auto"/>
            <w:noWrap/>
            <w:vAlign w:val="center"/>
          </w:tcPr>
          <w:p w14:paraId="410FBB3E" w14:textId="77777777" w:rsidR="00F97B66" w:rsidRPr="00C44E1D" w:rsidRDefault="00F97B6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4,761</w:t>
            </w:r>
          </w:p>
        </w:tc>
        <w:tc>
          <w:tcPr>
            <w:tcW w:w="0" w:type="auto"/>
            <w:shd w:val="clear" w:color="auto" w:fill="auto"/>
            <w:noWrap/>
            <w:vAlign w:val="center"/>
          </w:tcPr>
          <w:p w14:paraId="138F1FE1" w14:textId="77777777" w:rsidR="00F97B66" w:rsidRPr="00C44E1D" w:rsidRDefault="00F97B6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688</w:t>
            </w:r>
          </w:p>
        </w:tc>
        <w:tc>
          <w:tcPr>
            <w:tcW w:w="0" w:type="auto"/>
            <w:shd w:val="clear" w:color="auto" w:fill="auto"/>
            <w:noWrap/>
            <w:vAlign w:val="center"/>
          </w:tcPr>
          <w:p w14:paraId="74C6B2DB" w14:textId="77777777" w:rsidR="00F97B66" w:rsidRPr="00C44E1D" w:rsidRDefault="00F97B6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668</w:t>
            </w:r>
          </w:p>
        </w:tc>
      </w:tr>
      <w:tr w:rsidR="00F97B66" w:rsidRPr="00C44E1D" w14:paraId="5CE3F28E" w14:textId="77777777" w:rsidTr="00721B09">
        <w:tc>
          <w:tcPr>
            <w:tcW w:w="0" w:type="auto"/>
            <w:shd w:val="clear" w:color="auto" w:fill="auto"/>
            <w:vAlign w:val="center"/>
          </w:tcPr>
          <w:p w14:paraId="77889647" w14:textId="77777777" w:rsidR="00F97B66" w:rsidRDefault="00F97B66" w:rsidP="00721B09">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3</w:t>
            </w:r>
          </w:p>
        </w:tc>
        <w:tc>
          <w:tcPr>
            <w:tcW w:w="0" w:type="auto"/>
            <w:shd w:val="clear" w:color="auto" w:fill="auto"/>
            <w:noWrap/>
          </w:tcPr>
          <w:p w14:paraId="4DFA073F" w14:textId="77777777" w:rsidR="00F97B66" w:rsidRPr="00121821" w:rsidRDefault="00F97B66" w:rsidP="00721B09">
            <w:pPr>
              <w:spacing w:after="0"/>
              <w:jc w:val="right"/>
              <w:rPr>
                <w:rFonts w:ascii="Arial Narrow" w:eastAsia="Times New Roman" w:hAnsi="Arial Narrow" w:cs="Times New Roman"/>
                <w:color w:val="000000"/>
                <w:sz w:val="20"/>
                <w:szCs w:val="20"/>
              </w:rPr>
            </w:pPr>
            <w:r w:rsidRPr="00121821">
              <w:rPr>
                <w:rFonts w:ascii="Arial Narrow" w:hAnsi="Arial Narrow"/>
                <w:sz w:val="20"/>
                <w:szCs w:val="20"/>
              </w:rPr>
              <w:t>201243_20</w:t>
            </w:r>
          </w:p>
        </w:tc>
        <w:tc>
          <w:tcPr>
            <w:tcW w:w="0" w:type="auto"/>
            <w:shd w:val="clear" w:color="auto" w:fill="auto"/>
            <w:noWrap/>
            <w:vAlign w:val="center"/>
          </w:tcPr>
          <w:p w14:paraId="0BF4D3A2" w14:textId="77777777" w:rsidR="00F97B66" w:rsidRPr="00C44E1D" w:rsidRDefault="00F97B6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8,629</w:t>
            </w:r>
          </w:p>
        </w:tc>
        <w:tc>
          <w:tcPr>
            <w:tcW w:w="0" w:type="auto"/>
            <w:shd w:val="clear" w:color="auto" w:fill="auto"/>
            <w:noWrap/>
            <w:vAlign w:val="center"/>
          </w:tcPr>
          <w:p w14:paraId="4A6795DD" w14:textId="77777777" w:rsidR="00F97B66" w:rsidRPr="00C44E1D" w:rsidRDefault="00F97B6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1,126</w:t>
            </w:r>
          </w:p>
        </w:tc>
        <w:tc>
          <w:tcPr>
            <w:tcW w:w="0" w:type="auto"/>
            <w:shd w:val="clear" w:color="auto" w:fill="auto"/>
            <w:noWrap/>
            <w:vAlign w:val="center"/>
          </w:tcPr>
          <w:p w14:paraId="02ED18FA" w14:textId="77777777" w:rsidR="00F97B66" w:rsidRPr="00C44E1D" w:rsidRDefault="00F97B6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1,070</w:t>
            </w:r>
          </w:p>
        </w:tc>
      </w:tr>
      <w:tr w:rsidR="00F97B66" w:rsidRPr="00C44E1D" w14:paraId="4EE70977" w14:textId="77777777" w:rsidTr="00721B09">
        <w:tc>
          <w:tcPr>
            <w:tcW w:w="0" w:type="auto"/>
            <w:shd w:val="clear" w:color="auto" w:fill="auto"/>
            <w:vAlign w:val="center"/>
          </w:tcPr>
          <w:p w14:paraId="2FDD1339" w14:textId="77777777" w:rsidR="00F97B66" w:rsidRDefault="00F97B66" w:rsidP="00721B09">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4</w:t>
            </w:r>
          </w:p>
        </w:tc>
        <w:tc>
          <w:tcPr>
            <w:tcW w:w="0" w:type="auto"/>
            <w:shd w:val="clear" w:color="auto" w:fill="auto"/>
            <w:noWrap/>
          </w:tcPr>
          <w:p w14:paraId="4F372FD2" w14:textId="77777777" w:rsidR="00F97B66" w:rsidRPr="00121821" w:rsidRDefault="00F97B66" w:rsidP="00721B09">
            <w:pPr>
              <w:spacing w:after="0"/>
              <w:jc w:val="right"/>
              <w:rPr>
                <w:rFonts w:ascii="Arial Narrow" w:hAnsi="Arial Narrow" w:cs="Calibri"/>
                <w:color w:val="000000"/>
                <w:sz w:val="20"/>
                <w:szCs w:val="20"/>
              </w:rPr>
            </w:pPr>
            <w:r w:rsidRPr="00121821">
              <w:rPr>
                <w:rFonts w:ascii="Arial Narrow" w:hAnsi="Arial Narrow"/>
                <w:sz w:val="20"/>
                <w:szCs w:val="20"/>
              </w:rPr>
              <w:t>201243_20</w:t>
            </w:r>
          </w:p>
        </w:tc>
        <w:tc>
          <w:tcPr>
            <w:tcW w:w="0" w:type="auto"/>
            <w:shd w:val="clear" w:color="auto" w:fill="auto"/>
            <w:noWrap/>
            <w:vAlign w:val="center"/>
          </w:tcPr>
          <w:p w14:paraId="13327B63" w14:textId="77777777" w:rsidR="00F97B66" w:rsidRDefault="00F97B66" w:rsidP="00721B09">
            <w:pPr>
              <w:spacing w:after="0"/>
              <w:jc w:val="right"/>
              <w:rPr>
                <w:rFonts w:ascii="Arial Narrow" w:hAnsi="Arial Narrow" w:cs="Calibri"/>
                <w:color w:val="000000"/>
                <w:sz w:val="20"/>
                <w:szCs w:val="20"/>
              </w:rPr>
            </w:pPr>
            <w:r>
              <w:rPr>
                <w:rFonts w:ascii="Arial Narrow" w:hAnsi="Arial Narrow" w:cs="Calibri"/>
                <w:color w:val="000000"/>
                <w:sz w:val="20"/>
                <w:szCs w:val="20"/>
              </w:rPr>
              <w:t>533</w:t>
            </w:r>
          </w:p>
        </w:tc>
        <w:tc>
          <w:tcPr>
            <w:tcW w:w="0" w:type="auto"/>
            <w:shd w:val="clear" w:color="auto" w:fill="auto"/>
            <w:noWrap/>
            <w:vAlign w:val="center"/>
          </w:tcPr>
          <w:p w14:paraId="12B42E41" w14:textId="77777777" w:rsidR="00F97B66" w:rsidRDefault="00F97B66" w:rsidP="00721B09">
            <w:pPr>
              <w:spacing w:after="0"/>
              <w:jc w:val="right"/>
              <w:rPr>
                <w:rFonts w:ascii="Arial Narrow" w:hAnsi="Arial Narrow" w:cs="Calibri"/>
                <w:color w:val="000000"/>
                <w:sz w:val="20"/>
                <w:szCs w:val="20"/>
              </w:rPr>
            </w:pPr>
            <w:r>
              <w:rPr>
                <w:rFonts w:ascii="Arial Narrow" w:hAnsi="Arial Narrow" w:cs="Calibri"/>
                <w:color w:val="000000"/>
                <w:sz w:val="20"/>
                <w:szCs w:val="20"/>
              </w:rPr>
              <w:t>79</w:t>
            </w:r>
          </w:p>
        </w:tc>
        <w:tc>
          <w:tcPr>
            <w:tcW w:w="0" w:type="auto"/>
            <w:shd w:val="clear" w:color="auto" w:fill="auto"/>
            <w:noWrap/>
            <w:vAlign w:val="center"/>
          </w:tcPr>
          <w:p w14:paraId="255F2A50" w14:textId="77777777" w:rsidR="00F97B66" w:rsidRDefault="00F97B66" w:rsidP="00721B09">
            <w:pPr>
              <w:spacing w:after="0"/>
              <w:jc w:val="right"/>
              <w:rPr>
                <w:rFonts w:ascii="Arial Narrow" w:hAnsi="Arial Narrow" w:cs="Calibri"/>
                <w:color w:val="000000"/>
                <w:sz w:val="20"/>
                <w:szCs w:val="20"/>
              </w:rPr>
            </w:pPr>
            <w:r>
              <w:rPr>
                <w:rFonts w:ascii="Arial Narrow" w:hAnsi="Arial Narrow" w:cs="Calibri"/>
                <w:color w:val="000000"/>
                <w:sz w:val="20"/>
                <w:szCs w:val="20"/>
              </w:rPr>
              <w:t>73</w:t>
            </w:r>
          </w:p>
        </w:tc>
      </w:tr>
    </w:tbl>
    <w:p w14:paraId="1063023C" w14:textId="77777777" w:rsidR="00F97B66" w:rsidRDefault="00F97B66" w:rsidP="00F97B66">
      <w:pPr>
        <w:rPr>
          <w:rFonts w:eastAsia="Calibri"/>
        </w:rPr>
      </w:pPr>
    </w:p>
    <w:p w14:paraId="41596FC5" w14:textId="77777777" w:rsidR="00F97B66" w:rsidRPr="00C44E1D" w:rsidRDefault="00F97B66" w:rsidP="00F97B66">
      <w:pPr>
        <w:rPr>
          <w:rFonts w:eastAsia="Calibri" w:cs="Times New Roman"/>
        </w:rPr>
      </w:pPr>
      <w:proofErr w:type="spellStart"/>
      <w:r w:rsidRPr="00C44E1D">
        <w:rPr>
          <w:rFonts w:eastAsia="Calibri"/>
        </w:rPr>
        <w:t>Nat</w:t>
      </w:r>
      <w:r>
        <w:rPr>
          <w:rFonts w:eastAsia="Calibri"/>
        </w:rPr>
        <w:t>Avg</w:t>
      </w:r>
      <w:r w:rsidRPr="00C44E1D">
        <w:rPr>
          <w:rFonts w:eastAsia="Calibri"/>
        </w:rPr>
        <w:t>Obs</w:t>
      </w:r>
      <w:proofErr w:type="spellEnd"/>
      <w:r w:rsidRPr="00C44E1D">
        <w:rPr>
          <w:rFonts w:eastAsia="Calibri"/>
        </w:rPr>
        <w:t xml:space="preserve"> = </w:t>
      </w:r>
      <m:oMath>
        <m:r>
          <m:rPr>
            <m:nor/>
          </m:rPr>
          <w:rPr>
            <w:rFonts w:eastAsia="Calibri"/>
          </w:rPr>
          <m:t>Average</m:t>
        </m:r>
        <m:d>
          <m:dPr>
            <m:ctrlPr>
              <w:rPr>
                <w:rFonts w:ascii="Cambria Math" w:eastAsia="Calibri" w:hAnsi="Cambria Math"/>
              </w:rPr>
            </m:ctrlPr>
          </m:dPr>
          <m:e>
            <m:d>
              <m:dPr>
                <m:ctrlPr>
                  <w:rPr>
                    <w:rFonts w:ascii="Cambria Math" w:eastAsia="Calibri" w:hAnsi="Cambria Math"/>
                  </w:rPr>
                </m:ctrlPr>
              </m:dPr>
              <m:e>
                <m:f>
                  <m:fPr>
                    <m:ctrlPr>
                      <w:rPr>
                        <w:rFonts w:ascii="Cambria Math" w:eastAsia="Calibri" w:hAnsi="Cambria Math"/>
                      </w:rPr>
                    </m:ctrlPr>
                  </m:fPr>
                  <m:num>
                    <m:r>
                      <m:rPr>
                        <m:nor/>
                      </m:rPr>
                      <w:rPr>
                        <w:rFonts w:eastAsia="Calibri"/>
                      </w:rPr>
                      <m:t xml:space="preserve">641 </m:t>
                    </m:r>
                  </m:num>
                  <m:den>
                    <m:r>
                      <m:rPr>
                        <m:nor/>
                      </m:rPr>
                      <w:rPr>
                        <w:rFonts w:eastAsia="Calibri"/>
                      </w:rPr>
                      <m:t>4</m:t>
                    </m:r>
                    <m:r>
                      <m:rPr>
                        <m:nor/>
                      </m:rPr>
                      <w:rPr>
                        <w:rFonts w:ascii="Cambria Math" w:eastAsia="Calibri"/>
                      </w:rPr>
                      <m:t>,</m:t>
                    </m:r>
                    <m:r>
                      <m:rPr>
                        <m:nor/>
                      </m:rPr>
                      <w:rPr>
                        <w:rFonts w:eastAsia="Calibri"/>
                      </w:rPr>
                      <m:t>792</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688</m:t>
                    </m:r>
                  </m:num>
                  <m:den>
                    <m:r>
                      <m:rPr>
                        <m:nor/>
                      </m:rPr>
                      <w:rPr>
                        <w:rFonts w:eastAsia="Calibri"/>
                      </w:rPr>
                      <m:t>4,761</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1,126</m:t>
                    </m:r>
                  </m:num>
                  <m:den>
                    <m:r>
                      <m:rPr>
                        <m:nor/>
                      </m:rPr>
                      <w:rPr>
                        <w:rFonts w:eastAsia="Calibri"/>
                      </w:rPr>
                      <m:t>8,629</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79</m:t>
                    </m:r>
                  </m:num>
                  <m:den>
                    <m:r>
                      <m:rPr>
                        <m:nor/>
                      </m:rPr>
                      <w:rPr>
                        <w:rFonts w:eastAsia="Calibri"/>
                      </w:rPr>
                      <m:t>533</m:t>
                    </m:r>
                  </m:den>
                </m:f>
              </m:e>
            </m:d>
          </m:e>
        </m:d>
      </m:oMath>
    </w:p>
    <w:p w14:paraId="1F21A658" w14:textId="77777777" w:rsidR="00F97B66" w:rsidRPr="00C44E1D" w:rsidRDefault="00F97B66" w:rsidP="00F97B66">
      <w:pPr>
        <w:rPr>
          <w:rFonts w:ascii="Cambria Math" w:eastAsia="Calibri" w:hAnsi="Cambria Math"/>
          <w:oMath/>
        </w:rPr>
      </w:pPr>
      <w:proofErr w:type="spellStart"/>
      <w:r w:rsidRPr="00C44E1D">
        <w:rPr>
          <w:rFonts w:eastAsia="Calibri"/>
        </w:rPr>
        <w:t>Nat</w:t>
      </w:r>
      <w:r>
        <w:rPr>
          <w:rFonts w:eastAsia="Calibri"/>
        </w:rPr>
        <w:t>AvgObs</w:t>
      </w:r>
      <w:proofErr w:type="spellEnd"/>
      <w:r w:rsidRPr="00C44E1D">
        <w:rPr>
          <w:rFonts w:eastAsia="Calibri"/>
        </w:rPr>
        <w:t xml:space="preserve"> = </w:t>
      </w:r>
      <m:oMath>
        <m:r>
          <m:rPr>
            <m:nor/>
          </m:rPr>
          <w:rPr>
            <w:rFonts w:eastAsia="Calibri"/>
          </w:rPr>
          <m:t xml:space="preserve">Average </m:t>
        </m:r>
        <m:d>
          <m:dPr>
            <m:ctrlPr>
              <w:rPr>
                <w:rFonts w:ascii="Cambria Math" w:eastAsia="Calibri" w:hAnsi="Cambria Math"/>
              </w:rPr>
            </m:ctrlPr>
          </m:dPr>
          <m:e>
            <m:d>
              <m:dPr>
                <m:ctrlPr>
                  <w:rPr>
                    <w:rFonts w:ascii="Cambria Math" w:eastAsia="Calibri" w:hAnsi="Cambria Math"/>
                  </w:rPr>
                </m:ctrlPr>
              </m:dPr>
              <m:e>
                <m:r>
                  <m:rPr>
                    <m:nor/>
                  </m:rPr>
                  <w:rPr>
                    <w:rFonts w:eastAsia="Calibri"/>
                  </w:rPr>
                  <m:t>0.13376</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0.14451</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0.13049</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0.14822</m:t>
                </m:r>
              </m:e>
            </m:d>
          </m:e>
        </m:d>
      </m:oMath>
    </w:p>
    <w:p w14:paraId="68F74646" w14:textId="77777777" w:rsidR="00F97B66" w:rsidRDefault="00F97B66" w:rsidP="00F97B66">
      <w:pPr>
        <w:rPr>
          <w:rFonts w:eastAsia="Calibri"/>
        </w:rPr>
      </w:pPr>
      <w:r>
        <w:rPr>
          <w:rFonts w:eastAsia="Calibri"/>
        </w:rPr>
        <w:t>NatAvgObs</w:t>
      </w:r>
      <w:r w:rsidRPr="00C44E1D">
        <w:rPr>
          <w:rFonts w:eastAsia="Calibri"/>
        </w:rPr>
        <w:t xml:space="preserve"> = </w:t>
      </w:r>
      <w:r>
        <w:rPr>
          <w:rFonts w:eastAsia="Calibri"/>
        </w:rPr>
        <w:t>0</w:t>
      </w:r>
      <w:r w:rsidRPr="00C44E1D">
        <w:rPr>
          <w:rFonts w:eastAsia="Calibri"/>
        </w:rPr>
        <w:t>.139245</w:t>
      </w:r>
    </w:p>
    <w:p w14:paraId="714FD021" w14:textId="77777777" w:rsidR="00F97B66" w:rsidRDefault="00F97B66" w:rsidP="00F97B66">
      <w:pPr>
        <w:pStyle w:val="Normal-Formula"/>
        <w:spacing w:before="120" w:after="120"/>
      </w:pPr>
      <w:r>
        <w:t xml:space="preserve">Final Rate Contract 1 = </w:t>
      </w:r>
      <m:oMath>
        <m:d>
          <m:dPr>
            <m:ctrlPr>
              <w:rPr>
                <w:rFonts w:ascii="Cambria Math" w:hAnsi="Cambria Math"/>
                <w:i/>
              </w:rPr>
            </m:ctrlPr>
          </m:dPr>
          <m:e>
            <m:d>
              <m:dPr>
                <m:ctrlPr>
                  <w:rPr>
                    <w:rFonts w:ascii="Cambria Math" w:hAnsi="Cambria Math"/>
                    <w:i/>
                  </w:rPr>
                </m:ctrlPr>
              </m:dPr>
              <m:e>
                <m:f>
                  <m:fPr>
                    <m:ctrlPr>
                      <w:rPr>
                        <w:rFonts w:ascii="Cambria Math" w:hAnsi="Cambria Math"/>
                        <w:i/>
                      </w:rPr>
                    </m:ctrlPr>
                  </m:fPr>
                  <m:num>
                    <m:r>
                      <m:rPr>
                        <m:nor/>
                      </m:rPr>
                      <m:t>641</m:t>
                    </m:r>
                  </m:num>
                  <m:den>
                    <m:r>
                      <m:rPr>
                        <m:nor/>
                      </m:rPr>
                      <m:t>642</m:t>
                    </m:r>
                  </m:den>
                </m:f>
              </m:e>
            </m:d>
            <m:r>
              <m:rPr>
                <m:nor/>
              </m:rPr>
              <m:t xml:space="preserve"> × .139245</m:t>
            </m:r>
          </m:e>
        </m:d>
        <m:r>
          <m:rPr>
            <m:nor/>
          </m:rPr>
          <m:t xml:space="preserve"> x 1000 = </m:t>
        </m:r>
        <m:r>
          <m:rPr>
            <m:nor/>
          </m:rPr>
          <w:rPr>
            <w:rFonts w:eastAsiaTheme="minorEastAsia"/>
          </w:rPr>
          <m:t>139.028</m:t>
        </m:r>
      </m:oMath>
    </w:p>
    <w:p w14:paraId="1DF086FD" w14:textId="77777777" w:rsidR="00F97B66" w:rsidRDefault="00F97B66" w:rsidP="00F97B66">
      <w:pPr>
        <w:pStyle w:val="Normal-Formula"/>
        <w:spacing w:before="120" w:after="120"/>
      </w:pPr>
      <w:r>
        <w:t>Final Rate reported for Contract 1 = 139</w:t>
      </w:r>
    </w:p>
    <w:p w14:paraId="75CCA5F9" w14:textId="5A76E81B" w:rsidR="006438CB" w:rsidRPr="00DD7B93" w:rsidRDefault="006438CB" w:rsidP="00F97B66">
      <w:pPr>
        <w:pStyle w:val="Normal-Formula"/>
        <w:spacing w:before="120" w:after="120"/>
        <w:rPr>
          <w:rFonts w:eastAsiaTheme="minorEastAsia"/>
        </w:rPr>
      </w:pPr>
    </w:p>
    <w:p w14:paraId="47083AB1" w14:textId="77777777" w:rsidR="001B5FEC" w:rsidRPr="00DD7B93" w:rsidRDefault="001B5FEC" w:rsidP="001B5FEC">
      <w:pPr>
        <w:spacing w:line="276" w:lineRule="auto"/>
        <w:rPr>
          <w:sz w:val="18"/>
          <w:szCs w:val="24"/>
        </w:rPr>
      </w:pPr>
      <w:r w:rsidRPr="00DD7B93">
        <w:br w:type="page"/>
      </w:r>
    </w:p>
    <w:p w14:paraId="75B22DD4" w14:textId="77777777" w:rsidR="00F97B66" w:rsidRDefault="00F97B66" w:rsidP="00F97B66">
      <w:pPr>
        <w:pStyle w:val="AttachmentTitle"/>
        <w:spacing w:after="120"/>
      </w:pPr>
      <w:r>
        <w:lastRenderedPageBreak/>
        <w:t>Calculating Measure 2021 HPC: Hospitalization for Potentially Preventable Complications – Chronic ACSC (M/F Total)</w:t>
      </w:r>
    </w:p>
    <w:p w14:paraId="4F95038B" w14:textId="183BAB61" w:rsidR="00F97B66" w:rsidRDefault="00F97B66" w:rsidP="00F97B66">
      <w:r w:rsidRPr="00CF20FE">
        <w:t xml:space="preserve">All data </w:t>
      </w:r>
      <w:r>
        <w:t xml:space="preserve">can be looked up by </w:t>
      </w:r>
      <w:proofErr w:type="spellStart"/>
      <w:r>
        <w:t>IndicatorKey</w:t>
      </w:r>
      <w:proofErr w:type="spellEnd"/>
      <w:r>
        <w:t xml:space="preserve"> (row) and Variable name (column).</w:t>
      </w:r>
    </w:p>
    <w:p w14:paraId="22B5CA22" w14:textId="77777777" w:rsidR="00F97B66" w:rsidRDefault="00F97B66" w:rsidP="00F97B66">
      <w:r>
        <w:t xml:space="preserve">The calculations below use the </w:t>
      </w:r>
      <w:proofErr w:type="spellStart"/>
      <w:r>
        <w:t>NonOutlierMemberCount</w:t>
      </w:r>
      <w:proofErr w:type="spellEnd"/>
      <w:r>
        <w:t xml:space="preserve">, </w:t>
      </w:r>
      <w:proofErr w:type="spellStart"/>
      <w:r>
        <w:t>ObservedCount</w:t>
      </w:r>
      <w:proofErr w:type="spellEnd"/>
      <w:r>
        <w:t xml:space="preserve"> and </w:t>
      </w:r>
      <w:proofErr w:type="spellStart"/>
      <w:r>
        <w:t>ExpectedCount</w:t>
      </w:r>
      <w:proofErr w:type="spellEnd"/>
      <w:r>
        <w:t xml:space="preserve"> values from the HPC Chronic ACSC (M/F Total) indicator (</w:t>
      </w:r>
      <w:proofErr w:type="spellStart"/>
      <w:r>
        <w:t>IndicatorKey</w:t>
      </w:r>
      <w:proofErr w:type="spellEnd"/>
      <w:r>
        <w:t xml:space="preserve"> = </w:t>
      </w:r>
      <w:r w:rsidRPr="00B247A0">
        <w:t>201279_20</w:t>
      </w:r>
      <w:r>
        <w:t>).</w:t>
      </w:r>
    </w:p>
    <w:p w14:paraId="33183DA3" w14:textId="77777777" w:rsidR="00F97B66" w:rsidRDefault="00F97B66" w:rsidP="00F97B66">
      <w:r>
        <w:t>For each contract, calculate the Chronic ACSC (M/F Total) Observed-over-Expected Ratio (OE):</w:t>
      </w:r>
    </w:p>
    <w:p w14:paraId="44017466" w14:textId="77777777" w:rsidR="00F97B66" w:rsidRDefault="00F97B66" w:rsidP="00F97B66">
      <w:pPr>
        <w:ind w:firstLine="720"/>
      </w:pPr>
      <w:r>
        <w:t xml:space="preserve">OE = </w:t>
      </w:r>
      <m:oMath>
        <m:d>
          <m:dPr>
            <m:ctrlPr>
              <w:rPr>
                <w:rFonts w:ascii="Cambria Math" w:hAnsi="Cambria Math"/>
                <w:sz w:val="28"/>
                <w:szCs w:val="28"/>
              </w:rPr>
            </m:ctrlPr>
          </m:dPr>
          <m:e>
            <m:f>
              <m:fPr>
                <m:ctrlPr>
                  <w:rPr>
                    <w:rFonts w:ascii="Cambria Math" w:hAnsi="Cambria Math"/>
                    <w:sz w:val="28"/>
                    <w:szCs w:val="28"/>
                  </w:rPr>
                </m:ctrlPr>
              </m:fPr>
              <m:num>
                <w:proofErr w:type="spellStart"/>
                <m:r>
                  <m:rPr>
                    <m:nor/>
                  </m:rPr>
                  <w:rPr>
                    <w:sz w:val="28"/>
                    <w:szCs w:val="28"/>
                  </w:rPr>
                  <m:t>ObservedCount</m:t>
                </m:r>
                <w:proofErr w:type="spellEnd"/>
              </m:num>
              <m:den>
                <w:proofErr w:type="spellStart"/>
                <m:r>
                  <m:rPr>
                    <m:nor/>
                  </m:rPr>
                  <w:rPr>
                    <w:sz w:val="28"/>
                    <w:szCs w:val="28"/>
                  </w:rPr>
                  <m:t>ExpectedCount</m:t>
                </m:r>
                <w:proofErr w:type="spellEnd"/>
              </m:den>
            </m:f>
          </m:e>
        </m:d>
      </m:oMath>
    </w:p>
    <w:p w14:paraId="06DB5343" w14:textId="77777777" w:rsidR="00F97B66" w:rsidRDefault="00F97B66" w:rsidP="00F97B66">
      <w:r>
        <w:t>Calculate the national average of the Chronic ACSC (M/F Total) Observed Rate:</w:t>
      </w:r>
    </w:p>
    <w:p w14:paraId="2715DB87" w14:textId="77777777" w:rsidR="00F97B66" w:rsidRDefault="00F97B66" w:rsidP="00F97B66">
      <w:pPr>
        <w:pStyle w:val="Normal-Formula"/>
        <w:spacing w:before="120"/>
        <w:ind w:firstLine="720"/>
      </w:pPr>
      <w:proofErr w:type="spellStart"/>
      <w:r w:rsidRPr="00301E67">
        <w:t>NatAvgObs</w:t>
      </w:r>
      <w:proofErr w:type="spellEnd"/>
      <w:r w:rsidRPr="00301E67">
        <w:t xml:space="preserve"> = </w:t>
      </w:r>
      <m:oMath>
        <m:r>
          <m:rPr>
            <m:nor/>
          </m:rPr>
          <m:t>Average</m:t>
        </m:r>
        <m:d>
          <m:dPr>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w:proofErr w:type="spellStart"/>
                        <m:r>
                          <m:rPr>
                            <m:nor/>
                          </m:rPr>
                          <m:t>ObservedCount</m:t>
                        </m:r>
                        <w:proofErr w:type="spellEnd"/>
                      </m:e>
                      <m:sub>
                        <m:r>
                          <m:rPr>
                            <m:nor/>
                          </m:rPr>
                          <m:t>1</m:t>
                        </m:r>
                      </m:sub>
                    </m:sSub>
                  </m:num>
                  <m:den>
                    <m:sSub>
                      <m:sSubPr>
                        <m:ctrlPr>
                          <w:rPr>
                            <w:rFonts w:ascii="Cambria Math" w:hAnsi="Cambria Math"/>
                          </w:rPr>
                        </m:ctrlPr>
                      </m:sSubPr>
                      <m:e>
                        <w:proofErr w:type="spellStart"/>
                        <m:r>
                          <m:rPr>
                            <m:nor/>
                          </m:rPr>
                          <m:t>NonOutlierMemberCount</m:t>
                        </m:r>
                        <w:proofErr w:type="spellEnd"/>
                      </m:e>
                      <m:sub>
                        <m:r>
                          <m:rPr>
                            <m:nor/>
                          </m:rPr>
                          <m:t>1</m:t>
                        </m:r>
                      </m:sub>
                    </m:sSub>
                  </m:den>
                </m:f>
              </m:e>
            </m:d>
            <m:r>
              <m:rPr>
                <m:nor/>
              </m:rPr>
              <m:t xml:space="preserve"> + … +</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w:proofErr w:type="spellStart"/>
                        <m:r>
                          <m:rPr>
                            <m:nor/>
                          </m:rPr>
                          <m:t>ObservedCount</m:t>
                        </m:r>
                        <w:proofErr w:type="spellEnd"/>
                      </m:e>
                      <m:sub>
                        <m:r>
                          <m:rPr>
                            <m:nor/>
                          </m:rPr>
                          <m:t>n</m:t>
                        </m:r>
                      </m:sub>
                    </m:sSub>
                  </m:num>
                  <m:den>
                    <m:sSub>
                      <m:sSubPr>
                        <m:ctrlPr>
                          <w:rPr>
                            <w:rFonts w:ascii="Cambria Math" w:hAnsi="Cambria Math"/>
                          </w:rPr>
                        </m:ctrlPr>
                      </m:sSubPr>
                      <m:e>
                        <w:proofErr w:type="spellStart"/>
                        <m:r>
                          <m:rPr>
                            <m:nor/>
                          </m:rPr>
                          <m:t>NonOutlierMemberCount</m:t>
                        </m:r>
                        <w:proofErr w:type="spellEnd"/>
                      </m:e>
                      <m:sub>
                        <m:r>
                          <m:rPr>
                            <m:nor/>
                          </m:rPr>
                          <m:t>n</m:t>
                        </m:r>
                      </m:sub>
                    </m:sSub>
                  </m:den>
                </m:f>
              </m:e>
            </m:d>
          </m:e>
        </m:d>
      </m:oMath>
    </w:p>
    <w:p w14:paraId="0C9387A3" w14:textId="77777777" w:rsidR="00F97B66" w:rsidRPr="001F52D8" w:rsidRDefault="00F97B66" w:rsidP="00F97B66">
      <w:r>
        <w:t>W</w:t>
      </w:r>
      <w:r w:rsidRPr="00301E67">
        <w:t xml:space="preserve">here 1 through n are all </w:t>
      </w:r>
      <w:r w:rsidRPr="00D208DD">
        <w:t xml:space="preserve">contracts with </w:t>
      </w:r>
      <w:r>
        <w:t xml:space="preserve">a Chronic ACSC (M/F Total) </w:t>
      </w:r>
      <w:proofErr w:type="spellStart"/>
      <w:r>
        <w:t>NonOutlierMemberCount</w:t>
      </w:r>
      <w:proofErr w:type="spellEnd"/>
      <w:r w:rsidRPr="00D208DD">
        <w:t xml:space="preserve"> </w:t>
      </w:r>
      <w:r>
        <w:t>larger than or equal to</w:t>
      </w:r>
      <w:r w:rsidRPr="00D208DD">
        <w:t xml:space="preserve"> 150</w:t>
      </w:r>
      <w:r>
        <w:t>, and a Chronic ACSC (M/F Total) OE larger than or equal to 0.2 and less than or equal to 5.0.</w:t>
      </w:r>
    </w:p>
    <w:p w14:paraId="12C73788" w14:textId="77777777" w:rsidR="00F97B66" w:rsidRDefault="00F97B66" w:rsidP="00F97B66">
      <w:pPr>
        <w:rPr>
          <w:szCs w:val="20"/>
        </w:rPr>
      </w:pPr>
      <w:r>
        <w:rPr>
          <w:szCs w:val="20"/>
        </w:rPr>
        <w:t>For each contract, calculate the Final Rate and convert to percentages:</w:t>
      </w:r>
    </w:p>
    <w:p w14:paraId="7FAA2289" w14:textId="77777777" w:rsidR="00F97B66" w:rsidRDefault="00F97B66" w:rsidP="00F97B66">
      <w:pPr>
        <w:pStyle w:val="Normal-Formula"/>
        <w:spacing w:before="120" w:after="120"/>
        <w:ind w:firstLine="720"/>
      </w:pPr>
      <w:r>
        <w:rPr>
          <w:szCs w:val="20"/>
        </w:rPr>
        <w:t>Final</w:t>
      </w:r>
      <w:r w:rsidRPr="00301E67">
        <w:rPr>
          <w:szCs w:val="20"/>
        </w:rPr>
        <w:t xml:space="preserve"> Rate =</w:t>
      </w:r>
      <w:r>
        <w:t xml:space="preserve"> </w:t>
      </w:r>
      <m:oMath>
        <m:r>
          <m:rPr>
            <m:nor/>
          </m:rPr>
          <m:t xml:space="preserve">OE x </m:t>
        </m:r>
        <w:proofErr w:type="spellStart"/>
        <m:r>
          <m:rPr>
            <m:nor/>
          </m:rPr>
          <m:t>NatAvgObs</m:t>
        </m:r>
        <w:proofErr w:type="spellEnd"/>
        <m:r>
          <m:rPr>
            <m:nor/>
          </m:rPr>
          <m:t xml:space="preserve"> x 1000 </m:t>
        </m:r>
      </m:oMath>
    </w:p>
    <w:p w14:paraId="3CFBE292" w14:textId="77777777" w:rsidR="00F97B66" w:rsidRDefault="00F97B66" w:rsidP="00F97B66">
      <w:pPr>
        <w:pStyle w:val="Normal-Formula"/>
        <w:spacing w:before="120" w:after="120"/>
      </w:pPr>
      <w:r>
        <w:t>And round to the nearest integer.</w:t>
      </w:r>
    </w:p>
    <w:p w14:paraId="156AFD60" w14:textId="77777777" w:rsidR="00F97B66" w:rsidRDefault="00F97B66" w:rsidP="00F97B66"/>
    <w:p w14:paraId="448718FA" w14:textId="77777777" w:rsidR="00F97B66" w:rsidRPr="00C44E1D" w:rsidRDefault="00F97B66" w:rsidP="00F97B66">
      <w:pPr>
        <w:rPr>
          <w:rFonts w:eastAsia="Calibri"/>
        </w:rPr>
      </w:pPr>
      <w:r w:rsidRPr="00C44E1D">
        <w:rPr>
          <w:rFonts w:eastAsia="Calibri"/>
        </w:rPr>
        <w:t>Example: Calculating the final rate for Contract 1</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29" w:type="dxa"/>
          <w:bottom w:w="14" w:type="dxa"/>
          <w:right w:w="29" w:type="dxa"/>
        </w:tblCellMar>
        <w:tblLook w:val="04A0" w:firstRow="1" w:lastRow="0" w:firstColumn="1" w:lastColumn="0" w:noHBand="0" w:noVBand="1"/>
      </w:tblPr>
      <w:tblGrid>
        <w:gridCol w:w="815"/>
        <w:gridCol w:w="1052"/>
        <w:gridCol w:w="2008"/>
        <w:gridCol w:w="1289"/>
        <w:gridCol w:w="1261"/>
      </w:tblGrid>
      <w:tr w:rsidR="00F97B66" w:rsidRPr="00C44E1D" w14:paraId="5BF5CCDC" w14:textId="77777777" w:rsidTr="00721B09">
        <w:tc>
          <w:tcPr>
            <w:tcW w:w="0" w:type="auto"/>
            <w:shd w:val="clear" w:color="000000" w:fill="BFBFBF"/>
            <w:vAlign w:val="center"/>
            <w:hideMark/>
          </w:tcPr>
          <w:p w14:paraId="0DD60524" w14:textId="77777777" w:rsidR="00F97B66" w:rsidRPr="00C44E1D" w:rsidRDefault="00F97B66" w:rsidP="00721B09">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Contract</w:t>
            </w:r>
          </w:p>
        </w:tc>
        <w:tc>
          <w:tcPr>
            <w:tcW w:w="0" w:type="auto"/>
            <w:shd w:val="clear" w:color="000000" w:fill="BFBFBF"/>
            <w:noWrap/>
            <w:vAlign w:val="center"/>
            <w:hideMark/>
          </w:tcPr>
          <w:p w14:paraId="668FF325" w14:textId="77777777" w:rsidR="00F97B66" w:rsidRPr="00C44E1D" w:rsidRDefault="00F97B66" w:rsidP="00721B09">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IndicatorKey</w:t>
            </w:r>
            <w:proofErr w:type="spellEnd"/>
          </w:p>
        </w:tc>
        <w:tc>
          <w:tcPr>
            <w:tcW w:w="0" w:type="auto"/>
            <w:shd w:val="clear" w:color="000000" w:fill="BFBFBF"/>
            <w:vAlign w:val="center"/>
            <w:hideMark/>
          </w:tcPr>
          <w:p w14:paraId="3B6FADB4" w14:textId="77777777" w:rsidR="00F97B66" w:rsidRPr="00C44E1D" w:rsidRDefault="00F97B66" w:rsidP="00721B09">
            <w:pPr>
              <w:spacing w:after="0"/>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NonOutlierMemberCount</w:t>
            </w:r>
            <w:proofErr w:type="spellEnd"/>
            <w:r>
              <w:rPr>
                <w:rFonts w:ascii="Arial Narrow Bold" w:eastAsia="Times New Roman" w:hAnsi="Arial Narrow Bold" w:cs="Times New Roman"/>
                <w:b/>
                <w:bCs/>
                <w:color w:val="000000"/>
                <w:sz w:val="20"/>
                <w:szCs w:val="20"/>
              </w:rPr>
              <w:t xml:space="preserve"> </w:t>
            </w:r>
          </w:p>
        </w:tc>
        <w:tc>
          <w:tcPr>
            <w:tcW w:w="0" w:type="auto"/>
            <w:shd w:val="clear" w:color="000000" w:fill="BFBFBF"/>
            <w:vAlign w:val="center"/>
            <w:hideMark/>
          </w:tcPr>
          <w:p w14:paraId="4667B55F" w14:textId="77777777" w:rsidR="00F97B66" w:rsidRPr="00C44E1D" w:rsidRDefault="00F97B66" w:rsidP="00721B09">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ObservedCount</w:t>
            </w:r>
            <w:proofErr w:type="spellEnd"/>
          </w:p>
        </w:tc>
        <w:tc>
          <w:tcPr>
            <w:tcW w:w="0" w:type="auto"/>
            <w:shd w:val="clear" w:color="000000" w:fill="BFBFBF"/>
            <w:vAlign w:val="center"/>
            <w:hideMark/>
          </w:tcPr>
          <w:p w14:paraId="13A5D555" w14:textId="77777777" w:rsidR="00F97B66" w:rsidRPr="00C44E1D" w:rsidRDefault="00F97B66" w:rsidP="00721B09">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ExpectedCount</w:t>
            </w:r>
            <w:proofErr w:type="spellEnd"/>
          </w:p>
        </w:tc>
      </w:tr>
      <w:tr w:rsidR="00F97B66" w:rsidRPr="00C44E1D" w14:paraId="53A4B124" w14:textId="77777777" w:rsidTr="00721B09">
        <w:tc>
          <w:tcPr>
            <w:tcW w:w="0" w:type="auto"/>
            <w:shd w:val="clear" w:color="auto" w:fill="auto"/>
            <w:vAlign w:val="center"/>
          </w:tcPr>
          <w:p w14:paraId="7FC0E97D" w14:textId="77777777" w:rsidR="00F97B66" w:rsidRDefault="00F97B66" w:rsidP="00721B09">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1</w:t>
            </w:r>
          </w:p>
        </w:tc>
        <w:tc>
          <w:tcPr>
            <w:tcW w:w="0" w:type="auto"/>
            <w:shd w:val="clear" w:color="auto" w:fill="auto"/>
            <w:noWrap/>
          </w:tcPr>
          <w:p w14:paraId="26CA4AE3" w14:textId="77777777" w:rsidR="00F97B66" w:rsidRPr="00B247A0" w:rsidRDefault="00F97B66" w:rsidP="00721B09">
            <w:pPr>
              <w:spacing w:after="0"/>
              <w:jc w:val="right"/>
              <w:rPr>
                <w:rFonts w:ascii="Arial Narrow" w:eastAsia="Times New Roman" w:hAnsi="Arial Narrow" w:cs="Times New Roman"/>
                <w:color w:val="000000"/>
                <w:sz w:val="20"/>
                <w:szCs w:val="20"/>
              </w:rPr>
            </w:pPr>
            <w:r w:rsidRPr="00B247A0">
              <w:rPr>
                <w:rFonts w:ascii="Arial Narrow" w:hAnsi="Arial Narrow"/>
                <w:sz w:val="20"/>
                <w:szCs w:val="20"/>
              </w:rPr>
              <w:t>201279_20</w:t>
            </w:r>
          </w:p>
        </w:tc>
        <w:tc>
          <w:tcPr>
            <w:tcW w:w="0" w:type="auto"/>
            <w:shd w:val="clear" w:color="auto" w:fill="auto"/>
            <w:noWrap/>
            <w:vAlign w:val="center"/>
          </w:tcPr>
          <w:p w14:paraId="39A79E4A" w14:textId="77777777" w:rsidR="00F97B66" w:rsidRPr="00C44E1D" w:rsidRDefault="00F97B6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4,792</w:t>
            </w:r>
          </w:p>
        </w:tc>
        <w:tc>
          <w:tcPr>
            <w:tcW w:w="0" w:type="auto"/>
            <w:shd w:val="clear" w:color="auto" w:fill="auto"/>
            <w:noWrap/>
            <w:vAlign w:val="center"/>
          </w:tcPr>
          <w:p w14:paraId="6E703CB8" w14:textId="77777777" w:rsidR="00F97B66" w:rsidRPr="00C44E1D" w:rsidRDefault="00F97B6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641</w:t>
            </w:r>
          </w:p>
        </w:tc>
        <w:tc>
          <w:tcPr>
            <w:tcW w:w="0" w:type="auto"/>
            <w:shd w:val="clear" w:color="auto" w:fill="auto"/>
            <w:noWrap/>
            <w:vAlign w:val="center"/>
          </w:tcPr>
          <w:p w14:paraId="62D655C1" w14:textId="77777777" w:rsidR="00F97B66" w:rsidRPr="00C44E1D" w:rsidRDefault="00F97B6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642</w:t>
            </w:r>
          </w:p>
        </w:tc>
      </w:tr>
      <w:tr w:rsidR="00F97B66" w:rsidRPr="00C44E1D" w14:paraId="1FEA652D" w14:textId="77777777" w:rsidTr="00721B09">
        <w:tc>
          <w:tcPr>
            <w:tcW w:w="0" w:type="auto"/>
            <w:shd w:val="clear" w:color="auto" w:fill="auto"/>
            <w:vAlign w:val="center"/>
          </w:tcPr>
          <w:p w14:paraId="702C9EB9" w14:textId="77777777" w:rsidR="00F97B66" w:rsidRDefault="00F97B66" w:rsidP="00721B09">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2</w:t>
            </w:r>
          </w:p>
        </w:tc>
        <w:tc>
          <w:tcPr>
            <w:tcW w:w="0" w:type="auto"/>
            <w:shd w:val="clear" w:color="auto" w:fill="auto"/>
            <w:noWrap/>
          </w:tcPr>
          <w:p w14:paraId="7AD20794" w14:textId="77777777" w:rsidR="00F97B66" w:rsidRPr="00B247A0" w:rsidRDefault="00F97B66" w:rsidP="00721B09">
            <w:pPr>
              <w:spacing w:after="0"/>
              <w:jc w:val="right"/>
              <w:rPr>
                <w:rFonts w:ascii="Arial Narrow" w:eastAsia="Times New Roman" w:hAnsi="Arial Narrow" w:cs="Times New Roman"/>
                <w:color w:val="000000"/>
                <w:sz w:val="20"/>
                <w:szCs w:val="20"/>
              </w:rPr>
            </w:pPr>
            <w:r w:rsidRPr="00B247A0">
              <w:rPr>
                <w:rFonts w:ascii="Arial Narrow" w:hAnsi="Arial Narrow"/>
                <w:sz w:val="20"/>
                <w:szCs w:val="20"/>
              </w:rPr>
              <w:t>201279_20</w:t>
            </w:r>
          </w:p>
        </w:tc>
        <w:tc>
          <w:tcPr>
            <w:tcW w:w="0" w:type="auto"/>
            <w:shd w:val="clear" w:color="auto" w:fill="auto"/>
            <w:noWrap/>
            <w:vAlign w:val="center"/>
          </w:tcPr>
          <w:p w14:paraId="6679BA04" w14:textId="77777777" w:rsidR="00F97B66" w:rsidRPr="00C44E1D" w:rsidRDefault="00F97B6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4,761</w:t>
            </w:r>
          </w:p>
        </w:tc>
        <w:tc>
          <w:tcPr>
            <w:tcW w:w="0" w:type="auto"/>
            <w:shd w:val="clear" w:color="auto" w:fill="auto"/>
            <w:noWrap/>
            <w:vAlign w:val="center"/>
          </w:tcPr>
          <w:p w14:paraId="66E21207" w14:textId="77777777" w:rsidR="00F97B66" w:rsidRPr="00C44E1D" w:rsidRDefault="00F97B6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688</w:t>
            </w:r>
          </w:p>
        </w:tc>
        <w:tc>
          <w:tcPr>
            <w:tcW w:w="0" w:type="auto"/>
            <w:shd w:val="clear" w:color="auto" w:fill="auto"/>
            <w:noWrap/>
            <w:vAlign w:val="center"/>
          </w:tcPr>
          <w:p w14:paraId="09DA89F0" w14:textId="77777777" w:rsidR="00F97B66" w:rsidRPr="00C44E1D" w:rsidRDefault="00F97B6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668</w:t>
            </w:r>
          </w:p>
        </w:tc>
      </w:tr>
      <w:tr w:rsidR="00F97B66" w:rsidRPr="00C44E1D" w14:paraId="73B74A6C" w14:textId="77777777" w:rsidTr="00721B09">
        <w:tc>
          <w:tcPr>
            <w:tcW w:w="0" w:type="auto"/>
            <w:shd w:val="clear" w:color="auto" w:fill="auto"/>
            <w:vAlign w:val="center"/>
          </w:tcPr>
          <w:p w14:paraId="7E383088" w14:textId="77777777" w:rsidR="00F97B66" w:rsidRDefault="00F97B66" w:rsidP="00721B09">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3</w:t>
            </w:r>
          </w:p>
        </w:tc>
        <w:tc>
          <w:tcPr>
            <w:tcW w:w="0" w:type="auto"/>
            <w:shd w:val="clear" w:color="auto" w:fill="auto"/>
            <w:noWrap/>
          </w:tcPr>
          <w:p w14:paraId="4CAAD2A8" w14:textId="77777777" w:rsidR="00F97B66" w:rsidRPr="00B247A0" w:rsidRDefault="00F97B66" w:rsidP="00721B09">
            <w:pPr>
              <w:spacing w:after="0"/>
              <w:jc w:val="right"/>
              <w:rPr>
                <w:rFonts w:ascii="Arial Narrow" w:eastAsia="Times New Roman" w:hAnsi="Arial Narrow" w:cs="Times New Roman"/>
                <w:color w:val="000000"/>
                <w:sz w:val="20"/>
                <w:szCs w:val="20"/>
              </w:rPr>
            </w:pPr>
            <w:r w:rsidRPr="00B247A0">
              <w:rPr>
                <w:rFonts w:ascii="Arial Narrow" w:hAnsi="Arial Narrow"/>
                <w:sz w:val="20"/>
                <w:szCs w:val="20"/>
              </w:rPr>
              <w:t>201279_20</w:t>
            </w:r>
          </w:p>
        </w:tc>
        <w:tc>
          <w:tcPr>
            <w:tcW w:w="0" w:type="auto"/>
            <w:shd w:val="clear" w:color="auto" w:fill="auto"/>
            <w:noWrap/>
            <w:vAlign w:val="center"/>
          </w:tcPr>
          <w:p w14:paraId="50605D9B" w14:textId="77777777" w:rsidR="00F97B66" w:rsidRPr="00C44E1D" w:rsidRDefault="00F97B6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8,629</w:t>
            </w:r>
          </w:p>
        </w:tc>
        <w:tc>
          <w:tcPr>
            <w:tcW w:w="0" w:type="auto"/>
            <w:shd w:val="clear" w:color="auto" w:fill="auto"/>
            <w:noWrap/>
            <w:vAlign w:val="center"/>
          </w:tcPr>
          <w:p w14:paraId="1BF3F6B3" w14:textId="77777777" w:rsidR="00F97B66" w:rsidRPr="00C44E1D" w:rsidRDefault="00F97B6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1,126</w:t>
            </w:r>
          </w:p>
        </w:tc>
        <w:tc>
          <w:tcPr>
            <w:tcW w:w="0" w:type="auto"/>
            <w:shd w:val="clear" w:color="auto" w:fill="auto"/>
            <w:noWrap/>
            <w:vAlign w:val="center"/>
          </w:tcPr>
          <w:p w14:paraId="794C0060" w14:textId="77777777" w:rsidR="00F97B66" w:rsidRPr="00C44E1D" w:rsidRDefault="00F97B6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1,070</w:t>
            </w:r>
          </w:p>
        </w:tc>
      </w:tr>
      <w:tr w:rsidR="00F97B66" w:rsidRPr="00C44E1D" w14:paraId="4C625F90" w14:textId="77777777" w:rsidTr="00721B09">
        <w:tc>
          <w:tcPr>
            <w:tcW w:w="0" w:type="auto"/>
            <w:shd w:val="clear" w:color="auto" w:fill="auto"/>
            <w:vAlign w:val="center"/>
          </w:tcPr>
          <w:p w14:paraId="59AF12A2" w14:textId="77777777" w:rsidR="00F97B66" w:rsidRDefault="00F97B66" w:rsidP="00721B09">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4</w:t>
            </w:r>
          </w:p>
        </w:tc>
        <w:tc>
          <w:tcPr>
            <w:tcW w:w="0" w:type="auto"/>
            <w:shd w:val="clear" w:color="auto" w:fill="auto"/>
            <w:noWrap/>
          </w:tcPr>
          <w:p w14:paraId="2C6AC55E" w14:textId="77777777" w:rsidR="00F97B66" w:rsidRPr="00B247A0" w:rsidRDefault="00F97B66" w:rsidP="00721B09">
            <w:pPr>
              <w:spacing w:after="0"/>
              <w:jc w:val="right"/>
              <w:rPr>
                <w:rFonts w:ascii="Arial Narrow" w:hAnsi="Arial Narrow" w:cs="Calibri"/>
                <w:color w:val="000000"/>
                <w:sz w:val="20"/>
                <w:szCs w:val="20"/>
              </w:rPr>
            </w:pPr>
            <w:r w:rsidRPr="00B247A0">
              <w:rPr>
                <w:rFonts w:ascii="Arial Narrow" w:hAnsi="Arial Narrow"/>
                <w:sz w:val="20"/>
                <w:szCs w:val="20"/>
              </w:rPr>
              <w:t>201279_20</w:t>
            </w:r>
          </w:p>
        </w:tc>
        <w:tc>
          <w:tcPr>
            <w:tcW w:w="0" w:type="auto"/>
            <w:shd w:val="clear" w:color="auto" w:fill="auto"/>
            <w:noWrap/>
            <w:vAlign w:val="center"/>
          </w:tcPr>
          <w:p w14:paraId="17226BEF" w14:textId="77777777" w:rsidR="00F97B66" w:rsidRDefault="00F97B66" w:rsidP="00721B09">
            <w:pPr>
              <w:spacing w:after="0"/>
              <w:jc w:val="right"/>
              <w:rPr>
                <w:rFonts w:ascii="Arial Narrow" w:hAnsi="Arial Narrow" w:cs="Calibri"/>
                <w:color w:val="000000"/>
                <w:sz w:val="20"/>
                <w:szCs w:val="20"/>
              </w:rPr>
            </w:pPr>
            <w:r>
              <w:rPr>
                <w:rFonts w:ascii="Arial Narrow" w:hAnsi="Arial Narrow" w:cs="Calibri"/>
                <w:color w:val="000000"/>
                <w:sz w:val="20"/>
                <w:szCs w:val="20"/>
              </w:rPr>
              <w:t>533</w:t>
            </w:r>
          </w:p>
        </w:tc>
        <w:tc>
          <w:tcPr>
            <w:tcW w:w="0" w:type="auto"/>
            <w:shd w:val="clear" w:color="auto" w:fill="auto"/>
            <w:noWrap/>
            <w:vAlign w:val="center"/>
          </w:tcPr>
          <w:p w14:paraId="1E937FED" w14:textId="77777777" w:rsidR="00F97B66" w:rsidRDefault="00F97B66" w:rsidP="00721B09">
            <w:pPr>
              <w:spacing w:after="0"/>
              <w:jc w:val="right"/>
              <w:rPr>
                <w:rFonts w:ascii="Arial Narrow" w:hAnsi="Arial Narrow" w:cs="Calibri"/>
                <w:color w:val="000000"/>
                <w:sz w:val="20"/>
                <w:szCs w:val="20"/>
              </w:rPr>
            </w:pPr>
            <w:r>
              <w:rPr>
                <w:rFonts w:ascii="Arial Narrow" w:hAnsi="Arial Narrow" w:cs="Calibri"/>
                <w:color w:val="000000"/>
                <w:sz w:val="20"/>
                <w:szCs w:val="20"/>
              </w:rPr>
              <w:t>79</w:t>
            </w:r>
          </w:p>
        </w:tc>
        <w:tc>
          <w:tcPr>
            <w:tcW w:w="0" w:type="auto"/>
            <w:shd w:val="clear" w:color="auto" w:fill="auto"/>
            <w:noWrap/>
            <w:vAlign w:val="center"/>
          </w:tcPr>
          <w:p w14:paraId="1B9F613F" w14:textId="77777777" w:rsidR="00F97B66" w:rsidRDefault="00F97B66" w:rsidP="00721B09">
            <w:pPr>
              <w:spacing w:after="0"/>
              <w:jc w:val="right"/>
              <w:rPr>
                <w:rFonts w:ascii="Arial Narrow" w:hAnsi="Arial Narrow" w:cs="Calibri"/>
                <w:color w:val="000000"/>
                <w:sz w:val="20"/>
                <w:szCs w:val="20"/>
              </w:rPr>
            </w:pPr>
            <w:r>
              <w:rPr>
                <w:rFonts w:ascii="Arial Narrow" w:hAnsi="Arial Narrow" w:cs="Calibri"/>
                <w:color w:val="000000"/>
                <w:sz w:val="20"/>
                <w:szCs w:val="20"/>
              </w:rPr>
              <w:t>73</w:t>
            </w:r>
          </w:p>
        </w:tc>
      </w:tr>
    </w:tbl>
    <w:p w14:paraId="74F9018F" w14:textId="77777777" w:rsidR="00F97B66" w:rsidRDefault="00F97B66" w:rsidP="00F97B66">
      <w:pPr>
        <w:rPr>
          <w:rFonts w:eastAsia="Calibri"/>
        </w:rPr>
      </w:pPr>
    </w:p>
    <w:p w14:paraId="0FBDBA85" w14:textId="77777777" w:rsidR="00F97B66" w:rsidRPr="00C44E1D" w:rsidRDefault="00F97B66" w:rsidP="00F97B66">
      <w:pPr>
        <w:rPr>
          <w:rFonts w:eastAsia="Calibri" w:cs="Times New Roman"/>
        </w:rPr>
      </w:pPr>
      <w:proofErr w:type="spellStart"/>
      <w:r w:rsidRPr="00C44E1D">
        <w:rPr>
          <w:rFonts w:eastAsia="Calibri"/>
        </w:rPr>
        <w:t>Nat</w:t>
      </w:r>
      <w:r>
        <w:rPr>
          <w:rFonts w:eastAsia="Calibri"/>
        </w:rPr>
        <w:t>Avg</w:t>
      </w:r>
      <w:r w:rsidRPr="00C44E1D">
        <w:rPr>
          <w:rFonts w:eastAsia="Calibri"/>
        </w:rPr>
        <w:t>Obs</w:t>
      </w:r>
      <w:proofErr w:type="spellEnd"/>
      <w:r w:rsidRPr="00C44E1D">
        <w:rPr>
          <w:rFonts w:eastAsia="Calibri"/>
        </w:rPr>
        <w:t xml:space="preserve"> = </w:t>
      </w:r>
      <m:oMath>
        <m:r>
          <m:rPr>
            <m:nor/>
          </m:rPr>
          <w:rPr>
            <w:rFonts w:eastAsia="Calibri"/>
          </w:rPr>
          <m:t>Average</m:t>
        </m:r>
        <m:d>
          <m:dPr>
            <m:ctrlPr>
              <w:rPr>
                <w:rFonts w:ascii="Cambria Math" w:eastAsia="Calibri" w:hAnsi="Cambria Math"/>
              </w:rPr>
            </m:ctrlPr>
          </m:dPr>
          <m:e>
            <m:d>
              <m:dPr>
                <m:ctrlPr>
                  <w:rPr>
                    <w:rFonts w:ascii="Cambria Math" w:eastAsia="Calibri" w:hAnsi="Cambria Math"/>
                  </w:rPr>
                </m:ctrlPr>
              </m:dPr>
              <m:e>
                <m:f>
                  <m:fPr>
                    <m:ctrlPr>
                      <w:rPr>
                        <w:rFonts w:ascii="Cambria Math" w:eastAsia="Calibri" w:hAnsi="Cambria Math"/>
                      </w:rPr>
                    </m:ctrlPr>
                  </m:fPr>
                  <m:num>
                    <m:r>
                      <m:rPr>
                        <m:nor/>
                      </m:rPr>
                      <w:rPr>
                        <w:rFonts w:eastAsia="Calibri"/>
                      </w:rPr>
                      <m:t xml:space="preserve">641 </m:t>
                    </m:r>
                  </m:num>
                  <m:den>
                    <m:r>
                      <m:rPr>
                        <m:nor/>
                      </m:rPr>
                      <w:rPr>
                        <w:rFonts w:eastAsia="Calibri"/>
                      </w:rPr>
                      <m:t>4</m:t>
                    </m:r>
                    <m:r>
                      <m:rPr>
                        <m:nor/>
                      </m:rPr>
                      <w:rPr>
                        <w:rFonts w:ascii="Cambria Math" w:eastAsia="Calibri"/>
                      </w:rPr>
                      <m:t>,</m:t>
                    </m:r>
                    <m:r>
                      <m:rPr>
                        <m:nor/>
                      </m:rPr>
                      <w:rPr>
                        <w:rFonts w:eastAsia="Calibri"/>
                      </w:rPr>
                      <m:t>792</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688</m:t>
                    </m:r>
                  </m:num>
                  <m:den>
                    <m:r>
                      <m:rPr>
                        <m:nor/>
                      </m:rPr>
                      <w:rPr>
                        <w:rFonts w:eastAsia="Calibri"/>
                      </w:rPr>
                      <m:t>4,761</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1,126</m:t>
                    </m:r>
                  </m:num>
                  <m:den>
                    <m:r>
                      <m:rPr>
                        <m:nor/>
                      </m:rPr>
                      <w:rPr>
                        <w:rFonts w:eastAsia="Calibri"/>
                      </w:rPr>
                      <m:t>8,629</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79</m:t>
                    </m:r>
                  </m:num>
                  <m:den>
                    <m:r>
                      <m:rPr>
                        <m:nor/>
                      </m:rPr>
                      <w:rPr>
                        <w:rFonts w:eastAsia="Calibri"/>
                      </w:rPr>
                      <m:t>533</m:t>
                    </m:r>
                  </m:den>
                </m:f>
              </m:e>
            </m:d>
          </m:e>
        </m:d>
      </m:oMath>
    </w:p>
    <w:p w14:paraId="7CA9459F" w14:textId="77777777" w:rsidR="00F97B66" w:rsidRPr="00C44E1D" w:rsidRDefault="00F97B66" w:rsidP="00F97B66">
      <w:pPr>
        <w:rPr>
          <w:rFonts w:ascii="Cambria Math" w:eastAsia="Calibri" w:hAnsi="Cambria Math"/>
          <w:oMath/>
        </w:rPr>
      </w:pPr>
      <w:proofErr w:type="spellStart"/>
      <w:r w:rsidRPr="00C44E1D">
        <w:rPr>
          <w:rFonts w:eastAsia="Calibri"/>
        </w:rPr>
        <w:t>Nat</w:t>
      </w:r>
      <w:r>
        <w:rPr>
          <w:rFonts w:eastAsia="Calibri"/>
        </w:rPr>
        <w:t>AvgObs</w:t>
      </w:r>
      <w:proofErr w:type="spellEnd"/>
      <w:r w:rsidRPr="00C44E1D">
        <w:rPr>
          <w:rFonts w:eastAsia="Calibri"/>
        </w:rPr>
        <w:t xml:space="preserve"> = </w:t>
      </w:r>
      <m:oMath>
        <m:r>
          <m:rPr>
            <m:nor/>
          </m:rPr>
          <w:rPr>
            <w:rFonts w:eastAsia="Calibri"/>
          </w:rPr>
          <m:t xml:space="preserve">Average </m:t>
        </m:r>
        <m:d>
          <m:dPr>
            <m:ctrlPr>
              <w:rPr>
                <w:rFonts w:ascii="Cambria Math" w:eastAsia="Calibri" w:hAnsi="Cambria Math"/>
              </w:rPr>
            </m:ctrlPr>
          </m:dPr>
          <m:e>
            <m:d>
              <m:dPr>
                <m:ctrlPr>
                  <w:rPr>
                    <w:rFonts w:ascii="Cambria Math" w:eastAsia="Calibri" w:hAnsi="Cambria Math"/>
                  </w:rPr>
                </m:ctrlPr>
              </m:dPr>
              <m:e>
                <m:r>
                  <m:rPr>
                    <m:nor/>
                  </m:rPr>
                  <w:rPr>
                    <w:rFonts w:eastAsia="Calibri"/>
                  </w:rPr>
                  <m:t>0.13376</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0.14451</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0.13049</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0.14822</m:t>
                </m:r>
              </m:e>
            </m:d>
          </m:e>
        </m:d>
      </m:oMath>
    </w:p>
    <w:p w14:paraId="04E0E5A4" w14:textId="77777777" w:rsidR="00F97B66" w:rsidRDefault="00F97B66" w:rsidP="00F97B66">
      <w:pPr>
        <w:rPr>
          <w:rFonts w:eastAsia="Calibri"/>
        </w:rPr>
      </w:pPr>
      <w:r>
        <w:rPr>
          <w:rFonts w:eastAsia="Calibri"/>
        </w:rPr>
        <w:t>NatAvgObs</w:t>
      </w:r>
      <w:r w:rsidRPr="00C44E1D">
        <w:rPr>
          <w:rFonts w:eastAsia="Calibri"/>
        </w:rPr>
        <w:t xml:space="preserve"> = </w:t>
      </w:r>
      <w:r>
        <w:rPr>
          <w:rFonts w:eastAsia="Calibri"/>
        </w:rPr>
        <w:t>0</w:t>
      </w:r>
      <w:r w:rsidRPr="00C44E1D">
        <w:rPr>
          <w:rFonts w:eastAsia="Calibri"/>
        </w:rPr>
        <w:t>.139245</w:t>
      </w:r>
    </w:p>
    <w:p w14:paraId="42D6883D" w14:textId="77777777" w:rsidR="00F97B66" w:rsidRDefault="00F97B66" w:rsidP="00F97B66">
      <w:pPr>
        <w:pStyle w:val="Normal-Formula"/>
        <w:spacing w:before="120" w:after="120"/>
      </w:pPr>
      <w:r>
        <w:t xml:space="preserve">Final Rate Contract 1 = </w:t>
      </w:r>
      <m:oMath>
        <m:d>
          <m:dPr>
            <m:ctrlPr>
              <w:rPr>
                <w:rFonts w:ascii="Cambria Math" w:hAnsi="Cambria Math"/>
                <w:i/>
              </w:rPr>
            </m:ctrlPr>
          </m:dPr>
          <m:e>
            <m:d>
              <m:dPr>
                <m:ctrlPr>
                  <w:rPr>
                    <w:rFonts w:ascii="Cambria Math" w:hAnsi="Cambria Math"/>
                    <w:i/>
                  </w:rPr>
                </m:ctrlPr>
              </m:dPr>
              <m:e>
                <m:f>
                  <m:fPr>
                    <m:ctrlPr>
                      <w:rPr>
                        <w:rFonts w:ascii="Cambria Math" w:hAnsi="Cambria Math"/>
                        <w:i/>
                      </w:rPr>
                    </m:ctrlPr>
                  </m:fPr>
                  <m:num>
                    <m:r>
                      <m:rPr>
                        <m:nor/>
                      </m:rPr>
                      <m:t>641</m:t>
                    </m:r>
                  </m:num>
                  <m:den>
                    <m:r>
                      <m:rPr>
                        <m:nor/>
                      </m:rPr>
                      <m:t>642</m:t>
                    </m:r>
                  </m:den>
                </m:f>
              </m:e>
            </m:d>
            <m:r>
              <m:rPr>
                <m:nor/>
              </m:rPr>
              <m:t xml:space="preserve"> × .139245</m:t>
            </m:r>
          </m:e>
        </m:d>
        <m:r>
          <m:rPr>
            <m:nor/>
          </m:rPr>
          <m:t xml:space="preserve"> x 1000 = </m:t>
        </m:r>
        <m:r>
          <m:rPr>
            <m:nor/>
          </m:rPr>
          <w:rPr>
            <w:rFonts w:eastAsiaTheme="minorEastAsia"/>
          </w:rPr>
          <m:t>139.028</m:t>
        </m:r>
      </m:oMath>
    </w:p>
    <w:p w14:paraId="3B3566D3" w14:textId="77777777" w:rsidR="00F97B66" w:rsidRDefault="00F97B66" w:rsidP="00F97B66">
      <w:pPr>
        <w:pStyle w:val="Normal-Formula"/>
        <w:spacing w:before="120" w:after="120"/>
      </w:pPr>
      <w:r>
        <w:t>Final Rate reported for Contract 1 = 139</w:t>
      </w:r>
    </w:p>
    <w:p w14:paraId="2EEFA457" w14:textId="77777777" w:rsidR="001B5FEC" w:rsidRPr="00DD7B93" w:rsidRDefault="001B5FEC" w:rsidP="004066D2">
      <w:pPr>
        <w:spacing w:line="276" w:lineRule="auto"/>
        <w:rPr>
          <w:rFonts w:eastAsiaTheme="minorEastAsia"/>
          <w:sz w:val="18"/>
          <w:szCs w:val="24"/>
        </w:rPr>
      </w:pPr>
      <w:r w:rsidRPr="00DD7B93">
        <w:br w:type="page"/>
      </w:r>
    </w:p>
    <w:p w14:paraId="100C7AF6" w14:textId="77777777" w:rsidR="00F97B66" w:rsidRDefault="00F97B66" w:rsidP="00F97B66">
      <w:pPr>
        <w:pStyle w:val="AttachmentTitle"/>
        <w:spacing w:after="120"/>
      </w:pPr>
      <w:r>
        <w:lastRenderedPageBreak/>
        <w:t>Calculating Measure 2021 HPC: Hospitalization for Potentially Preventable Complications – Total ACSC (M/F Total)</w:t>
      </w:r>
    </w:p>
    <w:p w14:paraId="49D5D61B" w14:textId="7BF9572D" w:rsidR="00F97B66" w:rsidRDefault="00F97B66" w:rsidP="00F97B66">
      <w:r w:rsidRPr="00CF20FE">
        <w:t xml:space="preserve">All </w:t>
      </w:r>
      <w:r w:rsidR="00A72D4E">
        <w:t>data</w:t>
      </w:r>
      <w:r>
        <w:t xml:space="preserve"> can be looked up by </w:t>
      </w:r>
      <w:proofErr w:type="spellStart"/>
      <w:r>
        <w:t>IndicatorKey</w:t>
      </w:r>
      <w:proofErr w:type="spellEnd"/>
      <w:r>
        <w:t xml:space="preserve"> (row) and Variable name (column).</w:t>
      </w:r>
    </w:p>
    <w:p w14:paraId="2B83A021" w14:textId="77777777" w:rsidR="00F97B66" w:rsidRDefault="00F97B66" w:rsidP="00F97B66">
      <w:r>
        <w:t xml:space="preserve">The calculations below use the </w:t>
      </w:r>
      <w:proofErr w:type="spellStart"/>
      <w:r>
        <w:t>NonOutlierMemberCount</w:t>
      </w:r>
      <w:proofErr w:type="spellEnd"/>
      <w:r>
        <w:t xml:space="preserve">, </w:t>
      </w:r>
      <w:proofErr w:type="spellStart"/>
      <w:r>
        <w:t>ObservedCount</w:t>
      </w:r>
      <w:proofErr w:type="spellEnd"/>
      <w:r>
        <w:t xml:space="preserve"> and </w:t>
      </w:r>
      <w:proofErr w:type="spellStart"/>
      <w:r>
        <w:t>ExpectedCount</w:t>
      </w:r>
      <w:proofErr w:type="spellEnd"/>
      <w:r>
        <w:t xml:space="preserve"> values from the HPC Total ACSC (M/F Total) indicator (</w:t>
      </w:r>
      <w:proofErr w:type="spellStart"/>
      <w:r>
        <w:t>IndicatorKey</w:t>
      </w:r>
      <w:proofErr w:type="spellEnd"/>
      <w:r>
        <w:t xml:space="preserve"> = </w:t>
      </w:r>
      <w:r w:rsidRPr="002444BD">
        <w:t>201315_20</w:t>
      </w:r>
      <w:r>
        <w:t>).</w:t>
      </w:r>
    </w:p>
    <w:p w14:paraId="73A2CF0D" w14:textId="77777777" w:rsidR="00F97B66" w:rsidRDefault="00F97B66" w:rsidP="00F97B66">
      <w:r>
        <w:t>For each contract, calculate the Total ACSC (M/F Total) Observed-over-Expected Ratio (OE):</w:t>
      </w:r>
    </w:p>
    <w:p w14:paraId="47EE2759" w14:textId="77777777" w:rsidR="00F97B66" w:rsidRDefault="00F97B66" w:rsidP="00F97B66">
      <w:pPr>
        <w:ind w:firstLine="720"/>
      </w:pPr>
      <w:r>
        <w:t xml:space="preserve">OE = </w:t>
      </w:r>
      <m:oMath>
        <m:d>
          <m:dPr>
            <m:ctrlPr>
              <w:rPr>
                <w:rFonts w:ascii="Cambria Math" w:hAnsi="Cambria Math"/>
                <w:sz w:val="28"/>
                <w:szCs w:val="28"/>
              </w:rPr>
            </m:ctrlPr>
          </m:dPr>
          <m:e>
            <m:f>
              <m:fPr>
                <m:ctrlPr>
                  <w:rPr>
                    <w:rFonts w:ascii="Cambria Math" w:hAnsi="Cambria Math"/>
                    <w:sz w:val="28"/>
                    <w:szCs w:val="28"/>
                  </w:rPr>
                </m:ctrlPr>
              </m:fPr>
              <m:num>
                <w:proofErr w:type="spellStart"/>
                <m:r>
                  <m:rPr>
                    <m:nor/>
                  </m:rPr>
                  <w:rPr>
                    <w:sz w:val="28"/>
                    <w:szCs w:val="28"/>
                  </w:rPr>
                  <m:t>ObservedCount</m:t>
                </m:r>
                <w:proofErr w:type="spellEnd"/>
              </m:num>
              <m:den>
                <w:proofErr w:type="spellStart"/>
                <m:r>
                  <m:rPr>
                    <m:nor/>
                  </m:rPr>
                  <w:rPr>
                    <w:sz w:val="28"/>
                    <w:szCs w:val="28"/>
                  </w:rPr>
                  <m:t>ExpectedCount</m:t>
                </m:r>
                <w:proofErr w:type="spellEnd"/>
              </m:den>
            </m:f>
          </m:e>
        </m:d>
      </m:oMath>
    </w:p>
    <w:p w14:paraId="16686477" w14:textId="77777777" w:rsidR="00F97B66" w:rsidRDefault="00F97B66" w:rsidP="00F97B66">
      <w:r>
        <w:t>Calculate the national average of the Total ACSC (M/F Total) Observed Rate:</w:t>
      </w:r>
    </w:p>
    <w:p w14:paraId="3DE2E89F" w14:textId="77777777" w:rsidR="00F97B66" w:rsidRDefault="00F97B66" w:rsidP="00F97B66">
      <w:pPr>
        <w:pStyle w:val="Normal-Formula"/>
        <w:spacing w:before="120"/>
        <w:ind w:firstLine="720"/>
      </w:pPr>
      <w:proofErr w:type="spellStart"/>
      <w:r w:rsidRPr="00301E67">
        <w:t>NatAvgObs</w:t>
      </w:r>
      <w:proofErr w:type="spellEnd"/>
      <w:r w:rsidRPr="00301E67">
        <w:t xml:space="preserve"> = </w:t>
      </w:r>
      <m:oMath>
        <m:r>
          <m:rPr>
            <m:nor/>
          </m:rPr>
          <m:t>Average</m:t>
        </m:r>
        <m:d>
          <m:dPr>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w:proofErr w:type="spellStart"/>
                        <m:r>
                          <m:rPr>
                            <m:nor/>
                          </m:rPr>
                          <m:t>ObservedCount</m:t>
                        </m:r>
                        <w:proofErr w:type="spellEnd"/>
                      </m:e>
                      <m:sub>
                        <m:r>
                          <m:rPr>
                            <m:nor/>
                          </m:rPr>
                          <m:t>1</m:t>
                        </m:r>
                      </m:sub>
                    </m:sSub>
                  </m:num>
                  <m:den>
                    <m:sSub>
                      <m:sSubPr>
                        <m:ctrlPr>
                          <w:rPr>
                            <w:rFonts w:ascii="Cambria Math" w:hAnsi="Cambria Math"/>
                          </w:rPr>
                        </m:ctrlPr>
                      </m:sSubPr>
                      <m:e>
                        <w:proofErr w:type="spellStart"/>
                        <m:r>
                          <m:rPr>
                            <m:nor/>
                          </m:rPr>
                          <m:t>NonOutlierMemberCount</m:t>
                        </m:r>
                        <w:proofErr w:type="spellEnd"/>
                      </m:e>
                      <m:sub>
                        <m:r>
                          <m:rPr>
                            <m:nor/>
                          </m:rPr>
                          <m:t>1</m:t>
                        </m:r>
                      </m:sub>
                    </m:sSub>
                  </m:den>
                </m:f>
              </m:e>
            </m:d>
            <m:r>
              <m:rPr>
                <m:nor/>
              </m:rPr>
              <m:t xml:space="preserve"> + … +</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w:proofErr w:type="spellStart"/>
                        <m:r>
                          <m:rPr>
                            <m:nor/>
                          </m:rPr>
                          <m:t>ObservedCount</m:t>
                        </m:r>
                        <w:proofErr w:type="spellEnd"/>
                      </m:e>
                      <m:sub>
                        <m:r>
                          <m:rPr>
                            <m:nor/>
                          </m:rPr>
                          <m:t>n</m:t>
                        </m:r>
                      </m:sub>
                    </m:sSub>
                  </m:num>
                  <m:den>
                    <m:sSub>
                      <m:sSubPr>
                        <m:ctrlPr>
                          <w:rPr>
                            <w:rFonts w:ascii="Cambria Math" w:hAnsi="Cambria Math"/>
                          </w:rPr>
                        </m:ctrlPr>
                      </m:sSubPr>
                      <m:e>
                        <w:proofErr w:type="spellStart"/>
                        <m:r>
                          <m:rPr>
                            <m:nor/>
                          </m:rPr>
                          <m:t>NonOutlierMemberCount</m:t>
                        </m:r>
                        <w:proofErr w:type="spellEnd"/>
                      </m:e>
                      <m:sub>
                        <m:r>
                          <m:rPr>
                            <m:nor/>
                          </m:rPr>
                          <m:t>n</m:t>
                        </m:r>
                      </m:sub>
                    </m:sSub>
                  </m:den>
                </m:f>
              </m:e>
            </m:d>
          </m:e>
        </m:d>
      </m:oMath>
    </w:p>
    <w:p w14:paraId="4502E8DD" w14:textId="77777777" w:rsidR="00F97B66" w:rsidRPr="001F52D8" w:rsidRDefault="00F97B66" w:rsidP="00F97B66">
      <w:r>
        <w:t>W</w:t>
      </w:r>
      <w:r w:rsidRPr="00301E67">
        <w:t xml:space="preserve">here 1 through n are all </w:t>
      </w:r>
      <w:r w:rsidRPr="00D208DD">
        <w:t xml:space="preserve">contracts with </w:t>
      </w:r>
      <w:r>
        <w:t xml:space="preserve">a Total ACSC (M/F Total) </w:t>
      </w:r>
      <w:proofErr w:type="spellStart"/>
      <w:r>
        <w:t>NonOutlierMemberCount</w:t>
      </w:r>
      <w:proofErr w:type="spellEnd"/>
      <w:r w:rsidRPr="00D208DD">
        <w:t xml:space="preserve"> </w:t>
      </w:r>
      <w:r>
        <w:t>larger than or equal to</w:t>
      </w:r>
      <w:r w:rsidRPr="00D208DD">
        <w:t xml:space="preserve"> 150</w:t>
      </w:r>
      <w:r>
        <w:t>, and a Total ACSC (M/F Total) OE larger than or equal to 0.2 and less than or equal to 5.0.</w:t>
      </w:r>
    </w:p>
    <w:p w14:paraId="1BAC3C9B" w14:textId="77777777" w:rsidR="00F97B66" w:rsidRDefault="00F97B66" w:rsidP="00F97B66">
      <w:pPr>
        <w:rPr>
          <w:szCs w:val="20"/>
        </w:rPr>
      </w:pPr>
      <w:r>
        <w:rPr>
          <w:szCs w:val="20"/>
        </w:rPr>
        <w:t>For each contract, calculate the Final Rate and convert to percentages:</w:t>
      </w:r>
    </w:p>
    <w:p w14:paraId="399DC360" w14:textId="77777777" w:rsidR="00F97B66" w:rsidRDefault="00F97B66" w:rsidP="00F97B66">
      <w:pPr>
        <w:pStyle w:val="Normal-Formula"/>
        <w:spacing w:before="120" w:after="120"/>
        <w:ind w:firstLine="720"/>
      </w:pPr>
      <w:r>
        <w:rPr>
          <w:szCs w:val="20"/>
        </w:rPr>
        <w:t>Final</w:t>
      </w:r>
      <w:r w:rsidRPr="00301E67">
        <w:rPr>
          <w:szCs w:val="20"/>
        </w:rPr>
        <w:t xml:space="preserve"> Rate =</w:t>
      </w:r>
      <w:r>
        <w:t xml:space="preserve"> </w:t>
      </w:r>
      <m:oMath>
        <m:r>
          <m:rPr>
            <m:nor/>
          </m:rPr>
          <m:t xml:space="preserve">OE x </m:t>
        </m:r>
        <w:proofErr w:type="spellStart"/>
        <m:r>
          <m:rPr>
            <m:nor/>
          </m:rPr>
          <m:t>NatAvgObs</m:t>
        </m:r>
        <w:proofErr w:type="spellEnd"/>
        <m:r>
          <m:rPr>
            <m:nor/>
          </m:rPr>
          <m:t xml:space="preserve"> x 1000 </m:t>
        </m:r>
      </m:oMath>
    </w:p>
    <w:p w14:paraId="745D1523" w14:textId="77777777" w:rsidR="00F97B66" w:rsidRDefault="00F97B66" w:rsidP="00F97B66">
      <w:pPr>
        <w:pStyle w:val="Normal-Formula"/>
        <w:spacing w:before="120" w:after="120"/>
      </w:pPr>
      <w:r>
        <w:t>And round to the nearest integer.</w:t>
      </w:r>
    </w:p>
    <w:p w14:paraId="3200C2B2" w14:textId="77777777" w:rsidR="00F97B66" w:rsidRDefault="00F97B66" w:rsidP="00F97B66"/>
    <w:p w14:paraId="65E769E5" w14:textId="77777777" w:rsidR="00F97B66" w:rsidRPr="00C44E1D" w:rsidRDefault="00F97B66" w:rsidP="00F97B66">
      <w:pPr>
        <w:rPr>
          <w:rFonts w:eastAsia="Calibri"/>
        </w:rPr>
      </w:pPr>
      <w:r w:rsidRPr="00C44E1D">
        <w:rPr>
          <w:rFonts w:eastAsia="Calibri"/>
        </w:rPr>
        <w:t>Example: Calculating the final rate for Contract 1</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29" w:type="dxa"/>
          <w:bottom w:w="14" w:type="dxa"/>
          <w:right w:w="29" w:type="dxa"/>
        </w:tblCellMar>
        <w:tblLook w:val="04A0" w:firstRow="1" w:lastRow="0" w:firstColumn="1" w:lastColumn="0" w:noHBand="0" w:noVBand="1"/>
      </w:tblPr>
      <w:tblGrid>
        <w:gridCol w:w="815"/>
        <w:gridCol w:w="1052"/>
        <w:gridCol w:w="2008"/>
        <w:gridCol w:w="1289"/>
        <w:gridCol w:w="1261"/>
      </w:tblGrid>
      <w:tr w:rsidR="00F97B66" w:rsidRPr="00C44E1D" w14:paraId="1F5B1765" w14:textId="77777777" w:rsidTr="00721B09">
        <w:tc>
          <w:tcPr>
            <w:tcW w:w="0" w:type="auto"/>
            <w:shd w:val="clear" w:color="000000" w:fill="BFBFBF"/>
            <w:vAlign w:val="center"/>
            <w:hideMark/>
          </w:tcPr>
          <w:p w14:paraId="79D66E00" w14:textId="77777777" w:rsidR="00F97B66" w:rsidRPr="00C44E1D" w:rsidRDefault="00F97B66" w:rsidP="00721B09">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Contract</w:t>
            </w:r>
          </w:p>
        </w:tc>
        <w:tc>
          <w:tcPr>
            <w:tcW w:w="0" w:type="auto"/>
            <w:shd w:val="clear" w:color="000000" w:fill="BFBFBF"/>
            <w:noWrap/>
            <w:vAlign w:val="center"/>
            <w:hideMark/>
          </w:tcPr>
          <w:p w14:paraId="3246E0D9" w14:textId="77777777" w:rsidR="00F97B66" w:rsidRPr="00C44E1D" w:rsidRDefault="00F97B66" w:rsidP="00721B09">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IndicatorKey</w:t>
            </w:r>
            <w:proofErr w:type="spellEnd"/>
          </w:p>
        </w:tc>
        <w:tc>
          <w:tcPr>
            <w:tcW w:w="0" w:type="auto"/>
            <w:shd w:val="clear" w:color="000000" w:fill="BFBFBF"/>
            <w:vAlign w:val="center"/>
            <w:hideMark/>
          </w:tcPr>
          <w:p w14:paraId="642CBF91" w14:textId="77777777" w:rsidR="00F97B66" w:rsidRPr="00C44E1D" w:rsidRDefault="00F97B66" w:rsidP="00721B09">
            <w:pPr>
              <w:spacing w:after="0"/>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NonOutlierMemberCount</w:t>
            </w:r>
            <w:proofErr w:type="spellEnd"/>
            <w:r>
              <w:rPr>
                <w:rFonts w:ascii="Arial Narrow Bold" w:eastAsia="Times New Roman" w:hAnsi="Arial Narrow Bold" w:cs="Times New Roman"/>
                <w:b/>
                <w:bCs/>
                <w:color w:val="000000"/>
                <w:sz w:val="20"/>
                <w:szCs w:val="20"/>
              </w:rPr>
              <w:t xml:space="preserve"> </w:t>
            </w:r>
          </w:p>
        </w:tc>
        <w:tc>
          <w:tcPr>
            <w:tcW w:w="0" w:type="auto"/>
            <w:shd w:val="clear" w:color="000000" w:fill="BFBFBF"/>
            <w:vAlign w:val="center"/>
            <w:hideMark/>
          </w:tcPr>
          <w:p w14:paraId="23BE1C9B" w14:textId="77777777" w:rsidR="00F97B66" w:rsidRPr="00C44E1D" w:rsidRDefault="00F97B66" w:rsidP="00721B09">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ObservedCount</w:t>
            </w:r>
            <w:proofErr w:type="spellEnd"/>
          </w:p>
        </w:tc>
        <w:tc>
          <w:tcPr>
            <w:tcW w:w="0" w:type="auto"/>
            <w:shd w:val="clear" w:color="000000" w:fill="BFBFBF"/>
            <w:vAlign w:val="center"/>
            <w:hideMark/>
          </w:tcPr>
          <w:p w14:paraId="4F5C349C" w14:textId="77777777" w:rsidR="00F97B66" w:rsidRPr="00C44E1D" w:rsidRDefault="00F97B66" w:rsidP="00721B09">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ExpectedCount</w:t>
            </w:r>
            <w:proofErr w:type="spellEnd"/>
          </w:p>
        </w:tc>
      </w:tr>
      <w:tr w:rsidR="00F97B66" w:rsidRPr="00C44E1D" w14:paraId="55DF245D" w14:textId="77777777" w:rsidTr="00721B09">
        <w:tc>
          <w:tcPr>
            <w:tcW w:w="0" w:type="auto"/>
            <w:shd w:val="clear" w:color="auto" w:fill="auto"/>
            <w:vAlign w:val="center"/>
          </w:tcPr>
          <w:p w14:paraId="049D458D" w14:textId="77777777" w:rsidR="00F97B66" w:rsidRDefault="00F97B66" w:rsidP="00721B09">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1</w:t>
            </w:r>
          </w:p>
        </w:tc>
        <w:tc>
          <w:tcPr>
            <w:tcW w:w="0" w:type="auto"/>
            <w:shd w:val="clear" w:color="auto" w:fill="auto"/>
            <w:noWrap/>
          </w:tcPr>
          <w:p w14:paraId="2081ED1E" w14:textId="77777777" w:rsidR="00F97B66" w:rsidRPr="002444BD" w:rsidRDefault="00F97B66" w:rsidP="00721B09">
            <w:pPr>
              <w:spacing w:after="0"/>
              <w:jc w:val="right"/>
              <w:rPr>
                <w:rFonts w:ascii="Arial Narrow" w:eastAsia="Times New Roman" w:hAnsi="Arial Narrow" w:cs="Times New Roman"/>
                <w:color w:val="000000"/>
                <w:sz w:val="20"/>
                <w:szCs w:val="20"/>
              </w:rPr>
            </w:pPr>
            <w:r w:rsidRPr="002444BD">
              <w:rPr>
                <w:rFonts w:ascii="Arial Narrow" w:hAnsi="Arial Narrow"/>
                <w:sz w:val="20"/>
                <w:szCs w:val="20"/>
              </w:rPr>
              <w:t>201315_20</w:t>
            </w:r>
          </w:p>
        </w:tc>
        <w:tc>
          <w:tcPr>
            <w:tcW w:w="0" w:type="auto"/>
            <w:shd w:val="clear" w:color="auto" w:fill="auto"/>
            <w:noWrap/>
            <w:vAlign w:val="center"/>
          </w:tcPr>
          <w:p w14:paraId="337268E6" w14:textId="77777777" w:rsidR="00F97B66" w:rsidRPr="00C44E1D" w:rsidRDefault="00F97B6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4,792</w:t>
            </w:r>
          </w:p>
        </w:tc>
        <w:tc>
          <w:tcPr>
            <w:tcW w:w="0" w:type="auto"/>
            <w:shd w:val="clear" w:color="auto" w:fill="auto"/>
            <w:noWrap/>
            <w:vAlign w:val="center"/>
          </w:tcPr>
          <w:p w14:paraId="472F0098" w14:textId="77777777" w:rsidR="00F97B66" w:rsidRPr="00C44E1D" w:rsidRDefault="00F97B6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641</w:t>
            </w:r>
          </w:p>
        </w:tc>
        <w:tc>
          <w:tcPr>
            <w:tcW w:w="0" w:type="auto"/>
            <w:shd w:val="clear" w:color="auto" w:fill="auto"/>
            <w:noWrap/>
            <w:vAlign w:val="center"/>
          </w:tcPr>
          <w:p w14:paraId="7136942B" w14:textId="77777777" w:rsidR="00F97B66" w:rsidRPr="00C44E1D" w:rsidRDefault="00F97B6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642</w:t>
            </w:r>
          </w:p>
        </w:tc>
      </w:tr>
      <w:tr w:rsidR="00F97B66" w:rsidRPr="00C44E1D" w14:paraId="04C27D0E" w14:textId="77777777" w:rsidTr="00721B09">
        <w:tc>
          <w:tcPr>
            <w:tcW w:w="0" w:type="auto"/>
            <w:shd w:val="clear" w:color="auto" w:fill="auto"/>
            <w:vAlign w:val="center"/>
          </w:tcPr>
          <w:p w14:paraId="6C82EF9B" w14:textId="77777777" w:rsidR="00F97B66" w:rsidRDefault="00F97B66" w:rsidP="00721B09">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2</w:t>
            </w:r>
          </w:p>
        </w:tc>
        <w:tc>
          <w:tcPr>
            <w:tcW w:w="0" w:type="auto"/>
            <w:shd w:val="clear" w:color="auto" w:fill="auto"/>
            <w:noWrap/>
          </w:tcPr>
          <w:p w14:paraId="762EF5C1" w14:textId="77777777" w:rsidR="00F97B66" w:rsidRPr="002444BD" w:rsidRDefault="00F97B66" w:rsidP="00721B09">
            <w:pPr>
              <w:spacing w:after="0"/>
              <w:jc w:val="right"/>
              <w:rPr>
                <w:rFonts w:ascii="Arial Narrow" w:eastAsia="Times New Roman" w:hAnsi="Arial Narrow" w:cs="Times New Roman"/>
                <w:color w:val="000000"/>
                <w:sz w:val="20"/>
                <w:szCs w:val="20"/>
              </w:rPr>
            </w:pPr>
            <w:r w:rsidRPr="002444BD">
              <w:rPr>
                <w:rFonts w:ascii="Arial Narrow" w:hAnsi="Arial Narrow"/>
                <w:sz w:val="20"/>
                <w:szCs w:val="20"/>
              </w:rPr>
              <w:t>201315_20</w:t>
            </w:r>
          </w:p>
        </w:tc>
        <w:tc>
          <w:tcPr>
            <w:tcW w:w="0" w:type="auto"/>
            <w:shd w:val="clear" w:color="auto" w:fill="auto"/>
            <w:noWrap/>
            <w:vAlign w:val="center"/>
          </w:tcPr>
          <w:p w14:paraId="0296F569" w14:textId="77777777" w:rsidR="00F97B66" w:rsidRPr="00C44E1D" w:rsidRDefault="00F97B6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4,761</w:t>
            </w:r>
          </w:p>
        </w:tc>
        <w:tc>
          <w:tcPr>
            <w:tcW w:w="0" w:type="auto"/>
            <w:shd w:val="clear" w:color="auto" w:fill="auto"/>
            <w:noWrap/>
            <w:vAlign w:val="center"/>
          </w:tcPr>
          <w:p w14:paraId="74518034" w14:textId="77777777" w:rsidR="00F97B66" w:rsidRPr="00C44E1D" w:rsidRDefault="00F97B6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688</w:t>
            </w:r>
          </w:p>
        </w:tc>
        <w:tc>
          <w:tcPr>
            <w:tcW w:w="0" w:type="auto"/>
            <w:shd w:val="clear" w:color="auto" w:fill="auto"/>
            <w:noWrap/>
            <w:vAlign w:val="center"/>
          </w:tcPr>
          <w:p w14:paraId="75B03A88" w14:textId="77777777" w:rsidR="00F97B66" w:rsidRPr="00C44E1D" w:rsidRDefault="00F97B6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668</w:t>
            </w:r>
          </w:p>
        </w:tc>
      </w:tr>
      <w:tr w:rsidR="00F97B66" w:rsidRPr="00C44E1D" w14:paraId="5D6DA896" w14:textId="77777777" w:rsidTr="00721B09">
        <w:tc>
          <w:tcPr>
            <w:tcW w:w="0" w:type="auto"/>
            <w:shd w:val="clear" w:color="auto" w:fill="auto"/>
            <w:vAlign w:val="center"/>
          </w:tcPr>
          <w:p w14:paraId="34442920" w14:textId="77777777" w:rsidR="00F97B66" w:rsidRDefault="00F97B66" w:rsidP="00721B09">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3</w:t>
            </w:r>
          </w:p>
        </w:tc>
        <w:tc>
          <w:tcPr>
            <w:tcW w:w="0" w:type="auto"/>
            <w:shd w:val="clear" w:color="auto" w:fill="auto"/>
            <w:noWrap/>
          </w:tcPr>
          <w:p w14:paraId="35EA7C74" w14:textId="77777777" w:rsidR="00F97B66" w:rsidRPr="002444BD" w:rsidRDefault="00F97B66" w:rsidP="00721B09">
            <w:pPr>
              <w:spacing w:after="0"/>
              <w:jc w:val="right"/>
              <w:rPr>
                <w:rFonts w:ascii="Arial Narrow" w:eastAsia="Times New Roman" w:hAnsi="Arial Narrow" w:cs="Times New Roman"/>
                <w:color w:val="000000"/>
                <w:sz w:val="20"/>
                <w:szCs w:val="20"/>
              </w:rPr>
            </w:pPr>
            <w:r w:rsidRPr="002444BD">
              <w:rPr>
                <w:rFonts w:ascii="Arial Narrow" w:hAnsi="Arial Narrow"/>
                <w:sz w:val="20"/>
                <w:szCs w:val="20"/>
              </w:rPr>
              <w:t>201315_20</w:t>
            </w:r>
          </w:p>
        </w:tc>
        <w:tc>
          <w:tcPr>
            <w:tcW w:w="0" w:type="auto"/>
            <w:shd w:val="clear" w:color="auto" w:fill="auto"/>
            <w:noWrap/>
            <w:vAlign w:val="center"/>
          </w:tcPr>
          <w:p w14:paraId="7FB54115" w14:textId="77777777" w:rsidR="00F97B66" w:rsidRPr="00C44E1D" w:rsidRDefault="00F97B6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8,629</w:t>
            </w:r>
          </w:p>
        </w:tc>
        <w:tc>
          <w:tcPr>
            <w:tcW w:w="0" w:type="auto"/>
            <w:shd w:val="clear" w:color="auto" w:fill="auto"/>
            <w:noWrap/>
            <w:vAlign w:val="center"/>
          </w:tcPr>
          <w:p w14:paraId="678EC5C0" w14:textId="77777777" w:rsidR="00F97B66" w:rsidRPr="00C44E1D" w:rsidRDefault="00F97B6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1,126</w:t>
            </w:r>
          </w:p>
        </w:tc>
        <w:tc>
          <w:tcPr>
            <w:tcW w:w="0" w:type="auto"/>
            <w:shd w:val="clear" w:color="auto" w:fill="auto"/>
            <w:noWrap/>
            <w:vAlign w:val="center"/>
          </w:tcPr>
          <w:p w14:paraId="6B455228" w14:textId="77777777" w:rsidR="00F97B66" w:rsidRPr="00C44E1D" w:rsidRDefault="00F97B6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1,070</w:t>
            </w:r>
          </w:p>
        </w:tc>
      </w:tr>
      <w:tr w:rsidR="00F97B66" w:rsidRPr="00C44E1D" w14:paraId="6756E627" w14:textId="77777777" w:rsidTr="00721B09">
        <w:tc>
          <w:tcPr>
            <w:tcW w:w="0" w:type="auto"/>
            <w:shd w:val="clear" w:color="auto" w:fill="auto"/>
            <w:vAlign w:val="center"/>
          </w:tcPr>
          <w:p w14:paraId="52E97D99" w14:textId="77777777" w:rsidR="00F97B66" w:rsidRDefault="00F97B66" w:rsidP="00721B09">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4</w:t>
            </w:r>
          </w:p>
        </w:tc>
        <w:tc>
          <w:tcPr>
            <w:tcW w:w="0" w:type="auto"/>
            <w:shd w:val="clear" w:color="auto" w:fill="auto"/>
            <w:noWrap/>
          </w:tcPr>
          <w:p w14:paraId="62844121" w14:textId="77777777" w:rsidR="00F97B66" w:rsidRPr="002444BD" w:rsidRDefault="00F97B66" w:rsidP="00721B09">
            <w:pPr>
              <w:spacing w:after="0"/>
              <w:jc w:val="right"/>
              <w:rPr>
                <w:rFonts w:ascii="Arial Narrow" w:hAnsi="Arial Narrow" w:cs="Calibri"/>
                <w:color w:val="000000"/>
                <w:sz w:val="20"/>
                <w:szCs w:val="20"/>
              </w:rPr>
            </w:pPr>
            <w:r w:rsidRPr="002444BD">
              <w:rPr>
                <w:rFonts w:ascii="Arial Narrow" w:hAnsi="Arial Narrow"/>
                <w:sz w:val="20"/>
                <w:szCs w:val="20"/>
              </w:rPr>
              <w:t>201315_20</w:t>
            </w:r>
          </w:p>
        </w:tc>
        <w:tc>
          <w:tcPr>
            <w:tcW w:w="0" w:type="auto"/>
            <w:shd w:val="clear" w:color="auto" w:fill="auto"/>
            <w:noWrap/>
            <w:vAlign w:val="center"/>
          </w:tcPr>
          <w:p w14:paraId="06C37412" w14:textId="77777777" w:rsidR="00F97B66" w:rsidRDefault="00F97B66" w:rsidP="00721B09">
            <w:pPr>
              <w:spacing w:after="0"/>
              <w:jc w:val="right"/>
              <w:rPr>
                <w:rFonts w:ascii="Arial Narrow" w:hAnsi="Arial Narrow" w:cs="Calibri"/>
                <w:color w:val="000000"/>
                <w:sz w:val="20"/>
                <w:szCs w:val="20"/>
              </w:rPr>
            </w:pPr>
            <w:r>
              <w:rPr>
                <w:rFonts w:ascii="Arial Narrow" w:hAnsi="Arial Narrow" w:cs="Calibri"/>
                <w:color w:val="000000"/>
                <w:sz w:val="20"/>
                <w:szCs w:val="20"/>
              </w:rPr>
              <w:t>533</w:t>
            </w:r>
          </w:p>
        </w:tc>
        <w:tc>
          <w:tcPr>
            <w:tcW w:w="0" w:type="auto"/>
            <w:shd w:val="clear" w:color="auto" w:fill="auto"/>
            <w:noWrap/>
            <w:vAlign w:val="center"/>
          </w:tcPr>
          <w:p w14:paraId="13488B4B" w14:textId="77777777" w:rsidR="00F97B66" w:rsidRDefault="00F97B66" w:rsidP="00721B09">
            <w:pPr>
              <w:spacing w:after="0"/>
              <w:jc w:val="right"/>
              <w:rPr>
                <w:rFonts w:ascii="Arial Narrow" w:hAnsi="Arial Narrow" w:cs="Calibri"/>
                <w:color w:val="000000"/>
                <w:sz w:val="20"/>
                <w:szCs w:val="20"/>
              </w:rPr>
            </w:pPr>
            <w:r>
              <w:rPr>
                <w:rFonts w:ascii="Arial Narrow" w:hAnsi="Arial Narrow" w:cs="Calibri"/>
                <w:color w:val="000000"/>
                <w:sz w:val="20"/>
                <w:szCs w:val="20"/>
              </w:rPr>
              <w:t>79</w:t>
            </w:r>
          </w:p>
        </w:tc>
        <w:tc>
          <w:tcPr>
            <w:tcW w:w="0" w:type="auto"/>
            <w:shd w:val="clear" w:color="auto" w:fill="auto"/>
            <w:noWrap/>
            <w:vAlign w:val="center"/>
          </w:tcPr>
          <w:p w14:paraId="61146AED" w14:textId="77777777" w:rsidR="00F97B66" w:rsidRDefault="00F97B66" w:rsidP="00721B09">
            <w:pPr>
              <w:spacing w:after="0"/>
              <w:jc w:val="right"/>
              <w:rPr>
                <w:rFonts w:ascii="Arial Narrow" w:hAnsi="Arial Narrow" w:cs="Calibri"/>
                <w:color w:val="000000"/>
                <w:sz w:val="20"/>
                <w:szCs w:val="20"/>
              </w:rPr>
            </w:pPr>
            <w:r>
              <w:rPr>
                <w:rFonts w:ascii="Arial Narrow" w:hAnsi="Arial Narrow" w:cs="Calibri"/>
                <w:color w:val="000000"/>
                <w:sz w:val="20"/>
                <w:szCs w:val="20"/>
              </w:rPr>
              <w:t>73</w:t>
            </w:r>
          </w:p>
        </w:tc>
      </w:tr>
    </w:tbl>
    <w:p w14:paraId="0BC86121" w14:textId="77777777" w:rsidR="00F97B66" w:rsidRDefault="00F97B66" w:rsidP="00F97B66">
      <w:pPr>
        <w:rPr>
          <w:rFonts w:eastAsia="Calibri"/>
        </w:rPr>
      </w:pPr>
    </w:p>
    <w:p w14:paraId="2142E53D" w14:textId="77777777" w:rsidR="00F97B66" w:rsidRPr="00C44E1D" w:rsidRDefault="00F97B66" w:rsidP="00F97B66">
      <w:pPr>
        <w:rPr>
          <w:rFonts w:eastAsia="Calibri" w:cs="Times New Roman"/>
        </w:rPr>
      </w:pPr>
      <w:proofErr w:type="spellStart"/>
      <w:r w:rsidRPr="00C44E1D">
        <w:rPr>
          <w:rFonts w:eastAsia="Calibri"/>
        </w:rPr>
        <w:t>Nat</w:t>
      </w:r>
      <w:r>
        <w:rPr>
          <w:rFonts w:eastAsia="Calibri"/>
        </w:rPr>
        <w:t>Avg</w:t>
      </w:r>
      <w:r w:rsidRPr="00C44E1D">
        <w:rPr>
          <w:rFonts w:eastAsia="Calibri"/>
        </w:rPr>
        <w:t>Obs</w:t>
      </w:r>
      <w:proofErr w:type="spellEnd"/>
      <w:r w:rsidRPr="00C44E1D">
        <w:rPr>
          <w:rFonts w:eastAsia="Calibri"/>
        </w:rPr>
        <w:t xml:space="preserve"> = </w:t>
      </w:r>
      <m:oMath>
        <m:r>
          <m:rPr>
            <m:nor/>
          </m:rPr>
          <w:rPr>
            <w:rFonts w:eastAsia="Calibri"/>
          </w:rPr>
          <m:t>Average</m:t>
        </m:r>
        <m:d>
          <m:dPr>
            <m:ctrlPr>
              <w:rPr>
                <w:rFonts w:ascii="Cambria Math" w:eastAsia="Calibri" w:hAnsi="Cambria Math"/>
              </w:rPr>
            </m:ctrlPr>
          </m:dPr>
          <m:e>
            <m:d>
              <m:dPr>
                <m:ctrlPr>
                  <w:rPr>
                    <w:rFonts w:ascii="Cambria Math" w:eastAsia="Calibri" w:hAnsi="Cambria Math"/>
                  </w:rPr>
                </m:ctrlPr>
              </m:dPr>
              <m:e>
                <m:f>
                  <m:fPr>
                    <m:ctrlPr>
                      <w:rPr>
                        <w:rFonts w:ascii="Cambria Math" w:eastAsia="Calibri" w:hAnsi="Cambria Math"/>
                      </w:rPr>
                    </m:ctrlPr>
                  </m:fPr>
                  <m:num>
                    <m:r>
                      <m:rPr>
                        <m:nor/>
                      </m:rPr>
                      <w:rPr>
                        <w:rFonts w:eastAsia="Calibri"/>
                      </w:rPr>
                      <m:t xml:space="preserve">641 </m:t>
                    </m:r>
                  </m:num>
                  <m:den>
                    <m:r>
                      <m:rPr>
                        <m:nor/>
                      </m:rPr>
                      <w:rPr>
                        <w:rFonts w:eastAsia="Calibri"/>
                      </w:rPr>
                      <m:t>4</m:t>
                    </m:r>
                    <m:r>
                      <m:rPr>
                        <m:nor/>
                      </m:rPr>
                      <w:rPr>
                        <w:rFonts w:ascii="Cambria Math" w:eastAsia="Calibri"/>
                      </w:rPr>
                      <m:t>,</m:t>
                    </m:r>
                    <m:r>
                      <m:rPr>
                        <m:nor/>
                      </m:rPr>
                      <w:rPr>
                        <w:rFonts w:eastAsia="Calibri"/>
                      </w:rPr>
                      <m:t>792</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688</m:t>
                    </m:r>
                  </m:num>
                  <m:den>
                    <m:r>
                      <m:rPr>
                        <m:nor/>
                      </m:rPr>
                      <w:rPr>
                        <w:rFonts w:eastAsia="Calibri"/>
                      </w:rPr>
                      <m:t>4,761</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1,126</m:t>
                    </m:r>
                  </m:num>
                  <m:den>
                    <m:r>
                      <m:rPr>
                        <m:nor/>
                      </m:rPr>
                      <w:rPr>
                        <w:rFonts w:eastAsia="Calibri"/>
                      </w:rPr>
                      <m:t>8,629</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79</m:t>
                    </m:r>
                  </m:num>
                  <m:den>
                    <m:r>
                      <m:rPr>
                        <m:nor/>
                      </m:rPr>
                      <w:rPr>
                        <w:rFonts w:eastAsia="Calibri"/>
                      </w:rPr>
                      <m:t>533</m:t>
                    </m:r>
                  </m:den>
                </m:f>
              </m:e>
            </m:d>
          </m:e>
        </m:d>
      </m:oMath>
    </w:p>
    <w:p w14:paraId="1E611C1F" w14:textId="77777777" w:rsidR="00F97B66" w:rsidRPr="00C44E1D" w:rsidRDefault="00F97B66" w:rsidP="00F97B66">
      <w:pPr>
        <w:rPr>
          <w:rFonts w:ascii="Cambria Math" w:eastAsia="Calibri" w:hAnsi="Cambria Math"/>
          <w:oMath/>
        </w:rPr>
      </w:pPr>
      <w:proofErr w:type="spellStart"/>
      <w:r w:rsidRPr="00C44E1D">
        <w:rPr>
          <w:rFonts w:eastAsia="Calibri"/>
        </w:rPr>
        <w:t>Nat</w:t>
      </w:r>
      <w:r>
        <w:rPr>
          <w:rFonts w:eastAsia="Calibri"/>
        </w:rPr>
        <w:t>AvgObs</w:t>
      </w:r>
      <w:proofErr w:type="spellEnd"/>
      <w:r w:rsidRPr="00C44E1D">
        <w:rPr>
          <w:rFonts w:eastAsia="Calibri"/>
        </w:rPr>
        <w:t xml:space="preserve"> = </w:t>
      </w:r>
      <m:oMath>
        <m:r>
          <m:rPr>
            <m:nor/>
          </m:rPr>
          <w:rPr>
            <w:rFonts w:eastAsia="Calibri"/>
          </w:rPr>
          <m:t xml:space="preserve">Average </m:t>
        </m:r>
        <m:d>
          <m:dPr>
            <m:ctrlPr>
              <w:rPr>
                <w:rFonts w:ascii="Cambria Math" w:eastAsia="Calibri" w:hAnsi="Cambria Math"/>
              </w:rPr>
            </m:ctrlPr>
          </m:dPr>
          <m:e>
            <m:d>
              <m:dPr>
                <m:ctrlPr>
                  <w:rPr>
                    <w:rFonts w:ascii="Cambria Math" w:eastAsia="Calibri" w:hAnsi="Cambria Math"/>
                  </w:rPr>
                </m:ctrlPr>
              </m:dPr>
              <m:e>
                <m:r>
                  <m:rPr>
                    <m:nor/>
                  </m:rPr>
                  <w:rPr>
                    <w:rFonts w:eastAsia="Calibri"/>
                  </w:rPr>
                  <m:t>0.13376</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0.14451</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0.13049</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0.14822</m:t>
                </m:r>
              </m:e>
            </m:d>
          </m:e>
        </m:d>
      </m:oMath>
    </w:p>
    <w:p w14:paraId="0E808544" w14:textId="77777777" w:rsidR="00F97B66" w:rsidRDefault="00F97B66" w:rsidP="00F97B66">
      <w:pPr>
        <w:rPr>
          <w:rFonts w:eastAsia="Calibri"/>
        </w:rPr>
      </w:pPr>
      <w:r>
        <w:rPr>
          <w:rFonts w:eastAsia="Calibri"/>
        </w:rPr>
        <w:t>NatAvgObs</w:t>
      </w:r>
      <w:r w:rsidRPr="00C44E1D">
        <w:rPr>
          <w:rFonts w:eastAsia="Calibri"/>
        </w:rPr>
        <w:t xml:space="preserve"> = </w:t>
      </w:r>
      <w:r>
        <w:rPr>
          <w:rFonts w:eastAsia="Calibri"/>
        </w:rPr>
        <w:t>0</w:t>
      </w:r>
      <w:r w:rsidRPr="00C44E1D">
        <w:rPr>
          <w:rFonts w:eastAsia="Calibri"/>
        </w:rPr>
        <w:t>.139245</w:t>
      </w:r>
    </w:p>
    <w:p w14:paraId="7385376D" w14:textId="77777777" w:rsidR="00F97B66" w:rsidRDefault="00F97B66" w:rsidP="00F97B66">
      <w:pPr>
        <w:pStyle w:val="Normal-Formula"/>
        <w:spacing w:before="120" w:after="120"/>
      </w:pPr>
      <w:r>
        <w:t xml:space="preserve">Final Rate Contract 1 = </w:t>
      </w:r>
      <m:oMath>
        <m:d>
          <m:dPr>
            <m:ctrlPr>
              <w:rPr>
                <w:rFonts w:ascii="Cambria Math" w:hAnsi="Cambria Math"/>
                <w:i/>
              </w:rPr>
            </m:ctrlPr>
          </m:dPr>
          <m:e>
            <m:d>
              <m:dPr>
                <m:ctrlPr>
                  <w:rPr>
                    <w:rFonts w:ascii="Cambria Math" w:hAnsi="Cambria Math"/>
                    <w:i/>
                  </w:rPr>
                </m:ctrlPr>
              </m:dPr>
              <m:e>
                <m:f>
                  <m:fPr>
                    <m:ctrlPr>
                      <w:rPr>
                        <w:rFonts w:ascii="Cambria Math" w:hAnsi="Cambria Math"/>
                        <w:i/>
                      </w:rPr>
                    </m:ctrlPr>
                  </m:fPr>
                  <m:num>
                    <m:r>
                      <m:rPr>
                        <m:nor/>
                      </m:rPr>
                      <m:t>641</m:t>
                    </m:r>
                  </m:num>
                  <m:den>
                    <m:r>
                      <m:rPr>
                        <m:nor/>
                      </m:rPr>
                      <m:t>642</m:t>
                    </m:r>
                  </m:den>
                </m:f>
              </m:e>
            </m:d>
            <m:r>
              <m:rPr>
                <m:nor/>
              </m:rPr>
              <m:t xml:space="preserve"> × .139245</m:t>
            </m:r>
          </m:e>
        </m:d>
        <m:r>
          <m:rPr>
            <m:nor/>
          </m:rPr>
          <m:t xml:space="preserve"> x 1000 = </m:t>
        </m:r>
        <m:r>
          <m:rPr>
            <m:nor/>
          </m:rPr>
          <w:rPr>
            <w:rFonts w:eastAsiaTheme="minorEastAsia"/>
          </w:rPr>
          <m:t>139.028</m:t>
        </m:r>
      </m:oMath>
    </w:p>
    <w:p w14:paraId="58AC3380" w14:textId="77777777" w:rsidR="00F97B66" w:rsidRDefault="00F97B66" w:rsidP="00F97B66">
      <w:pPr>
        <w:pStyle w:val="Normal-Formula"/>
        <w:spacing w:before="120" w:after="120"/>
      </w:pPr>
      <w:r>
        <w:t>Final Rate reported for Contract 1 = 139</w:t>
      </w:r>
    </w:p>
    <w:p w14:paraId="6902B60A" w14:textId="77777777" w:rsidR="001B5FEC" w:rsidRPr="00DD7B93" w:rsidRDefault="001B5FEC" w:rsidP="001B5FEC">
      <w:pPr>
        <w:spacing w:line="276" w:lineRule="auto"/>
        <w:rPr>
          <w:sz w:val="18"/>
          <w:szCs w:val="24"/>
        </w:rPr>
      </w:pPr>
      <w:r w:rsidRPr="00DD7B93">
        <w:br w:type="page"/>
      </w:r>
    </w:p>
    <w:p w14:paraId="18C8080F" w14:textId="77777777" w:rsidR="00D470A6" w:rsidRPr="003945D4" w:rsidRDefault="00D470A6" w:rsidP="00D470A6">
      <w:pPr>
        <w:pStyle w:val="AttachmentTitle"/>
        <w:spacing w:after="120"/>
      </w:pPr>
      <w:r>
        <w:lastRenderedPageBreak/>
        <w:t>C</w:t>
      </w:r>
      <w:r w:rsidRPr="002B0180">
        <w:t xml:space="preserve">alculating </w:t>
      </w:r>
      <w:r>
        <w:t>M</w:t>
      </w:r>
      <w:r w:rsidRPr="002B0180">
        <w:t xml:space="preserve">easure </w:t>
      </w:r>
      <w:r>
        <w:t>2021 PCR</w:t>
      </w:r>
      <w:r w:rsidRPr="002B0180">
        <w:t>: Plan All-Cause Readmissions</w:t>
      </w:r>
      <w:r>
        <w:t xml:space="preserve"> (18-64)</w:t>
      </w:r>
    </w:p>
    <w:p w14:paraId="4CE9E8B6" w14:textId="3C0BD62F" w:rsidR="00D470A6" w:rsidRDefault="00D470A6" w:rsidP="00D470A6">
      <w:bookmarkStart w:id="3" w:name="_Hlk34601986"/>
      <w:r w:rsidRPr="00CF20FE">
        <w:t xml:space="preserve">All data </w:t>
      </w:r>
      <w:r>
        <w:t xml:space="preserve">can be looked up by </w:t>
      </w:r>
      <w:proofErr w:type="spellStart"/>
      <w:r>
        <w:t>IndicatorKey</w:t>
      </w:r>
      <w:proofErr w:type="spellEnd"/>
      <w:r>
        <w:t xml:space="preserve"> (row) and Variable name (column).</w:t>
      </w:r>
    </w:p>
    <w:p w14:paraId="44916FF9" w14:textId="77777777" w:rsidR="00D470A6" w:rsidRDefault="00D470A6" w:rsidP="00D470A6">
      <w:r>
        <w:t xml:space="preserve">The calculations below use the Denominator, </w:t>
      </w:r>
      <w:proofErr w:type="spellStart"/>
      <w:r>
        <w:t>ObservedCount</w:t>
      </w:r>
      <w:proofErr w:type="spellEnd"/>
      <w:r>
        <w:t xml:space="preserve"> and </w:t>
      </w:r>
      <w:proofErr w:type="spellStart"/>
      <w:r>
        <w:t>ExpectedCount</w:t>
      </w:r>
      <w:proofErr w:type="spellEnd"/>
      <w:r>
        <w:t xml:space="preserve"> values from the PCR (18-64) indicator (</w:t>
      </w:r>
      <w:proofErr w:type="spellStart"/>
      <w:r>
        <w:t>IndicatorKey</w:t>
      </w:r>
      <w:proofErr w:type="spellEnd"/>
      <w:r>
        <w:t xml:space="preserve"> = </w:t>
      </w:r>
      <w:r w:rsidRPr="003A1FEE">
        <w:t>202025_20</w:t>
      </w:r>
      <w:r>
        <w:t>).</w:t>
      </w:r>
    </w:p>
    <w:p w14:paraId="1A8185D7" w14:textId="77777777" w:rsidR="00D470A6" w:rsidRDefault="00D470A6" w:rsidP="00D470A6">
      <w:r>
        <w:t>For each contract, calculate the (18-64) Observed-over-Expected Ratio (OE):</w:t>
      </w:r>
    </w:p>
    <w:p w14:paraId="75F84F89" w14:textId="77777777" w:rsidR="00D470A6" w:rsidRDefault="00D470A6" w:rsidP="00D470A6">
      <w:pPr>
        <w:ind w:firstLine="720"/>
      </w:pPr>
      <w:r>
        <w:t xml:space="preserve">OE = </w:t>
      </w:r>
      <m:oMath>
        <m:d>
          <m:dPr>
            <m:ctrlPr>
              <w:rPr>
                <w:rFonts w:ascii="Cambria Math" w:hAnsi="Cambria Math"/>
                <w:sz w:val="28"/>
                <w:szCs w:val="28"/>
              </w:rPr>
            </m:ctrlPr>
          </m:dPr>
          <m:e>
            <m:f>
              <m:fPr>
                <m:ctrlPr>
                  <w:rPr>
                    <w:rFonts w:ascii="Cambria Math" w:hAnsi="Cambria Math"/>
                    <w:sz w:val="28"/>
                    <w:szCs w:val="28"/>
                  </w:rPr>
                </m:ctrlPr>
              </m:fPr>
              <m:num>
                <w:proofErr w:type="spellStart"/>
                <m:r>
                  <m:rPr>
                    <m:nor/>
                  </m:rPr>
                  <w:rPr>
                    <w:sz w:val="28"/>
                    <w:szCs w:val="28"/>
                  </w:rPr>
                  <m:t>ObservedCount</m:t>
                </m:r>
                <w:proofErr w:type="spellEnd"/>
              </m:num>
              <m:den>
                <w:proofErr w:type="spellStart"/>
                <m:r>
                  <m:rPr>
                    <m:nor/>
                  </m:rPr>
                  <w:rPr>
                    <w:sz w:val="28"/>
                    <w:szCs w:val="28"/>
                  </w:rPr>
                  <m:t>ExpectedCount</m:t>
                </m:r>
                <w:proofErr w:type="spellEnd"/>
              </m:den>
            </m:f>
          </m:e>
        </m:d>
      </m:oMath>
    </w:p>
    <w:p w14:paraId="52103115" w14:textId="77777777" w:rsidR="00D470A6" w:rsidRDefault="00D470A6" w:rsidP="00D470A6">
      <w:r>
        <w:t>Calculate the national average of the (18-64) Observed Rate:</w:t>
      </w:r>
    </w:p>
    <w:p w14:paraId="5237C546" w14:textId="77777777" w:rsidR="00D470A6" w:rsidRDefault="00D470A6" w:rsidP="00D470A6">
      <w:pPr>
        <w:pStyle w:val="Normal-Formula"/>
        <w:spacing w:before="120"/>
        <w:ind w:firstLine="720"/>
      </w:pPr>
      <w:proofErr w:type="spellStart"/>
      <w:r w:rsidRPr="00301E67">
        <w:t>NatAvgObs</w:t>
      </w:r>
      <w:proofErr w:type="spellEnd"/>
      <w:r w:rsidRPr="00301E67">
        <w:t xml:space="preserve"> = </w:t>
      </w:r>
      <m:oMath>
        <m:r>
          <m:rPr>
            <m:nor/>
          </m:rPr>
          <m:t>Average</m:t>
        </m:r>
        <m:d>
          <m:dPr>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w:proofErr w:type="spellStart"/>
                        <m:r>
                          <m:rPr>
                            <m:nor/>
                          </m:rPr>
                          <m:t>ObservedCount</m:t>
                        </m:r>
                        <w:proofErr w:type="spellEnd"/>
                      </m:e>
                      <m:sub>
                        <m:r>
                          <m:rPr>
                            <m:nor/>
                          </m:rPr>
                          <m:t>1</m:t>
                        </m:r>
                      </m:sub>
                    </m:sSub>
                  </m:num>
                  <m:den>
                    <m:sSub>
                      <m:sSubPr>
                        <m:ctrlPr>
                          <w:rPr>
                            <w:rFonts w:ascii="Cambria Math" w:hAnsi="Cambria Math"/>
                          </w:rPr>
                        </m:ctrlPr>
                      </m:sSubPr>
                      <m:e>
                        <m:r>
                          <m:rPr>
                            <m:nor/>
                          </m:rPr>
                          <m:t>Denominator</m:t>
                        </m:r>
                      </m:e>
                      <m:sub>
                        <m:r>
                          <m:rPr>
                            <m:nor/>
                          </m:rPr>
                          <m:t>1</m:t>
                        </m:r>
                      </m:sub>
                    </m:sSub>
                  </m:den>
                </m:f>
              </m:e>
            </m:d>
            <m:r>
              <m:rPr>
                <m:nor/>
              </m:rPr>
              <m:t xml:space="preserve"> + … +</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w:proofErr w:type="spellStart"/>
                        <m:r>
                          <m:rPr>
                            <m:nor/>
                          </m:rPr>
                          <m:t>ObservedCount</m:t>
                        </m:r>
                        <w:proofErr w:type="spellEnd"/>
                      </m:e>
                      <m:sub>
                        <m:r>
                          <m:rPr>
                            <m:nor/>
                          </m:rPr>
                          <m:t>n</m:t>
                        </m:r>
                      </m:sub>
                    </m:sSub>
                  </m:num>
                  <m:den>
                    <m:sSub>
                      <m:sSubPr>
                        <m:ctrlPr>
                          <w:rPr>
                            <w:rFonts w:ascii="Cambria Math" w:hAnsi="Cambria Math"/>
                          </w:rPr>
                        </m:ctrlPr>
                      </m:sSubPr>
                      <m:e>
                        <m:r>
                          <m:rPr>
                            <m:nor/>
                          </m:rPr>
                          <m:t>Denominator</m:t>
                        </m:r>
                      </m:e>
                      <m:sub>
                        <m:r>
                          <m:rPr>
                            <m:nor/>
                          </m:rPr>
                          <m:t>n</m:t>
                        </m:r>
                      </m:sub>
                    </m:sSub>
                  </m:den>
                </m:f>
              </m:e>
            </m:d>
          </m:e>
        </m:d>
      </m:oMath>
    </w:p>
    <w:p w14:paraId="4097F5AE" w14:textId="77777777" w:rsidR="00D470A6" w:rsidRPr="001F52D8" w:rsidRDefault="00D470A6" w:rsidP="00D470A6">
      <w:r>
        <w:t>W</w:t>
      </w:r>
      <w:r w:rsidRPr="00301E67">
        <w:t xml:space="preserve">here 1 through n are all </w:t>
      </w:r>
      <w:r w:rsidRPr="00D208DD">
        <w:t xml:space="preserve">contracts with </w:t>
      </w:r>
      <w:r>
        <w:t xml:space="preserve">a (18-64) </w:t>
      </w:r>
      <w:r w:rsidRPr="00D208DD">
        <w:t xml:space="preserve">Denominator </w:t>
      </w:r>
      <w:r>
        <w:t>larger than or equal to</w:t>
      </w:r>
      <w:r w:rsidRPr="00D208DD">
        <w:t xml:space="preserve"> 150</w:t>
      </w:r>
      <w:r>
        <w:t>, and a (18-64) OE larger than or equal to 0.2 and less than or equal to 5.0.</w:t>
      </w:r>
    </w:p>
    <w:p w14:paraId="20B8F997" w14:textId="77777777" w:rsidR="00D470A6" w:rsidRDefault="00D470A6" w:rsidP="00D470A6">
      <w:pPr>
        <w:rPr>
          <w:szCs w:val="20"/>
        </w:rPr>
      </w:pPr>
      <w:r>
        <w:rPr>
          <w:szCs w:val="20"/>
        </w:rPr>
        <w:t>For each contract, calculate the Final Rate and convert to percentages:</w:t>
      </w:r>
    </w:p>
    <w:p w14:paraId="734BE67A" w14:textId="77777777" w:rsidR="00D470A6" w:rsidRDefault="00D470A6" w:rsidP="00D470A6">
      <w:pPr>
        <w:pStyle w:val="Normal-Formula"/>
        <w:spacing w:before="120" w:after="120"/>
        <w:ind w:firstLine="720"/>
      </w:pPr>
      <w:r>
        <w:rPr>
          <w:szCs w:val="20"/>
        </w:rPr>
        <w:t>Final</w:t>
      </w:r>
      <w:r w:rsidRPr="00301E67">
        <w:rPr>
          <w:szCs w:val="20"/>
        </w:rPr>
        <w:t xml:space="preserve"> Rate =</w:t>
      </w:r>
      <w:r>
        <w:t xml:space="preserve"> </w:t>
      </w:r>
      <m:oMath>
        <m:r>
          <m:rPr>
            <m:nor/>
          </m:rPr>
          <m:t xml:space="preserve">OE x </m:t>
        </m:r>
        <w:proofErr w:type="spellStart"/>
        <m:r>
          <m:rPr>
            <m:nor/>
          </m:rPr>
          <m:t>NatAvgObs</m:t>
        </m:r>
        <w:proofErr w:type="spellEnd"/>
        <m:r>
          <m:rPr>
            <m:nor/>
          </m:rPr>
          <m:t xml:space="preserve"> x 100 </m:t>
        </m:r>
      </m:oMath>
    </w:p>
    <w:p w14:paraId="41D5C13E" w14:textId="77777777" w:rsidR="00D470A6" w:rsidRDefault="00D470A6" w:rsidP="00D470A6">
      <w:pPr>
        <w:pStyle w:val="Normal-Formula"/>
        <w:spacing w:before="120" w:after="120"/>
      </w:pPr>
      <w:r>
        <w:t>And round to the nearest integer.</w:t>
      </w:r>
    </w:p>
    <w:p w14:paraId="3BFA5102" w14:textId="77777777" w:rsidR="00D470A6" w:rsidRDefault="00D470A6" w:rsidP="00D470A6">
      <w:pPr>
        <w:rPr>
          <w:rFonts w:ascii="Cambria Math" w:hAnsi="Cambria Math"/>
          <w:sz w:val="28"/>
          <w:szCs w:val="24"/>
        </w:rPr>
      </w:pPr>
    </w:p>
    <w:bookmarkEnd w:id="3"/>
    <w:p w14:paraId="0D028C87" w14:textId="77777777" w:rsidR="00D470A6" w:rsidRPr="00C44E1D" w:rsidRDefault="00D470A6" w:rsidP="00D470A6">
      <w:pPr>
        <w:spacing w:line="259" w:lineRule="auto"/>
        <w:rPr>
          <w:rFonts w:eastAsia="Calibri"/>
        </w:rPr>
      </w:pPr>
      <w:r w:rsidRPr="00C44E1D">
        <w:rPr>
          <w:rFonts w:eastAsia="Calibri"/>
        </w:rPr>
        <w:t>Example: Calculating the final rate for Contract 1</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29" w:type="dxa"/>
          <w:bottom w:w="14" w:type="dxa"/>
          <w:right w:w="29" w:type="dxa"/>
        </w:tblCellMar>
        <w:tblLook w:val="04A0" w:firstRow="1" w:lastRow="0" w:firstColumn="1" w:lastColumn="0" w:noHBand="0" w:noVBand="1"/>
      </w:tblPr>
      <w:tblGrid>
        <w:gridCol w:w="815"/>
        <w:gridCol w:w="1052"/>
        <w:gridCol w:w="1070"/>
        <w:gridCol w:w="1289"/>
        <w:gridCol w:w="1261"/>
      </w:tblGrid>
      <w:tr w:rsidR="00D470A6" w:rsidRPr="00C44E1D" w14:paraId="0DAFB2E4" w14:textId="77777777" w:rsidTr="00721B09">
        <w:tc>
          <w:tcPr>
            <w:tcW w:w="0" w:type="auto"/>
            <w:shd w:val="clear" w:color="000000" w:fill="BFBFBF"/>
            <w:vAlign w:val="center"/>
            <w:hideMark/>
          </w:tcPr>
          <w:p w14:paraId="35D5BF81" w14:textId="77777777" w:rsidR="00D470A6" w:rsidRPr="00C44E1D" w:rsidRDefault="00D470A6" w:rsidP="00721B09">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Contract</w:t>
            </w:r>
          </w:p>
        </w:tc>
        <w:tc>
          <w:tcPr>
            <w:tcW w:w="0" w:type="auto"/>
            <w:shd w:val="clear" w:color="000000" w:fill="BFBFBF"/>
            <w:noWrap/>
            <w:vAlign w:val="center"/>
            <w:hideMark/>
          </w:tcPr>
          <w:p w14:paraId="642094FF" w14:textId="77777777" w:rsidR="00D470A6" w:rsidRPr="00C44E1D" w:rsidRDefault="00D470A6" w:rsidP="00721B09">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IndicatorKey</w:t>
            </w:r>
            <w:proofErr w:type="spellEnd"/>
          </w:p>
        </w:tc>
        <w:tc>
          <w:tcPr>
            <w:tcW w:w="0" w:type="auto"/>
            <w:shd w:val="clear" w:color="000000" w:fill="BFBFBF"/>
            <w:vAlign w:val="center"/>
            <w:hideMark/>
          </w:tcPr>
          <w:p w14:paraId="5100F25F" w14:textId="77777777" w:rsidR="00D470A6" w:rsidRPr="00C44E1D" w:rsidRDefault="00D470A6" w:rsidP="00721B09">
            <w:pPr>
              <w:spacing w:after="0"/>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 xml:space="preserve">Denominator </w:t>
            </w:r>
          </w:p>
        </w:tc>
        <w:tc>
          <w:tcPr>
            <w:tcW w:w="0" w:type="auto"/>
            <w:shd w:val="clear" w:color="000000" w:fill="BFBFBF"/>
            <w:vAlign w:val="center"/>
            <w:hideMark/>
          </w:tcPr>
          <w:p w14:paraId="2C5F0A65" w14:textId="77777777" w:rsidR="00D470A6" w:rsidRPr="00C44E1D" w:rsidRDefault="00D470A6" w:rsidP="00721B09">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ObservedCount</w:t>
            </w:r>
            <w:proofErr w:type="spellEnd"/>
          </w:p>
        </w:tc>
        <w:tc>
          <w:tcPr>
            <w:tcW w:w="0" w:type="auto"/>
            <w:shd w:val="clear" w:color="000000" w:fill="BFBFBF"/>
            <w:vAlign w:val="center"/>
            <w:hideMark/>
          </w:tcPr>
          <w:p w14:paraId="551E7D09" w14:textId="77777777" w:rsidR="00D470A6" w:rsidRPr="00C44E1D" w:rsidRDefault="00D470A6" w:rsidP="00721B09">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ExpectedCount</w:t>
            </w:r>
            <w:proofErr w:type="spellEnd"/>
          </w:p>
        </w:tc>
      </w:tr>
      <w:tr w:rsidR="00D470A6" w:rsidRPr="00C44E1D" w14:paraId="440035EF" w14:textId="77777777" w:rsidTr="00721B09">
        <w:tc>
          <w:tcPr>
            <w:tcW w:w="0" w:type="auto"/>
            <w:shd w:val="clear" w:color="auto" w:fill="auto"/>
            <w:vAlign w:val="center"/>
          </w:tcPr>
          <w:p w14:paraId="286E8888" w14:textId="77777777" w:rsidR="00D470A6" w:rsidRDefault="00D470A6" w:rsidP="00721B09">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1</w:t>
            </w:r>
          </w:p>
        </w:tc>
        <w:tc>
          <w:tcPr>
            <w:tcW w:w="0" w:type="auto"/>
            <w:shd w:val="clear" w:color="auto" w:fill="auto"/>
            <w:noWrap/>
            <w:vAlign w:val="center"/>
          </w:tcPr>
          <w:p w14:paraId="3378899F" w14:textId="77777777" w:rsidR="00D470A6" w:rsidRPr="001A7EF3" w:rsidRDefault="00D470A6" w:rsidP="00721B09">
            <w:pPr>
              <w:spacing w:after="0"/>
              <w:jc w:val="right"/>
              <w:rPr>
                <w:rFonts w:ascii="Arial Narrow" w:eastAsia="Times New Roman" w:hAnsi="Arial Narrow" w:cs="Times New Roman"/>
                <w:color w:val="000000"/>
                <w:sz w:val="20"/>
                <w:szCs w:val="20"/>
              </w:rPr>
            </w:pPr>
            <w:r w:rsidRPr="001A7EF3">
              <w:rPr>
                <w:rFonts w:ascii="Arial Narrow" w:hAnsi="Arial Narrow"/>
                <w:sz w:val="20"/>
                <w:szCs w:val="20"/>
              </w:rPr>
              <w:t>202025_20</w:t>
            </w:r>
          </w:p>
        </w:tc>
        <w:tc>
          <w:tcPr>
            <w:tcW w:w="0" w:type="auto"/>
            <w:shd w:val="clear" w:color="auto" w:fill="auto"/>
            <w:noWrap/>
            <w:vAlign w:val="center"/>
          </w:tcPr>
          <w:p w14:paraId="324465CA" w14:textId="77777777" w:rsidR="00D470A6" w:rsidRPr="00C44E1D" w:rsidRDefault="00D470A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4,792</w:t>
            </w:r>
          </w:p>
        </w:tc>
        <w:tc>
          <w:tcPr>
            <w:tcW w:w="0" w:type="auto"/>
            <w:shd w:val="clear" w:color="auto" w:fill="auto"/>
            <w:noWrap/>
            <w:vAlign w:val="center"/>
          </w:tcPr>
          <w:p w14:paraId="0501C5BC" w14:textId="77777777" w:rsidR="00D470A6" w:rsidRPr="00C44E1D" w:rsidRDefault="00D470A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641</w:t>
            </w:r>
          </w:p>
        </w:tc>
        <w:tc>
          <w:tcPr>
            <w:tcW w:w="0" w:type="auto"/>
            <w:shd w:val="clear" w:color="auto" w:fill="auto"/>
            <w:noWrap/>
            <w:vAlign w:val="center"/>
          </w:tcPr>
          <w:p w14:paraId="300B7E7C" w14:textId="77777777" w:rsidR="00D470A6" w:rsidRPr="00C44E1D" w:rsidRDefault="00D470A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642</w:t>
            </w:r>
          </w:p>
        </w:tc>
      </w:tr>
      <w:tr w:rsidR="00D470A6" w:rsidRPr="00C44E1D" w14:paraId="13E22494" w14:textId="77777777" w:rsidTr="00721B09">
        <w:tc>
          <w:tcPr>
            <w:tcW w:w="0" w:type="auto"/>
            <w:shd w:val="clear" w:color="auto" w:fill="auto"/>
            <w:vAlign w:val="center"/>
          </w:tcPr>
          <w:p w14:paraId="5721F853" w14:textId="77777777" w:rsidR="00D470A6" w:rsidRDefault="00D470A6" w:rsidP="00721B09">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2</w:t>
            </w:r>
          </w:p>
        </w:tc>
        <w:tc>
          <w:tcPr>
            <w:tcW w:w="0" w:type="auto"/>
            <w:shd w:val="clear" w:color="auto" w:fill="auto"/>
            <w:noWrap/>
            <w:vAlign w:val="center"/>
          </w:tcPr>
          <w:p w14:paraId="4D407493" w14:textId="77777777" w:rsidR="00D470A6" w:rsidRPr="001A7EF3" w:rsidRDefault="00D470A6" w:rsidP="00721B09">
            <w:pPr>
              <w:spacing w:after="0"/>
              <w:jc w:val="right"/>
              <w:rPr>
                <w:rFonts w:ascii="Arial Narrow" w:eastAsia="Times New Roman" w:hAnsi="Arial Narrow" w:cs="Times New Roman"/>
                <w:color w:val="000000"/>
                <w:sz w:val="20"/>
                <w:szCs w:val="20"/>
              </w:rPr>
            </w:pPr>
            <w:r w:rsidRPr="001A7EF3">
              <w:rPr>
                <w:rFonts w:ascii="Arial Narrow" w:hAnsi="Arial Narrow"/>
                <w:sz w:val="20"/>
                <w:szCs w:val="20"/>
              </w:rPr>
              <w:t>202025_20</w:t>
            </w:r>
          </w:p>
        </w:tc>
        <w:tc>
          <w:tcPr>
            <w:tcW w:w="0" w:type="auto"/>
            <w:shd w:val="clear" w:color="auto" w:fill="auto"/>
            <w:noWrap/>
            <w:vAlign w:val="center"/>
          </w:tcPr>
          <w:p w14:paraId="3CC4FEDF" w14:textId="77777777" w:rsidR="00D470A6" w:rsidRPr="00C44E1D" w:rsidRDefault="00D470A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4,761</w:t>
            </w:r>
          </w:p>
        </w:tc>
        <w:tc>
          <w:tcPr>
            <w:tcW w:w="0" w:type="auto"/>
            <w:shd w:val="clear" w:color="auto" w:fill="auto"/>
            <w:noWrap/>
            <w:vAlign w:val="center"/>
          </w:tcPr>
          <w:p w14:paraId="6C729830" w14:textId="77777777" w:rsidR="00D470A6" w:rsidRPr="00C44E1D" w:rsidRDefault="00D470A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688</w:t>
            </w:r>
          </w:p>
        </w:tc>
        <w:tc>
          <w:tcPr>
            <w:tcW w:w="0" w:type="auto"/>
            <w:shd w:val="clear" w:color="auto" w:fill="auto"/>
            <w:noWrap/>
            <w:vAlign w:val="center"/>
          </w:tcPr>
          <w:p w14:paraId="034547DA" w14:textId="77777777" w:rsidR="00D470A6" w:rsidRPr="00C44E1D" w:rsidRDefault="00D470A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668</w:t>
            </w:r>
          </w:p>
        </w:tc>
      </w:tr>
      <w:tr w:rsidR="00D470A6" w:rsidRPr="00C44E1D" w14:paraId="5685D590" w14:textId="77777777" w:rsidTr="00721B09">
        <w:tc>
          <w:tcPr>
            <w:tcW w:w="0" w:type="auto"/>
            <w:shd w:val="clear" w:color="auto" w:fill="auto"/>
            <w:vAlign w:val="center"/>
          </w:tcPr>
          <w:p w14:paraId="65A205F3" w14:textId="77777777" w:rsidR="00D470A6" w:rsidRDefault="00D470A6" w:rsidP="00721B09">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3</w:t>
            </w:r>
          </w:p>
        </w:tc>
        <w:tc>
          <w:tcPr>
            <w:tcW w:w="0" w:type="auto"/>
            <w:shd w:val="clear" w:color="auto" w:fill="auto"/>
            <w:noWrap/>
            <w:vAlign w:val="center"/>
          </w:tcPr>
          <w:p w14:paraId="13CB375D" w14:textId="77777777" w:rsidR="00D470A6" w:rsidRPr="001A7EF3" w:rsidRDefault="00D470A6" w:rsidP="00721B09">
            <w:pPr>
              <w:spacing w:after="0"/>
              <w:jc w:val="right"/>
              <w:rPr>
                <w:rFonts w:ascii="Arial Narrow" w:eastAsia="Times New Roman" w:hAnsi="Arial Narrow" w:cs="Times New Roman"/>
                <w:color w:val="000000"/>
                <w:sz w:val="20"/>
                <w:szCs w:val="20"/>
              </w:rPr>
            </w:pPr>
            <w:r w:rsidRPr="001A7EF3">
              <w:rPr>
                <w:rFonts w:ascii="Arial Narrow" w:hAnsi="Arial Narrow"/>
                <w:sz w:val="20"/>
                <w:szCs w:val="20"/>
              </w:rPr>
              <w:t>202025_20</w:t>
            </w:r>
          </w:p>
        </w:tc>
        <w:tc>
          <w:tcPr>
            <w:tcW w:w="0" w:type="auto"/>
            <w:shd w:val="clear" w:color="auto" w:fill="auto"/>
            <w:noWrap/>
            <w:vAlign w:val="center"/>
          </w:tcPr>
          <w:p w14:paraId="76179677" w14:textId="77777777" w:rsidR="00D470A6" w:rsidRPr="00C44E1D" w:rsidRDefault="00D470A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8,629</w:t>
            </w:r>
          </w:p>
        </w:tc>
        <w:tc>
          <w:tcPr>
            <w:tcW w:w="0" w:type="auto"/>
            <w:shd w:val="clear" w:color="auto" w:fill="auto"/>
            <w:noWrap/>
            <w:vAlign w:val="center"/>
          </w:tcPr>
          <w:p w14:paraId="01F44F77" w14:textId="77777777" w:rsidR="00D470A6" w:rsidRPr="00C44E1D" w:rsidRDefault="00D470A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1,126</w:t>
            </w:r>
          </w:p>
        </w:tc>
        <w:tc>
          <w:tcPr>
            <w:tcW w:w="0" w:type="auto"/>
            <w:shd w:val="clear" w:color="auto" w:fill="auto"/>
            <w:noWrap/>
            <w:vAlign w:val="center"/>
          </w:tcPr>
          <w:p w14:paraId="14994201" w14:textId="77777777" w:rsidR="00D470A6" w:rsidRPr="00C44E1D" w:rsidRDefault="00D470A6"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1,070</w:t>
            </w:r>
          </w:p>
        </w:tc>
      </w:tr>
      <w:tr w:rsidR="00D470A6" w:rsidRPr="00C44E1D" w14:paraId="1F35E813" w14:textId="77777777" w:rsidTr="00721B09">
        <w:tc>
          <w:tcPr>
            <w:tcW w:w="0" w:type="auto"/>
            <w:shd w:val="clear" w:color="auto" w:fill="auto"/>
            <w:vAlign w:val="center"/>
          </w:tcPr>
          <w:p w14:paraId="675EE4CE" w14:textId="77777777" w:rsidR="00D470A6" w:rsidRDefault="00D470A6" w:rsidP="00721B09">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4</w:t>
            </w:r>
          </w:p>
        </w:tc>
        <w:tc>
          <w:tcPr>
            <w:tcW w:w="0" w:type="auto"/>
            <w:shd w:val="clear" w:color="auto" w:fill="auto"/>
            <w:noWrap/>
            <w:vAlign w:val="center"/>
          </w:tcPr>
          <w:p w14:paraId="3E7C9777" w14:textId="77777777" w:rsidR="00D470A6" w:rsidRPr="001A7EF3" w:rsidRDefault="00D470A6" w:rsidP="00721B09">
            <w:pPr>
              <w:spacing w:after="0"/>
              <w:jc w:val="right"/>
              <w:rPr>
                <w:rFonts w:ascii="Arial Narrow" w:hAnsi="Arial Narrow" w:cs="Calibri"/>
                <w:color w:val="000000"/>
                <w:sz w:val="20"/>
                <w:szCs w:val="20"/>
              </w:rPr>
            </w:pPr>
            <w:r w:rsidRPr="001A7EF3">
              <w:rPr>
                <w:rFonts w:ascii="Arial Narrow" w:hAnsi="Arial Narrow"/>
                <w:sz w:val="20"/>
                <w:szCs w:val="20"/>
              </w:rPr>
              <w:t>202025_20</w:t>
            </w:r>
          </w:p>
        </w:tc>
        <w:tc>
          <w:tcPr>
            <w:tcW w:w="0" w:type="auto"/>
            <w:shd w:val="clear" w:color="auto" w:fill="auto"/>
            <w:noWrap/>
            <w:vAlign w:val="center"/>
          </w:tcPr>
          <w:p w14:paraId="4CCB87E5" w14:textId="77777777" w:rsidR="00D470A6" w:rsidRDefault="00D470A6" w:rsidP="00721B09">
            <w:pPr>
              <w:spacing w:after="0"/>
              <w:jc w:val="right"/>
              <w:rPr>
                <w:rFonts w:ascii="Arial Narrow" w:hAnsi="Arial Narrow" w:cs="Calibri"/>
                <w:color w:val="000000"/>
                <w:sz w:val="20"/>
                <w:szCs w:val="20"/>
              </w:rPr>
            </w:pPr>
            <w:r>
              <w:rPr>
                <w:rFonts w:ascii="Arial Narrow" w:hAnsi="Arial Narrow" w:cs="Calibri"/>
                <w:color w:val="000000"/>
                <w:sz w:val="20"/>
                <w:szCs w:val="20"/>
              </w:rPr>
              <w:t>533</w:t>
            </w:r>
          </w:p>
        </w:tc>
        <w:tc>
          <w:tcPr>
            <w:tcW w:w="0" w:type="auto"/>
            <w:shd w:val="clear" w:color="auto" w:fill="auto"/>
            <w:noWrap/>
            <w:vAlign w:val="center"/>
          </w:tcPr>
          <w:p w14:paraId="372949F6" w14:textId="77777777" w:rsidR="00D470A6" w:rsidRDefault="00D470A6" w:rsidP="00721B09">
            <w:pPr>
              <w:spacing w:after="0"/>
              <w:jc w:val="right"/>
              <w:rPr>
                <w:rFonts w:ascii="Arial Narrow" w:hAnsi="Arial Narrow" w:cs="Calibri"/>
                <w:color w:val="000000"/>
                <w:sz w:val="20"/>
                <w:szCs w:val="20"/>
              </w:rPr>
            </w:pPr>
            <w:r>
              <w:rPr>
                <w:rFonts w:ascii="Arial Narrow" w:hAnsi="Arial Narrow" w:cs="Calibri"/>
                <w:color w:val="000000"/>
                <w:sz w:val="20"/>
                <w:szCs w:val="20"/>
              </w:rPr>
              <w:t>79</w:t>
            </w:r>
          </w:p>
        </w:tc>
        <w:tc>
          <w:tcPr>
            <w:tcW w:w="0" w:type="auto"/>
            <w:shd w:val="clear" w:color="auto" w:fill="auto"/>
            <w:noWrap/>
            <w:vAlign w:val="center"/>
          </w:tcPr>
          <w:p w14:paraId="4607402D" w14:textId="77777777" w:rsidR="00D470A6" w:rsidRDefault="00D470A6" w:rsidP="00721B09">
            <w:pPr>
              <w:spacing w:after="0"/>
              <w:jc w:val="right"/>
              <w:rPr>
                <w:rFonts w:ascii="Arial Narrow" w:hAnsi="Arial Narrow" w:cs="Calibri"/>
                <w:color w:val="000000"/>
                <w:sz w:val="20"/>
                <w:szCs w:val="20"/>
              </w:rPr>
            </w:pPr>
            <w:r>
              <w:rPr>
                <w:rFonts w:ascii="Arial Narrow" w:hAnsi="Arial Narrow" w:cs="Calibri"/>
                <w:color w:val="000000"/>
                <w:sz w:val="20"/>
                <w:szCs w:val="20"/>
              </w:rPr>
              <w:t>73</w:t>
            </w:r>
          </w:p>
        </w:tc>
      </w:tr>
    </w:tbl>
    <w:p w14:paraId="7214DFB1" w14:textId="77777777" w:rsidR="00D470A6" w:rsidRPr="00C44E1D" w:rsidRDefault="00D470A6" w:rsidP="00D470A6">
      <w:pPr>
        <w:rPr>
          <w:rFonts w:eastAsia="Calibri" w:cs="Times New Roman"/>
        </w:rPr>
      </w:pPr>
      <w:proofErr w:type="spellStart"/>
      <w:r w:rsidRPr="00C44E1D">
        <w:rPr>
          <w:rFonts w:eastAsia="Calibri"/>
        </w:rPr>
        <w:t>Nat</w:t>
      </w:r>
      <w:r>
        <w:rPr>
          <w:rFonts w:eastAsia="Calibri"/>
        </w:rPr>
        <w:t>Avg</w:t>
      </w:r>
      <w:r w:rsidRPr="00C44E1D">
        <w:rPr>
          <w:rFonts w:eastAsia="Calibri"/>
        </w:rPr>
        <w:t>Obs</w:t>
      </w:r>
      <w:proofErr w:type="spellEnd"/>
      <w:r w:rsidRPr="00C44E1D">
        <w:rPr>
          <w:rFonts w:eastAsia="Calibri"/>
        </w:rPr>
        <w:t xml:space="preserve"> = </w:t>
      </w:r>
      <m:oMath>
        <m:r>
          <m:rPr>
            <m:nor/>
          </m:rPr>
          <w:rPr>
            <w:rFonts w:eastAsia="Calibri"/>
          </w:rPr>
          <m:t>Average</m:t>
        </m:r>
        <m:d>
          <m:dPr>
            <m:ctrlPr>
              <w:rPr>
                <w:rFonts w:ascii="Cambria Math" w:eastAsia="Calibri" w:hAnsi="Cambria Math"/>
              </w:rPr>
            </m:ctrlPr>
          </m:dPr>
          <m:e>
            <m:d>
              <m:dPr>
                <m:ctrlPr>
                  <w:rPr>
                    <w:rFonts w:ascii="Cambria Math" w:eastAsia="Calibri" w:hAnsi="Cambria Math"/>
                  </w:rPr>
                </m:ctrlPr>
              </m:dPr>
              <m:e>
                <m:f>
                  <m:fPr>
                    <m:ctrlPr>
                      <w:rPr>
                        <w:rFonts w:ascii="Cambria Math" w:eastAsia="Calibri" w:hAnsi="Cambria Math"/>
                      </w:rPr>
                    </m:ctrlPr>
                  </m:fPr>
                  <m:num>
                    <m:r>
                      <m:rPr>
                        <m:nor/>
                      </m:rPr>
                      <w:rPr>
                        <w:rFonts w:eastAsia="Calibri"/>
                      </w:rPr>
                      <m:t xml:space="preserve">641 </m:t>
                    </m:r>
                  </m:num>
                  <m:den>
                    <m:r>
                      <m:rPr>
                        <m:nor/>
                      </m:rPr>
                      <w:rPr>
                        <w:rFonts w:eastAsia="Calibri"/>
                      </w:rPr>
                      <m:t>4</m:t>
                    </m:r>
                    <m:r>
                      <m:rPr>
                        <m:nor/>
                      </m:rPr>
                      <w:rPr>
                        <w:rFonts w:ascii="Cambria Math" w:eastAsia="Calibri"/>
                      </w:rPr>
                      <m:t>,</m:t>
                    </m:r>
                    <m:r>
                      <m:rPr>
                        <m:nor/>
                      </m:rPr>
                      <w:rPr>
                        <w:rFonts w:eastAsia="Calibri"/>
                      </w:rPr>
                      <m:t>792</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688</m:t>
                    </m:r>
                  </m:num>
                  <m:den>
                    <m:r>
                      <m:rPr>
                        <m:nor/>
                      </m:rPr>
                      <w:rPr>
                        <w:rFonts w:eastAsia="Calibri"/>
                      </w:rPr>
                      <m:t>4,761</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1,126</m:t>
                    </m:r>
                  </m:num>
                  <m:den>
                    <m:r>
                      <m:rPr>
                        <m:nor/>
                      </m:rPr>
                      <w:rPr>
                        <w:rFonts w:eastAsia="Calibri"/>
                      </w:rPr>
                      <m:t>8,629</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79</m:t>
                    </m:r>
                  </m:num>
                  <m:den>
                    <m:r>
                      <m:rPr>
                        <m:nor/>
                      </m:rPr>
                      <w:rPr>
                        <w:rFonts w:eastAsia="Calibri"/>
                      </w:rPr>
                      <m:t>533</m:t>
                    </m:r>
                  </m:den>
                </m:f>
              </m:e>
            </m:d>
          </m:e>
        </m:d>
      </m:oMath>
    </w:p>
    <w:p w14:paraId="25D66B62" w14:textId="77777777" w:rsidR="00D470A6" w:rsidRPr="00C44E1D" w:rsidRDefault="00D470A6" w:rsidP="00D470A6">
      <w:pPr>
        <w:rPr>
          <w:rFonts w:ascii="Cambria Math" w:eastAsia="Calibri" w:hAnsi="Cambria Math"/>
          <w:oMath/>
        </w:rPr>
      </w:pPr>
      <w:proofErr w:type="spellStart"/>
      <w:r w:rsidRPr="00C44E1D">
        <w:rPr>
          <w:rFonts w:eastAsia="Calibri"/>
        </w:rPr>
        <w:t>Nat</w:t>
      </w:r>
      <w:r>
        <w:rPr>
          <w:rFonts w:eastAsia="Calibri"/>
        </w:rPr>
        <w:t>AvgObs</w:t>
      </w:r>
      <w:proofErr w:type="spellEnd"/>
      <w:r w:rsidRPr="00C44E1D">
        <w:rPr>
          <w:rFonts w:eastAsia="Calibri"/>
        </w:rPr>
        <w:t xml:space="preserve"> = </w:t>
      </w:r>
      <m:oMath>
        <m:r>
          <m:rPr>
            <m:nor/>
          </m:rPr>
          <w:rPr>
            <w:rFonts w:eastAsia="Calibri"/>
          </w:rPr>
          <m:t xml:space="preserve">Average </m:t>
        </m:r>
        <m:d>
          <m:dPr>
            <m:ctrlPr>
              <w:rPr>
                <w:rFonts w:ascii="Cambria Math" w:eastAsia="Calibri" w:hAnsi="Cambria Math"/>
              </w:rPr>
            </m:ctrlPr>
          </m:dPr>
          <m:e>
            <m:d>
              <m:dPr>
                <m:ctrlPr>
                  <w:rPr>
                    <w:rFonts w:ascii="Cambria Math" w:eastAsia="Calibri" w:hAnsi="Cambria Math"/>
                  </w:rPr>
                </m:ctrlPr>
              </m:dPr>
              <m:e>
                <m:r>
                  <m:rPr>
                    <m:nor/>
                  </m:rPr>
                  <w:rPr>
                    <w:rFonts w:eastAsia="Calibri"/>
                  </w:rPr>
                  <m:t>0.13376</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0.14451</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0.13049</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0.14822</m:t>
                </m:r>
              </m:e>
            </m:d>
          </m:e>
        </m:d>
      </m:oMath>
    </w:p>
    <w:p w14:paraId="2DE25F9A" w14:textId="77777777" w:rsidR="00D470A6" w:rsidRDefault="00D470A6" w:rsidP="00D470A6">
      <w:pPr>
        <w:rPr>
          <w:rFonts w:eastAsia="Calibri"/>
        </w:rPr>
      </w:pPr>
      <w:r>
        <w:rPr>
          <w:rFonts w:eastAsia="Calibri"/>
        </w:rPr>
        <w:t>NatAvgObs</w:t>
      </w:r>
      <w:r w:rsidRPr="00C44E1D">
        <w:rPr>
          <w:rFonts w:eastAsia="Calibri"/>
        </w:rPr>
        <w:t xml:space="preserve"> = </w:t>
      </w:r>
      <w:r>
        <w:rPr>
          <w:rFonts w:eastAsia="Calibri"/>
        </w:rPr>
        <w:t>0</w:t>
      </w:r>
      <w:r w:rsidRPr="00C44E1D">
        <w:rPr>
          <w:rFonts w:eastAsia="Calibri"/>
        </w:rPr>
        <w:t>.139245</w:t>
      </w:r>
    </w:p>
    <w:p w14:paraId="607A57FB" w14:textId="77777777" w:rsidR="00D470A6" w:rsidRPr="00C44E1D" w:rsidRDefault="00D470A6" w:rsidP="00D470A6">
      <w:pPr>
        <w:rPr>
          <w:rFonts w:eastAsia="Calibri"/>
        </w:rPr>
      </w:pPr>
      <w:r>
        <w:rPr>
          <w:rFonts w:eastAsia="Calibri"/>
        </w:rPr>
        <w:t xml:space="preserve">OE Contract 1 = </w:t>
      </w:r>
      <m:oMath>
        <m:d>
          <m:dPr>
            <m:ctrlPr>
              <w:rPr>
                <w:rFonts w:ascii="Cambria Math" w:eastAsia="Calibri" w:hAnsi="Cambria Math"/>
                <w:i/>
              </w:rPr>
            </m:ctrlPr>
          </m:dPr>
          <m:e>
            <m:f>
              <m:fPr>
                <m:ctrlPr>
                  <w:rPr>
                    <w:rFonts w:ascii="Cambria Math" w:eastAsia="Calibri" w:hAnsi="Cambria Math"/>
                    <w:i/>
                  </w:rPr>
                </m:ctrlPr>
              </m:fPr>
              <m:num>
                <m:r>
                  <m:rPr>
                    <m:nor/>
                  </m:rPr>
                  <w:rPr>
                    <w:rFonts w:eastAsia="Calibri"/>
                  </w:rPr>
                  <m:t>641</m:t>
                </m:r>
              </m:num>
              <m:den>
                <m:r>
                  <m:rPr>
                    <m:nor/>
                  </m:rPr>
                  <w:rPr>
                    <w:rFonts w:eastAsia="Calibri"/>
                  </w:rPr>
                  <m:t>642</m:t>
                </m:r>
              </m:den>
            </m:f>
          </m:e>
        </m:d>
      </m:oMath>
      <w:r>
        <w:rPr>
          <w:rFonts w:eastAsia="Calibri"/>
        </w:rPr>
        <w:t xml:space="preserve"> = 0.998442</w:t>
      </w:r>
    </w:p>
    <w:p w14:paraId="508E2B7F" w14:textId="77777777" w:rsidR="00D470A6" w:rsidRPr="00C44E1D" w:rsidRDefault="00D470A6" w:rsidP="00D470A6">
      <w:pPr>
        <w:rPr>
          <w:rFonts w:eastAsia="Calibri"/>
        </w:rPr>
      </w:pPr>
      <w:r w:rsidRPr="00C44E1D">
        <w:rPr>
          <w:rFonts w:eastAsia="Calibri"/>
        </w:rPr>
        <w:t xml:space="preserve">Final Rate Contract 1 = </w:t>
      </w:r>
      <m:oMath>
        <m:r>
          <m:rPr>
            <m:nor/>
          </m:rPr>
          <w:rPr>
            <w:rFonts w:eastAsia="Calibri"/>
          </w:rPr>
          <m:t xml:space="preserve">0.998442 × 0.139245 x 100 = </m:t>
        </m:r>
        <m:r>
          <m:rPr>
            <m:nor/>
          </m:rPr>
          <w:rPr>
            <w:rFonts w:eastAsia="Times New Roman"/>
          </w:rPr>
          <m:t>13.90</m:t>
        </m:r>
      </m:oMath>
    </w:p>
    <w:p w14:paraId="792795E1" w14:textId="77777777" w:rsidR="00D470A6" w:rsidRPr="00215FEA" w:rsidRDefault="00D470A6" w:rsidP="00D470A6">
      <w:pPr>
        <w:rPr>
          <w:rFonts w:eastAsia="Calibri"/>
        </w:rPr>
      </w:pPr>
      <w:r w:rsidRPr="00C44E1D">
        <w:rPr>
          <w:rFonts w:eastAsia="Calibri"/>
        </w:rPr>
        <w:t>Final Rate reported for Contract 1 = 1</w:t>
      </w:r>
      <w:r>
        <w:rPr>
          <w:rFonts w:eastAsia="Calibri"/>
        </w:rPr>
        <w:t>4%</w:t>
      </w:r>
    </w:p>
    <w:p w14:paraId="4749F553" w14:textId="77777777" w:rsidR="001B5FEC" w:rsidRPr="00DD7B93" w:rsidRDefault="001B5FEC" w:rsidP="001B5FEC">
      <w:pPr>
        <w:pStyle w:val="Normal-Formula"/>
        <w:spacing w:before="120"/>
        <w:rPr>
          <w:rFonts w:eastAsiaTheme="minorEastAsia"/>
          <w:sz w:val="18"/>
          <w:szCs w:val="24"/>
        </w:rPr>
      </w:pPr>
      <w:r w:rsidRPr="00DD7B93">
        <w:br w:type="page"/>
      </w:r>
    </w:p>
    <w:p w14:paraId="1A651669" w14:textId="77777777" w:rsidR="00E47F23" w:rsidRPr="003945D4" w:rsidRDefault="00E47F23" w:rsidP="00E47F23">
      <w:pPr>
        <w:pStyle w:val="AttachmentTitle"/>
        <w:spacing w:after="120"/>
      </w:pPr>
      <w:r>
        <w:lastRenderedPageBreak/>
        <w:t>C</w:t>
      </w:r>
      <w:r w:rsidRPr="002B0180">
        <w:t xml:space="preserve">alculating </w:t>
      </w:r>
      <w:r>
        <w:t>M</w:t>
      </w:r>
      <w:r w:rsidRPr="002B0180">
        <w:t xml:space="preserve">easure </w:t>
      </w:r>
      <w:r>
        <w:t>2021 PCR</w:t>
      </w:r>
      <w:r w:rsidRPr="002B0180">
        <w:t>: Plan All-Cause Readmissions</w:t>
      </w:r>
      <w:r>
        <w:t xml:space="preserve"> (65+)</w:t>
      </w:r>
    </w:p>
    <w:p w14:paraId="33198693" w14:textId="19C42036" w:rsidR="00E47F23" w:rsidRDefault="00E47F23" w:rsidP="00E47F23">
      <w:r w:rsidRPr="00CF20FE">
        <w:t xml:space="preserve">All data </w:t>
      </w:r>
      <w:r>
        <w:t xml:space="preserve">can be looked up by </w:t>
      </w:r>
      <w:proofErr w:type="spellStart"/>
      <w:r>
        <w:t>IndicatorKey</w:t>
      </w:r>
      <w:proofErr w:type="spellEnd"/>
      <w:r>
        <w:t xml:space="preserve"> (row) and Variable name (column).</w:t>
      </w:r>
    </w:p>
    <w:p w14:paraId="754C7EDE" w14:textId="77777777" w:rsidR="00E47F23" w:rsidRDefault="00E47F23" w:rsidP="00E47F23">
      <w:r>
        <w:t xml:space="preserve">The calculations below use the Denominator, </w:t>
      </w:r>
      <w:proofErr w:type="spellStart"/>
      <w:r>
        <w:t>ObservedCount</w:t>
      </w:r>
      <w:proofErr w:type="spellEnd"/>
      <w:r>
        <w:t xml:space="preserve"> and </w:t>
      </w:r>
      <w:proofErr w:type="spellStart"/>
      <w:r>
        <w:t>ExpectedCount</w:t>
      </w:r>
      <w:proofErr w:type="spellEnd"/>
      <w:r>
        <w:t xml:space="preserve"> values from the PCR (65+) indicator (</w:t>
      </w:r>
      <w:proofErr w:type="spellStart"/>
      <w:r>
        <w:t>IndicatorKey</w:t>
      </w:r>
      <w:proofErr w:type="spellEnd"/>
      <w:r>
        <w:t xml:space="preserve"> = </w:t>
      </w:r>
      <w:r w:rsidRPr="00D1720C">
        <w:t>202111_20</w:t>
      </w:r>
      <w:r>
        <w:t>).</w:t>
      </w:r>
    </w:p>
    <w:p w14:paraId="12ABFB75" w14:textId="77777777" w:rsidR="00E47F23" w:rsidRDefault="00E47F23" w:rsidP="00E47F23">
      <w:r>
        <w:t>For each contract, calculate the (65+) Observed-over-Expected Ratio (OE):</w:t>
      </w:r>
    </w:p>
    <w:p w14:paraId="6ADA697B" w14:textId="77777777" w:rsidR="00E47F23" w:rsidRDefault="00E47F23" w:rsidP="00E47F23">
      <w:pPr>
        <w:ind w:firstLine="720"/>
      </w:pPr>
      <w:r>
        <w:t xml:space="preserve">OE = </w:t>
      </w:r>
      <m:oMath>
        <m:d>
          <m:dPr>
            <m:ctrlPr>
              <w:rPr>
                <w:rFonts w:ascii="Cambria Math" w:hAnsi="Cambria Math"/>
                <w:sz w:val="28"/>
                <w:szCs w:val="28"/>
              </w:rPr>
            </m:ctrlPr>
          </m:dPr>
          <m:e>
            <m:f>
              <m:fPr>
                <m:ctrlPr>
                  <w:rPr>
                    <w:rFonts w:ascii="Cambria Math" w:hAnsi="Cambria Math"/>
                    <w:sz w:val="28"/>
                    <w:szCs w:val="28"/>
                  </w:rPr>
                </m:ctrlPr>
              </m:fPr>
              <m:num>
                <w:proofErr w:type="spellStart"/>
                <m:r>
                  <m:rPr>
                    <m:nor/>
                  </m:rPr>
                  <w:rPr>
                    <w:sz w:val="28"/>
                    <w:szCs w:val="28"/>
                  </w:rPr>
                  <m:t>ObservedCount</m:t>
                </m:r>
                <w:proofErr w:type="spellEnd"/>
              </m:num>
              <m:den>
                <w:proofErr w:type="spellStart"/>
                <m:r>
                  <m:rPr>
                    <m:nor/>
                  </m:rPr>
                  <w:rPr>
                    <w:sz w:val="28"/>
                    <w:szCs w:val="28"/>
                  </w:rPr>
                  <m:t>ExpectedCount</m:t>
                </m:r>
                <w:proofErr w:type="spellEnd"/>
              </m:den>
            </m:f>
          </m:e>
        </m:d>
      </m:oMath>
    </w:p>
    <w:p w14:paraId="580D7371" w14:textId="77777777" w:rsidR="00E47F23" w:rsidRDefault="00E47F23" w:rsidP="00E47F23">
      <w:r>
        <w:t>Calculate the national average of the (65+) Observed Rate:</w:t>
      </w:r>
    </w:p>
    <w:p w14:paraId="1712954A" w14:textId="77777777" w:rsidR="00E47F23" w:rsidRDefault="00E47F23" w:rsidP="00E47F23">
      <w:pPr>
        <w:pStyle w:val="Normal-Formula"/>
        <w:spacing w:before="120"/>
        <w:ind w:firstLine="720"/>
      </w:pPr>
      <w:proofErr w:type="spellStart"/>
      <w:r w:rsidRPr="00301E67">
        <w:t>NatAvgObs</w:t>
      </w:r>
      <w:proofErr w:type="spellEnd"/>
      <w:r w:rsidRPr="00301E67">
        <w:t xml:space="preserve"> = </w:t>
      </w:r>
      <m:oMath>
        <m:r>
          <m:rPr>
            <m:nor/>
          </m:rPr>
          <m:t>Average</m:t>
        </m:r>
        <m:d>
          <m:dPr>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w:proofErr w:type="spellStart"/>
                        <m:r>
                          <m:rPr>
                            <m:nor/>
                          </m:rPr>
                          <m:t>ObservedCount</m:t>
                        </m:r>
                        <w:proofErr w:type="spellEnd"/>
                      </m:e>
                      <m:sub>
                        <m:r>
                          <m:rPr>
                            <m:nor/>
                          </m:rPr>
                          <m:t>1</m:t>
                        </m:r>
                      </m:sub>
                    </m:sSub>
                  </m:num>
                  <m:den>
                    <m:sSub>
                      <m:sSubPr>
                        <m:ctrlPr>
                          <w:rPr>
                            <w:rFonts w:ascii="Cambria Math" w:hAnsi="Cambria Math"/>
                          </w:rPr>
                        </m:ctrlPr>
                      </m:sSubPr>
                      <m:e>
                        <m:r>
                          <m:rPr>
                            <m:nor/>
                          </m:rPr>
                          <m:t>Denominator</m:t>
                        </m:r>
                      </m:e>
                      <m:sub>
                        <m:r>
                          <m:rPr>
                            <m:nor/>
                          </m:rPr>
                          <m:t>1</m:t>
                        </m:r>
                      </m:sub>
                    </m:sSub>
                  </m:den>
                </m:f>
              </m:e>
            </m:d>
            <m:r>
              <m:rPr>
                <m:nor/>
              </m:rPr>
              <m:t xml:space="preserve"> + … +</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w:proofErr w:type="spellStart"/>
                        <m:r>
                          <m:rPr>
                            <m:nor/>
                          </m:rPr>
                          <m:t>ObservedCount</m:t>
                        </m:r>
                        <w:proofErr w:type="spellEnd"/>
                      </m:e>
                      <m:sub>
                        <m:r>
                          <m:rPr>
                            <m:nor/>
                          </m:rPr>
                          <m:t>n</m:t>
                        </m:r>
                      </m:sub>
                    </m:sSub>
                  </m:num>
                  <m:den>
                    <m:sSub>
                      <m:sSubPr>
                        <m:ctrlPr>
                          <w:rPr>
                            <w:rFonts w:ascii="Cambria Math" w:hAnsi="Cambria Math"/>
                          </w:rPr>
                        </m:ctrlPr>
                      </m:sSubPr>
                      <m:e>
                        <m:r>
                          <m:rPr>
                            <m:nor/>
                          </m:rPr>
                          <m:t>Denominator</m:t>
                        </m:r>
                      </m:e>
                      <m:sub>
                        <m:r>
                          <m:rPr>
                            <m:nor/>
                          </m:rPr>
                          <m:t>n</m:t>
                        </m:r>
                      </m:sub>
                    </m:sSub>
                  </m:den>
                </m:f>
              </m:e>
            </m:d>
          </m:e>
        </m:d>
      </m:oMath>
    </w:p>
    <w:p w14:paraId="3EF5E630" w14:textId="77777777" w:rsidR="00E47F23" w:rsidRPr="001F52D8" w:rsidRDefault="00E47F23" w:rsidP="00E47F23">
      <w:r>
        <w:t>W</w:t>
      </w:r>
      <w:r w:rsidRPr="00301E67">
        <w:t xml:space="preserve">here 1 through n are all </w:t>
      </w:r>
      <w:r w:rsidRPr="00D208DD">
        <w:t xml:space="preserve">contracts with </w:t>
      </w:r>
      <w:r>
        <w:t xml:space="preserve">a (65+) </w:t>
      </w:r>
      <w:r w:rsidRPr="00D208DD">
        <w:t xml:space="preserve">Denominator </w:t>
      </w:r>
      <w:r>
        <w:t>larger than or equal to</w:t>
      </w:r>
      <w:r w:rsidRPr="00D208DD">
        <w:t xml:space="preserve"> 150</w:t>
      </w:r>
      <w:r>
        <w:t>, and a (65+) OE larger than or equal to 0.2 and less than or equal to 5.0.</w:t>
      </w:r>
    </w:p>
    <w:p w14:paraId="7A8CA304" w14:textId="77777777" w:rsidR="00E47F23" w:rsidRDefault="00E47F23" w:rsidP="00E47F23">
      <w:pPr>
        <w:rPr>
          <w:szCs w:val="20"/>
        </w:rPr>
      </w:pPr>
      <w:r>
        <w:rPr>
          <w:szCs w:val="20"/>
        </w:rPr>
        <w:t>For each contract, calculate the Final Rate and convert to percentages:</w:t>
      </w:r>
    </w:p>
    <w:p w14:paraId="0056B9A8" w14:textId="77777777" w:rsidR="00E47F23" w:rsidRDefault="00E47F23" w:rsidP="00E47F23">
      <w:pPr>
        <w:pStyle w:val="Normal-Formula"/>
        <w:spacing w:before="120" w:after="120"/>
        <w:ind w:firstLine="720"/>
      </w:pPr>
      <w:r>
        <w:rPr>
          <w:szCs w:val="20"/>
        </w:rPr>
        <w:t>Final</w:t>
      </w:r>
      <w:r w:rsidRPr="00301E67">
        <w:rPr>
          <w:szCs w:val="20"/>
        </w:rPr>
        <w:t xml:space="preserve"> Rate =</w:t>
      </w:r>
      <w:r>
        <w:t xml:space="preserve"> </w:t>
      </w:r>
      <m:oMath>
        <m:r>
          <m:rPr>
            <m:nor/>
          </m:rPr>
          <m:t xml:space="preserve">OE x </m:t>
        </m:r>
        <w:proofErr w:type="spellStart"/>
        <m:r>
          <m:rPr>
            <m:nor/>
          </m:rPr>
          <m:t>NatAvgObs</m:t>
        </m:r>
        <w:proofErr w:type="spellEnd"/>
        <m:r>
          <m:rPr>
            <m:nor/>
          </m:rPr>
          <m:t xml:space="preserve"> x 100 </m:t>
        </m:r>
      </m:oMath>
    </w:p>
    <w:p w14:paraId="1A1D1669" w14:textId="77777777" w:rsidR="00E47F23" w:rsidRDefault="00E47F23" w:rsidP="00E47F23">
      <w:pPr>
        <w:pStyle w:val="Normal-Formula"/>
        <w:spacing w:before="120" w:after="120"/>
      </w:pPr>
      <w:r>
        <w:t>And round to the nearest integer.</w:t>
      </w:r>
    </w:p>
    <w:p w14:paraId="0D6D28CC" w14:textId="77777777" w:rsidR="00E47F23" w:rsidRDefault="00E47F23" w:rsidP="00E47F23">
      <w:pPr>
        <w:spacing w:line="259" w:lineRule="auto"/>
        <w:rPr>
          <w:rFonts w:eastAsia="Calibri"/>
        </w:rPr>
      </w:pPr>
    </w:p>
    <w:p w14:paraId="2FC2CCC3" w14:textId="77777777" w:rsidR="00E47F23" w:rsidRPr="00C44E1D" w:rsidRDefault="00E47F23" w:rsidP="00E47F23">
      <w:pPr>
        <w:spacing w:line="259" w:lineRule="auto"/>
        <w:rPr>
          <w:rFonts w:eastAsia="Calibri"/>
        </w:rPr>
      </w:pPr>
      <w:r w:rsidRPr="00C44E1D">
        <w:rPr>
          <w:rFonts w:eastAsia="Calibri"/>
        </w:rPr>
        <w:t>Example: Calculating the final rate for Contract 1</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29" w:type="dxa"/>
          <w:bottom w:w="14" w:type="dxa"/>
          <w:right w:w="29" w:type="dxa"/>
        </w:tblCellMar>
        <w:tblLook w:val="04A0" w:firstRow="1" w:lastRow="0" w:firstColumn="1" w:lastColumn="0" w:noHBand="0" w:noVBand="1"/>
      </w:tblPr>
      <w:tblGrid>
        <w:gridCol w:w="815"/>
        <w:gridCol w:w="1052"/>
        <w:gridCol w:w="1070"/>
        <w:gridCol w:w="1289"/>
        <w:gridCol w:w="1261"/>
      </w:tblGrid>
      <w:tr w:rsidR="00E47F23" w:rsidRPr="00C44E1D" w14:paraId="29ECBA32" w14:textId="77777777" w:rsidTr="00721B09">
        <w:tc>
          <w:tcPr>
            <w:tcW w:w="0" w:type="auto"/>
            <w:shd w:val="clear" w:color="000000" w:fill="BFBFBF"/>
            <w:vAlign w:val="center"/>
            <w:hideMark/>
          </w:tcPr>
          <w:p w14:paraId="5F362696" w14:textId="77777777" w:rsidR="00E47F23" w:rsidRPr="00C44E1D" w:rsidRDefault="00E47F23" w:rsidP="00721B09">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Contract</w:t>
            </w:r>
          </w:p>
        </w:tc>
        <w:tc>
          <w:tcPr>
            <w:tcW w:w="0" w:type="auto"/>
            <w:shd w:val="clear" w:color="000000" w:fill="BFBFBF"/>
            <w:noWrap/>
            <w:vAlign w:val="center"/>
            <w:hideMark/>
          </w:tcPr>
          <w:p w14:paraId="3B7328DA" w14:textId="77777777" w:rsidR="00E47F23" w:rsidRPr="00C44E1D" w:rsidRDefault="00E47F23" w:rsidP="00721B09">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IndicatorKey</w:t>
            </w:r>
            <w:proofErr w:type="spellEnd"/>
          </w:p>
        </w:tc>
        <w:tc>
          <w:tcPr>
            <w:tcW w:w="0" w:type="auto"/>
            <w:shd w:val="clear" w:color="000000" w:fill="BFBFBF"/>
            <w:vAlign w:val="center"/>
            <w:hideMark/>
          </w:tcPr>
          <w:p w14:paraId="4BF2FD4D" w14:textId="77777777" w:rsidR="00E47F23" w:rsidRPr="00C44E1D" w:rsidRDefault="00E47F23" w:rsidP="00721B09">
            <w:pPr>
              <w:spacing w:after="0"/>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 xml:space="preserve">Denominator </w:t>
            </w:r>
          </w:p>
        </w:tc>
        <w:tc>
          <w:tcPr>
            <w:tcW w:w="0" w:type="auto"/>
            <w:shd w:val="clear" w:color="000000" w:fill="BFBFBF"/>
            <w:vAlign w:val="center"/>
            <w:hideMark/>
          </w:tcPr>
          <w:p w14:paraId="43EC3F1A" w14:textId="77777777" w:rsidR="00E47F23" w:rsidRPr="00C44E1D" w:rsidRDefault="00E47F23" w:rsidP="00721B09">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ObservedCount</w:t>
            </w:r>
            <w:proofErr w:type="spellEnd"/>
          </w:p>
        </w:tc>
        <w:tc>
          <w:tcPr>
            <w:tcW w:w="0" w:type="auto"/>
            <w:shd w:val="clear" w:color="000000" w:fill="BFBFBF"/>
            <w:vAlign w:val="center"/>
            <w:hideMark/>
          </w:tcPr>
          <w:p w14:paraId="593D90E6" w14:textId="77777777" w:rsidR="00E47F23" w:rsidRPr="00C44E1D" w:rsidRDefault="00E47F23" w:rsidP="00721B09">
            <w:pPr>
              <w:spacing w:after="0"/>
              <w:jc w:val="center"/>
              <w:rPr>
                <w:rFonts w:ascii="Arial Narrow Bold" w:eastAsia="Times New Roman" w:hAnsi="Arial Narrow Bold" w:cs="Times New Roman"/>
                <w:b/>
                <w:bCs/>
                <w:color w:val="000000"/>
                <w:sz w:val="20"/>
                <w:szCs w:val="20"/>
              </w:rPr>
            </w:pPr>
            <w:proofErr w:type="spellStart"/>
            <w:r>
              <w:rPr>
                <w:rFonts w:ascii="Arial Narrow Bold" w:eastAsia="Times New Roman" w:hAnsi="Arial Narrow Bold" w:cs="Times New Roman"/>
                <w:b/>
                <w:bCs/>
                <w:color w:val="000000"/>
                <w:sz w:val="20"/>
                <w:szCs w:val="20"/>
              </w:rPr>
              <w:t>ExpectedCount</w:t>
            </w:r>
            <w:proofErr w:type="spellEnd"/>
          </w:p>
        </w:tc>
      </w:tr>
      <w:tr w:rsidR="00E47F23" w:rsidRPr="00C44E1D" w14:paraId="6EA4B846" w14:textId="77777777" w:rsidTr="00721B09">
        <w:tc>
          <w:tcPr>
            <w:tcW w:w="0" w:type="auto"/>
            <w:shd w:val="clear" w:color="auto" w:fill="auto"/>
            <w:vAlign w:val="center"/>
          </w:tcPr>
          <w:p w14:paraId="79AFE68E" w14:textId="77777777" w:rsidR="00E47F23" w:rsidRDefault="00E47F23" w:rsidP="00721B09">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1</w:t>
            </w:r>
          </w:p>
        </w:tc>
        <w:tc>
          <w:tcPr>
            <w:tcW w:w="0" w:type="auto"/>
            <w:shd w:val="clear" w:color="auto" w:fill="auto"/>
            <w:noWrap/>
            <w:vAlign w:val="center"/>
          </w:tcPr>
          <w:p w14:paraId="6C2CBFFB" w14:textId="77777777" w:rsidR="00E47F23" w:rsidRPr="0042433C" w:rsidRDefault="00E47F23" w:rsidP="00721B09">
            <w:pPr>
              <w:spacing w:after="0"/>
              <w:jc w:val="right"/>
              <w:rPr>
                <w:rFonts w:ascii="Arial Narrow" w:eastAsia="Times New Roman" w:hAnsi="Arial Narrow" w:cs="Times New Roman"/>
                <w:color w:val="000000"/>
                <w:sz w:val="20"/>
                <w:szCs w:val="20"/>
              </w:rPr>
            </w:pPr>
            <w:r w:rsidRPr="00D1720C">
              <w:rPr>
                <w:rFonts w:ascii="Arial Narrow" w:hAnsi="Arial Narrow"/>
                <w:sz w:val="20"/>
                <w:szCs w:val="20"/>
              </w:rPr>
              <w:t>202111_20</w:t>
            </w:r>
          </w:p>
        </w:tc>
        <w:tc>
          <w:tcPr>
            <w:tcW w:w="0" w:type="auto"/>
            <w:shd w:val="clear" w:color="auto" w:fill="auto"/>
            <w:noWrap/>
            <w:vAlign w:val="center"/>
          </w:tcPr>
          <w:p w14:paraId="0BCDFDB1" w14:textId="77777777" w:rsidR="00E47F23" w:rsidRPr="00C44E1D" w:rsidRDefault="00E47F23"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4,792</w:t>
            </w:r>
          </w:p>
        </w:tc>
        <w:tc>
          <w:tcPr>
            <w:tcW w:w="0" w:type="auto"/>
            <w:shd w:val="clear" w:color="auto" w:fill="auto"/>
            <w:noWrap/>
            <w:vAlign w:val="center"/>
          </w:tcPr>
          <w:p w14:paraId="788A2C5D" w14:textId="77777777" w:rsidR="00E47F23" w:rsidRPr="00C44E1D" w:rsidRDefault="00E47F23"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641</w:t>
            </w:r>
          </w:p>
        </w:tc>
        <w:tc>
          <w:tcPr>
            <w:tcW w:w="0" w:type="auto"/>
            <w:shd w:val="clear" w:color="auto" w:fill="auto"/>
            <w:noWrap/>
            <w:vAlign w:val="center"/>
          </w:tcPr>
          <w:p w14:paraId="67D4ED69" w14:textId="77777777" w:rsidR="00E47F23" w:rsidRPr="00C44E1D" w:rsidRDefault="00E47F23"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642</w:t>
            </w:r>
          </w:p>
        </w:tc>
      </w:tr>
      <w:tr w:rsidR="00E47F23" w:rsidRPr="00C44E1D" w14:paraId="2C4FA0BF" w14:textId="77777777" w:rsidTr="00721B09">
        <w:tc>
          <w:tcPr>
            <w:tcW w:w="0" w:type="auto"/>
            <w:shd w:val="clear" w:color="auto" w:fill="auto"/>
            <w:vAlign w:val="center"/>
          </w:tcPr>
          <w:p w14:paraId="403E3B2F" w14:textId="77777777" w:rsidR="00E47F23" w:rsidRDefault="00E47F23" w:rsidP="00721B09">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2</w:t>
            </w:r>
          </w:p>
        </w:tc>
        <w:tc>
          <w:tcPr>
            <w:tcW w:w="0" w:type="auto"/>
            <w:shd w:val="clear" w:color="auto" w:fill="auto"/>
            <w:noWrap/>
            <w:vAlign w:val="center"/>
          </w:tcPr>
          <w:p w14:paraId="2E714754" w14:textId="77777777" w:rsidR="00E47F23" w:rsidRPr="0042433C" w:rsidRDefault="00E47F23" w:rsidP="00721B09">
            <w:pPr>
              <w:spacing w:after="0"/>
              <w:jc w:val="right"/>
              <w:rPr>
                <w:rFonts w:ascii="Arial Narrow" w:eastAsia="Times New Roman" w:hAnsi="Arial Narrow" w:cs="Times New Roman"/>
                <w:color w:val="000000"/>
                <w:sz w:val="20"/>
                <w:szCs w:val="20"/>
              </w:rPr>
            </w:pPr>
            <w:r w:rsidRPr="00D1720C">
              <w:rPr>
                <w:rFonts w:ascii="Arial Narrow" w:eastAsia="Times New Roman" w:hAnsi="Arial Narrow" w:cs="Times New Roman"/>
                <w:color w:val="000000"/>
                <w:sz w:val="20"/>
                <w:szCs w:val="20"/>
              </w:rPr>
              <w:t>202111_20</w:t>
            </w:r>
          </w:p>
        </w:tc>
        <w:tc>
          <w:tcPr>
            <w:tcW w:w="0" w:type="auto"/>
            <w:shd w:val="clear" w:color="auto" w:fill="auto"/>
            <w:noWrap/>
            <w:vAlign w:val="center"/>
          </w:tcPr>
          <w:p w14:paraId="4ACA1F68" w14:textId="77777777" w:rsidR="00E47F23" w:rsidRPr="00C44E1D" w:rsidRDefault="00E47F23"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4,761</w:t>
            </w:r>
          </w:p>
        </w:tc>
        <w:tc>
          <w:tcPr>
            <w:tcW w:w="0" w:type="auto"/>
            <w:shd w:val="clear" w:color="auto" w:fill="auto"/>
            <w:noWrap/>
            <w:vAlign w:val="center"/>
          </w:tcPr>
          <w:p w14:paraId="4723B3F8" w14:textId="77777777" w:rsidR="00E47F23" w:rsidRPr="00C44E1D" w:rsidRDefault="00E47F23"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688</w:t>
            </w:r>
          </w:p>
        </w:tc>
        <w:tc>
          <w:tcPr>
            <w:tcW w:w="0" w:type="auto"/>
            <w:shd w:val="clear" w:color="auto" w:fill="auto"/>
            <w:noWrap/>
            <w:vAlign w:val="center"/>
          </w:tcPr>
          <w:p w14:paraId="3FBC0D1B" w14:textId="77777777" w:rsidR="00E47F23" w:rsidRPr="00C44E1D" w:rsidRDefault="00E47F23"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668</w:t>
            </w:r>
          </w:p>
        </w:tc>
      </w:tr>
      <w:tr w:rsidR="00E47F23" w:rsidRPr="00C44E1D" w14:paraId="5B036AC8" w14:textId="77777777" w:rsidTr="00721B09">
        <w:tc>
          <w:tcPr>
            <w:tcW w:w="0" w:type="auto"/>
            <w:shd w:val="clear" w:color="auto" w:fill="auto"/>
            <w:vAlign w:val="center"/>
          </w:tcPr>
          <w:p w14:paraId="05D6945C" w14:textId="77777777" w:rsidR="00E47F23" w:rsidRDefault="00E47F23" w:rsidP="00721B09">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3</w:t>
            </w:r>
          </w:p>
        </w:tc>
        <w:tc>
          <w:tcPr>
            <w:tcW w:w="0" w:type="auto"/>
            <w:shd w:val="clear" w:color="auto" w:fill="auto"/>
            <w:noWrap/>
            <w:vAlign w:val="center"/>
          </w:tcPr>
          <w:p w14:paraId="14064027" w14:textId="77777777" w:rsidR="00E47F23" w:rsidRPr="0042433C" w:rsidRDefault="00E47F23" w:rsidP="00721B09">
            <w:pPr>
              <w:spacing w:after="0"/>
              <w:jc w:val="right"/>
              <w:rPr>
                <w:rFonts w:ascii="Arial Narrow" w:eastAsia="Times New Roman" w:hAnsi="Arial Narrow" w:cs="Times New Roman"/>
                <w:color w:val="000000"/>
                <w:sz w:val="20"/>
                <w:szCs w:val="20"/>
              </w:rPr>
            </w:pPr>
            <w:r w:rsidRPr="00D1720C">
              <w:rPr>
                <w:rFonts w:ascii="Arial Narrow" w:eastAsia="Times New Roman" w:hAnsi="Arial Narrow" w:cs="Times New Roman"/>
                <w:color w:val="000000"/>
                <w:sz w:val="20"/>
                <w:szCs w:val="20"/>
              </w:rPr>
              <w:t>202111_20</w:t>
            </w:r>
          </w:p>
        </w:tc>
        <w:tc>
          <w:tcPr>
            <w:tcW w:w="0" w:type="auto"/>
            <w:shd w:val="clear" w:color="auto" w:fill="auto"/>
            <w:noWrap/>
            <w:vAlign w:val="center"/>
          </w:tcPr>
          <w:p w14:paraId="4ED7CA85" w14:textId="77777777" w:rsidR="00E47F23" w:rsidRPr="00C44E1D" w:rsidRDefault="00E47F23"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8,629</w:t>
            </w:r>
          </w:p>
        </w:tc>
        <w:tc>
          <w:tcPr>
            <w:tcW w:w="0" w:type="auto"/>
            <w:shd w:val="clear" w:color="auto" w:fill="auto"/>
            <w:noWrap/>
            <w:vAlign w:val="center"/>
          </w:tcPr>
          <w:p w14:paraId="47812C8E" w14:textId="77777777" w:rsidR="00E47F23" w:rsidRPr="00C44E1D" w:rsidRDefault="00E47F23"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1,126</w:t>
            </w:r>
          </w:p>
        </w:tc>
        <w:tc>
          <w:tcPr>
            <w:tcW w:w="0" w:type="auto"/>
            <w:shd w:val="clear" w:color="auto" w:fill="auto"/>
            <w:noWrap/>
            <w:vAlign w:val="center"/>
          </w:tcPr>
          <w:p w14:paraId="41970E11" w14:textId="77777777" w:rsidR="00E47F23" w:rsidRPr="00C44E1D" w:rsidRDefault="00E47F23" w:rsidP="00721B09">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1,070</w:t>
            </w:r>
          </w:p>
        </w:tc>
      </w:tr>
      <w:tr w:rsidR="00E47F23" w:rsidRPr="00C44E1D" w14:paraId="6D5CC11C" w14:textId="77777777" w:rsidTr="00721B09">
        <w:tc>
          <w:tcPr>
            <w:tcW w:w="0" w:type="auto"/>
            <w:shd w:val="clear" w:color="auto" w:fill="auto"/>
            <w:vAlign w:val="center"/>
          </w:tcPr>
          <w:p w14:paraId="2D2454DF" w14:textId="77777777" w:rsidR="00E47F23" w:rsidRDefault="00E47F23" w:rsidP="00721B09">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4</w:t>
            </w:r>
          </w:p>
        </w:tc>
        <w:tc>
          <w:tcPr>
            <w:tcW w:w="0" w:type="auto"/>
            <w:shd w:val="clear" w:color="auto" w:fill="auto"/>
            <w:noWrap/>
            <w:vAlign w:val="center"/>
          </w:tcPr>
          <w:p w14:paraId="65D8BD29" w14:textId="77777777" w:rsidR="00E47F23" w:rsidRPr="0042433C" w:rsidRDefault="00E47F23" w:rsidP="00721B09">
            <w:pPr>
              <w:spacing w:after="0"/>
              <w:jc w:val="right"/>
              <w:rPr>
                <w:rFonts w:ascii="Arial Narrow" w:hAnsi="Arial Narrow" w:cs="Calibri"/>
                <w:color w:val="000000"/>
                <w:sz w:val="20"/>
                <w:szCs w:val="20"/>
              </w:rPr>
            </w:pPr>
            <w:r w:rsidRPr="00D1720C">
              <w:rPr>
                <w:rFonts w:ascii="Arial Narrow" w:hAnsi="Arial Narrow" w:cs="Calibri"/>
                <w:color w:val="000000"/>
                <w:sz w:val="20"/>
                <w:szCs w:val="20"/>
              </w:rPr>
              <w:t>202111_20</w:t>
            </w:r>
          </w:p>
        </w:tc>
        <w:tc>
          <w:tcPr>
            <w:tcW w:w="0" w:type="auto"/>
            <w:shd w:val="clear" w:color="auto" w:fill="auto"/>
            <w:noWrap/>
            <w:vAlign w:val="center"/>
          </w:tcPr>
          <w:p w14:paraId="46DDB90B" w14:textId="77777777" w:rsidR="00E47F23" w:rsidRDefault="00E47F23" w:rsidP="00721B09">
            <w:pPr>
              <w:spacing w:after="0"/>
              <w:jc w:val="right"/>
              <w:rPr>
                <w:rFonts w:ascii="Arial Narrow" w:hAnsi="Arial Narrow" w:cs="Calibri"/>
                <w:color w:val="000000"/>
                <w:sz w:val="20"/>
                <w:szCs w:val="20"/>
              </w:rPr>
            </w:pPr>
            <w:r>
              <w:rPr>
                <w:rFonts w:ascii="Arial Narrow" w:hAnsi="Arial Narrow" w:cs="Calibri"/>
                <w:color w:val="000000"/>
                <w:sz w:val="20"/>
                <w:szCs w:val="20"/>
              </w:rPr>
              <w:t>533</w:t>
            </w:r>
          </w:p>
        </w:tc>
        <w:tc>
          <w:tcPr>
            <w:tcW w:w="0" w:type="auto"/>
            <w:shd w:val="clear" w:color="auto" w:fill="auto"/>
            <w:noWrap/>
            <w:vAlign w:val="center"/>
          </w:tcPr>
          <w:p w14:paraId="4310AB18" w14:textId="77777777" w:rsidR="00E47F23" w:rsidRDefault="00E47F23" w:rsidP="00721B09">
            <w:pPr>
              <w:spacing w:after="0"/>
              <w:jc w:val="right"/>
              <w:rPr>
                <w:rFonts w:ascii="Arial Narrow" w:hAnsi="Arial Narrow" w:cs="Calibri"/>
                <w:color w:val="000000"/>
                <w:sz w:val="20"/>
                <w:szCs w:val="20"/>
              </w:rPr>
            </w:pPr>
            <w:r>
              <w:rPr>
                <w:rFonts w:ascii="Arial Narrow" w:hAnsi="Arial Narrow" w:cs="Calibri"/>
                <w:color w:val="000000"/>
                <w:sz w:val="20"/>
                <w:szCs w:val="20"/>
              </w:rPr>
              <w:t>79</w:t>
            </w:r>
          </w:p>
        </w:tc>
        <w:tc>
          <w:tcPr>
            <w:tcW w:w="0" w:type="auto"/>
            <w:shd w:val="clear" w:color="auto" w:fill="auto"/>
            <w:noWrap/>
            <w:vAlign w:val="center"/>
          </w:tcPr>
          <w:p w14:paraId="71809839" w14:textId="77777777" w:rsidR="00E47F23" w:rsidRDefault="00E47F23" w:rsidP="00721B09">
            <w:pPr>
              <w:spacing w:after="0"/>
              <w:jc w:val="right"/>
              <w:rPr>
                <w:rFonts w:ascii="Arial Narrow" w:hAnsi="Arial Narrow" w:cs="Calibri"/>
                <w:color w:val="000000"/>
                <w:sz w:val="20"/>
                <w:szCs w:val="20"/>
              </w:rPr>
            </w:pPr>
            <w:r>
              <w:rPr>
                <w:rFonts w:ascii="Arial Narrow" w:hAnsi="Arial Narrow" w:cs="Calibri"/>
                <w:color w:val="000000"/>
                <w:sz w:val="20"/>
                <w:szCs w:val="20"/>
              </w:rPr>
              <w:t>73</w:t>
            </w:r>
          </w:p>
        </w:tc>
      </w:tr>
    </w:tbl>
    <w:p w14:paraId="1A69397F" w14:textId="77777777" w:rsidR="00E47F23" w:rsidRPr="00C44E1D" w:rsidRDefault="00E47F23" w:rsidP="00E47F23">
      <w:pPr>
        <w:rPr>
          <w:rFonts w:eastAsia="Calibri" w:cs="Times New Roman"/>
        </w:rPr>
      </w:pPr>
      <w:proofErr w:type="spellStart"/>
      <w:r w:rsidRPr="00C44E1D">
        <w:rPr>
          <w:rFonts w:eastAsia="Calibri"/>
        </w:rPr>
        <w:t>Nat</w:t>
      </w:r>
      <w:r>
        <w:rPr>
          <w:rFonts w:eastAsia="Calibri"/>
        </w:rPr>
        <w:t>Avg</w:t>
      </w:r>
      <w:r w:rsidRPr="00C44E1D">
        <w:rPr>
          <w:rFonts w:eastAsia="Calibri"/>
        </w:rPr>
        <w:t>Obs</w:t>
      </w:r>
      <w:proofErr w:type="spellEnd"/>
      <w:r w:rsidRPr="00C44E1D">
        <w:rPr>
          <w:rFonts w:eastAsia="Calibri"/>
        </w:rPr>
        <w:t xml:space="preserve"> = </w:t>
      </w:r>
      <m:oMath>
        <m:r>
          <m:rPr>
            <m:nor/>
          </m:rPr>
          <w:rPr>
            <w:rFonts w:eastAsia="Calibri"/>
          </w:rPr>
          <m:t>Average</m:t>
        </m:r>
        <m:d>
          <m:dPr>
            <m:ctrlPr>
              <w:rPr>
                <w:rFonts w:ascii="Cambria Math" w:eastAsia="Calibri" w:hAnsi="Cambria Math"/>
              </w:rPr>
            </m:ctrlPr>
          </m:dPr>
          <m:e>
            <m:d>
              <m:dPr>
                <m:ctrlPr>
                  <w:rPr>
                    <w:rFonts w:ascii="Cambria Math" w:eastAsia="Calibri" w:hAnsi="Cambria Math"/>
                  </w:rPr>
                </m:ctrlPr>
              </m:dPr>
              <m:e>
                <m:f>
                  <m:fPr>
                    <m:ctrlPr>
                      <w:rPr>
                        <w:rFonts w:ascii="Cambria Math" w:eastAsia="Calibri" w:hAnsi="Cambria Math"/>
                      </w:rPr>
                    </m:ctrlPr>
                  </m:fPr>
                  <m:num>
                    <m:r>
                      <m:rPr>
                        <m:nor/>
                      </m:rPr>
                      <w:rPr>
                        <w:rFonts w:eastAsia="Calibri"/>
                      </w:rPr>
                      <m:t xml:space="preserve">641 </m:t>
                    </m:r>
                  </m:num>
                  <m:den>
                    <m:r>
                      <m:rPr>
                        <m:nor/>
                      </m:rPr>
                      <w:rPr>
                        <w:rFonts w:eastAsia="Calibri"/>
                      </w:rPr>
                      <m:t>4</m:t>
                    </m:r>
                    <m:r>
                      <m:rPr>
                        <m:nor/>
                      </m:rPr>
                      <w:rPr>
                        <w:rFonts w:ascii="Cambria Math" w:eastAsia="Calibri"/>
                      </w:rPr>
                      <m:t>,</m:t>
                    </m:r>
                    <m:r>
                      <m:rPr>
                        <m:nor/>
                      </m:rPr>
                      <w:rPr>
                        <w:rFonts w:eastAsia="Calibri"/>
                      </w:rPr>
                      <m:t>792</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688</m:t>
                    </m:r>
                  </m:num>
                  <m:den>
                    <m:r>
                      <m:rPr>
                        <m:nor/>
                      </m:rPr>
                      <w:rPr>
                        <w:rFonts w:eastAsia="Calibri"/>
                      </w:rPr>
                      <m:t>4,761</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1,126</m:t>
                    </m:r>
                  </m:num>
                  <m:den>
                    <m:r>
                      <m:rPr>
                        <m:nor/>
                      </m:rPr>
                      <w:rPr>
                        <w:rFonts w:eastAsia="Calibri"/>
                      </w:rPr>
                      <m:t>8,629</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79</m:t>
                    </m:r>
                  </m:num>
                  <m:den>
                    <m:r>
                      <m:rPr>
                        <m:nor/>
                      </m:rPr>
                      <w:rPr>
                        <w:rFonts w:eastAsia="Calibri"/>
                      </w:rPr>
                      <m:t>533</m:t>
                    </m:r>
                  </m:den>
                </m:f>
              </m:e>
            </m:d>
          </m:e>
        </m:d>
      </m:oMath>
    </w:p>
    <w:p w14:paraId="51CF8D62" w14:textId="77777777" w:rsidR="00E47F23" w:rsidRPr="00C44E1D" w:rsidRDefault="00E47F23" w:rsidP="00E47F23">
      <w:pPr>
        <w:rPr>
          <w:rFonts w:ascii="Cambria Math" w:eastAsia="Calibri" w:hAnsi="Cambria Math"/>
          <w:oMath/>
        </w:rPr>
      </w:pPr>
      <w:proofErr w:type="spellStart"/>
      <w:r w:rsidRPr="00C44E1D">
        <w:rPr>
          <w:rFonts w:eastAsia="Calibri"/>
        </w:rPr>
        <w:t>Nat</w:t>
      </w:r>
      <w:r>
        <w:rPr>
          <w:rFonts w:eastAsia="Calibri"/>
        </w:rPr>
        <w:t>AvgObs</w:t>
      </w:r>
      <w:proofErr w:type="spellEnd"/>
      <w:r w:rsidRPr="00C44E1D">
        <w:rPr>
          <w:rFonts w:eastAsia="Calibri"/>
        </w:rPr>
        <w:t xml:space="preserve"> = </w:t>
      </w:r>
      <m:oMath>
        <m:r>
          <m:rPr>
            <m:nor/>
          </m:rPr>
          <w:rPr>
            <w:rFonts w:eastAsia="Calibri"/>
          </w:rPr>
          <m:t xml:space="preserve">Average </m:t>
        </m:r>
        <m:d>
          <m:dPr>
            <m:ctrlPr>
              <w:rPr>
                <w:rFonts w:ascii="Cambria Math" w:eastAsia="Calibri" w:hAnsi="Cambria Math"/>
              </w:rPr>
            </m:ctrlPr>
          </m:dPr>
          <m:e>
            <m:d>
              <m:dPr>
                <m:ctrlPr>
                  <w:rPr>
                    <w:rFonts w:ascii="Cambria Math" w:eastAsia="Calibri" w:hAnsi="Cambria Math"/>
                  </w:rPr>
                </m:ctrlPr>
              </m:dPr>
              <m:e>
                <m:r>
                  <m:rPr>
                    <m:nor/>
                  </m:rPr>
                  <w:rPr>
                    <w:rFonts w:eastAsia="Calibri"/>
                  </w:rPr>
                  <m:t>0.13376</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0.14451</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0.13049</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0.14822</m:t>
                </m:r>
              </m:e>
            </m:d>
          </m:e>
        </m:d>
      </m:oMath>
    </w:p>
    <w:p w14:paraId="226FD70C" w14:textId="77777777" w:rsidR="00E47F23" w:rsidRDefault="00E47F23" w:rsidP="00E47F23">
      <w:pPr>
        <w:rPr>
          <w:rFonts w:eastAsia="Calibri"/>
        </w:rPr>
      </w:pPr>
      <w:r>
        <w:rPr>
          <w:rFonts w:eastAsia="Calibri"/>
        </w:rPr>
        <w:t>NatAvgObs</w:t>
      </w:r>
      <w:r w:rsidRPr="00C44E1D">
        <w:rPr>
          <w:rFonts w:eastAsia="Calibri"/>
        </w:rPr>
        <w:t xml:space="preserve"> = </w:t>
      </w:r>
      <w:r>
        <w:rPr>
          <w:rFonts w:eastAsia="Calibri"/>
        </w:rPr>
        <w:t>0</w:t>
      </w:r>
      <w:r w:rsidRPr="00C44E1D">
        <w:rPr>
          <w:rFonts w:eastAsia="Calibri"/>
        </w:rPr>
        <w:t>.139245</w:t>
      </w:r>
    </w:p>
    <w:p w14:paraId="3799B729" w14:textId="77777777" w:rsidR="00E47F23" w:rsidRPr="00C44E1D" w:rsidRDefault="00E47F23" w:rsidP="00E47F23">
      <w:pPr>
        <w:rPr>
          <w:rFonts w:eastAsia="Calibri"/>
        </w:rPr>
      </w:pPr>
      <w:r>
        <w:rPr>
          <w:rFonts w:eastAsia="Calibri"/>
        </w:rPr>
        <w:t xml:space="preserve">OE Contract 1 = </w:t>
      </w:r>
      <m:oMath>
        <m:d>
          <m:dPr>
            <m:ctrlPr>
              <w:rPr>
                <w:rFonts w:ascii="Cambria Math" w:eastAsia="Calibri" w:hAnsi="Cambria Math"/>
                <w:i/>
              </w:rPr>
            </m:ctrlPr>
          </m:dPr>
          <m:e>
            <m:f>
              <m:fPr>
                <m:ctrlPr>
                  <w:rPr>
                    <w:rFonts w:ascii="Cambria Math" w:eastAsia="Calibri" w:hAnsi="Cambria Math"/>
                    <w:i/>
                  </w:rPr>
                </m:ctrlPr>
              </m:fPr>
              <m:num>
                <m:r>
                  <m:rPr>
                    <m:nor/>
                  </m:rPr>
                  <w:rPr>
                    <w:rFonts w:eastAsia="Calibri"/>
                  </w:rPr>
                  <m:t>641</m:t>
                </m:r>
              </m:num>
              <m:den>
                <m:r>
                  <m:rPr>
                    <m:nor/>
                  </m:rPr>
                  <w:rPr>
                    <w:rFonts w:eastAsia="Calibri"/>
                  </w:rPr>
                  <m:t>642</m:t>
                </m:r>
              </m:den>
            </m:f>
          </m:e>
        </m:d>
      </m:oMath>
      <w:r>
        <w:rPr>
          <w:rFonts w:eastAsia="Calibri"/>
        </w:rPr>
        <w:t xml:space="preserve"> = 0.998442</w:t>
      </w:r>
    </w:p>
    <w:p w14:paraId="1F146488" w14:textId="77777777" w:rsidR="00E47F23" w:rsidRPr="00C44E1D" w:rsidRDefault="00E47F23" w:rsidP="00E47F23">
      <w:pPr>
        <w:rPr>
          <w:rFonts w:eastAsia="Calibri"/>
        </w:rPr>
      </w:pPr>
      <w:r w:rsidRPr="00C44E1D">
        <w:rPr>
          <w:rFonts w:eastAsia="Calibri"/>
        </w:rPr>
        <w:t xml:space="preserve">Final Rate Contract 1 = </w:t>
      </w:r>
      <m:oMath>
        <m:r>
          <m:rPr>
            <m:nor/>
          </m:rPr>
          <w:rPr>
            <w:rFonts w:eastAsia="Calibri"/>
          </w:rPr>
          <m:t xml:space="preserve">0.998442 × 0.139245 x 100 = </m:t>
        </m:r>
        <m:r>
          <m:rPr>
            <m:nor/>
          </m:rPr>
          <w:rPr>
            <w:rFonts w:eastAsia="Times New Roman"/>
          </w:rPr>
          <m:t>13.90</m:t>
        </m:r>
      </m:oMath>
    </w:p>
    <w:p w14:paraId="6C617791" w14:textId="77777777" w:rsidR="00E47F23" w:rsidRPr="00215FEA" w:rsidRDefault="00E47F23" w:rsidP="00E47F23">
      <w:pPr>
        <w:rPr>
          <w:rFonts w:eastAsia="Calibri"/>
        </w:rPr>
      </w:pPr>
      <w:r w:rsidRPr="00C44E1D">
        <w:rPr>
          <w:rFonts w:eastAsia="Calibri"/>
        </w:rPr>
        <w:t>Final Rate reported for Contract 1 = 1</w:t>
      </w:r>
      <w:r>
        <w:rPr>
          <w:rFonts w:eastAsia="Calibri"/>
        </w:rPr>
        <w:t>4%</w:t>
      </w:r>
    </w:p>
    <w:p w14:paraId="7005D432" w14:textId="00962063" w:rsidR="00663095" w:rsidRPr="00DD7B93" w:rsidRDefault="00663095" w:rsidP="00E47F23">
      <w:pPr>
        <w:pStyle w:val="AttachmentTitle"/>
        <w:rPr>
          <w:szCs w:val="20"/>
        </w:rPr>
      </w:pPr>
    </w:p>
    <w:sectPr w:rsidR="00663095" w:rsidRPr="00DD7B93" w:rsidSect="003E7660">
      <w:headerReference w:type="default" r:id="rId10"/>
      <w:pgSz w:w="12240" w:h="15840" w:code="1"/>
      <w:pgMar w:top="360" w:right="720" w:bottom="720" w:left="72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CCD90" w14:textId="77777777" w:rsidR="00EE2236" w:rsidRDefault="00EE2236" w:rsidP="00A72BD4">
      <w:r>
        <w:separator/>
      </w:r>
    </w:p>
  </w:endnote>
  <w:endnote w:type="continuationSeparator" w:id="0">
    <w:p w14:paraId="464FDA37" w14:textId="77777777" w:rsidR="00EE2236" w:rsidRDefault="00EE2236" w:rsidP="00A72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Bold">
    <w:panose1 w:val="020B070602020203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8965F" w14:textId="7691A63D" w:rsidR="00AE5D9C" w:rsidRPr="00A72BD4" w:rsidRDefault="00AE5D9C" w:rsidP="00A72BD4">
    <w:pPr>
      <w:pStyle w:val="Footer"/>
    </w:pPr>
    <w:r>
      <mc:AlternateContent>
        <mc:Choice Requires="wps">
          <w:drawing>
            <wp:anchor distT="0" distB="0" distL="114300" distR="114300" simplePos="0" relativeHeight="251658752" behindDoc="0" locked="0" layoutInCell="1" allowOverlap="1" wp14:anchorId="4D4C3CDA" wp14:editId="00C766FE">
              <wp:simplePos x="0" y="0"/>
              <wp:positionH relativeFrom="column">
                <wp:posOffset>-19050</wp:posOffset>
              </wp:positionH>
              <wp:positionV relativeFrom="paragraph">
                <wp:posOffset>-8255</wp:posOffset>
              </wp:positionV>
              <wp:extent cx="6858000" cy="0"/>
              <wp:effectExtent l="19050" t="20320" r="19050" b="1778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2540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D4D423" id="_x0000_t32" coordsize="21600,21600" o:spt="32" o:oned="t" path="m,l21600,21600e" filled="f">
              <v:path arrowok="t" fillok="f" o:connecttype="none"/>
              <o:lock v:ext="edit" shapetype="t"/>
            </v:shapetype>
            <v:shape id="AutoShape 1" o:spid="_x0000_s1026" type="#_x0000_t32" style="position:absolute;margin-left:-1.5pt;margin-top:-.65pt;width:540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" strokecolor="#bfbfbf [2412]" strokeweight="2pt"/>
          </w:pict>
        </mc:Fallback>
      </mc:AlternateContent>
    </w:r>
    <w:r>
      <w:fldChar w:fldCharType="begin"/>
    </w:r>
    <w:r>
      <w:instrText xml:space="preserve"> DATE  \@ "MMMM d, yyyy"  \* MERGEFORMAT </w:instrText>
    </w:r>
    <w:r>
      <w:fldChar w:fldCharType="separate"/>
    </w:r>
    <w:r w:rsidR="006F6D82">
      <w:t>September 30, 2021</w:t>
    </w:r>
    <w:r>
      <w:fldChar w:fldCharType="end"/>
    </w:r>
    <w:r w:rsidRPr="00A72BD4">
      <w:tab/>
    </w:r>
    <w:sdt>
      <w:sdtPr>
        <w:id w:val="250395305"/>
        <w:docPartObj>
          <w:docPartGallery w:val="Page Numbers (Top of Page)"/>
          <w:docPartUnique/>
        </w:docPartObj>
      </w:sdtPr>
      <w:sdtEndPr/>
      <w:sdtContent>
        <w:r w:rsidRPr="00A72BD4">
          <w:t xml:space="preserve">Page </w:t>
        </w:r>
        <w:r>
          <w:fldChar w:fldCharType="begin"/>
        </w:r>
        <w:r>
          <w:instrText xml:space="preserve"> PAGE </w:instrText>
        </w:r>
        <w:r>
          <w:fldChar w:fldCharType="separate"/>
        </w:r>
        <w:r>
          <w:t>20</w:t>
        </w:r>
        <w:r>
          <w:fldChar w:fldCharType="end"/>
        </w:r>
        <w:r w:rsidRPr="00A72BD4">
          <w:t xml:space="preserve"> of </w:t>
        </w:r>
        <w:r>
          <w:fldChar w:fldCharType="begin"/>
        </w:r>
        <w:r>
          <w:instrText xml:space="preserve"> NUMPAGES  </w:instrText>
        </w:r>
        <w:r>
          <w:fldChar w:fldCharType="separate"/>
        </w:r>
        <w:r>
          <w:t>20</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688CF" w14:textId="77777777" w:rsidR="00EE2236" w:rsidRDefault="00EE2236" w:rsidP="00A72BD4">
      <w:r>
        <w:separator/>
      </w:r>
    </w:p>
  </w:footnote>
  <w:footnote w:type="continuationSeparator" w:id="0">
    <w:p w14:paraId="203CC74D" w14:textId="77777777" w:rsidR="00EE2236" w:rsidRDefault="00EE2236" w:rsidP="00A72B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0C17F" w14:textId="77777777" w:rsidR="00AE5D9C" w:rsidRPr="00DD7B93" w:rsidRDefault="00AE5D9C" w:rsidP="00DD7B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4C9A3" w14:textId="77777777" w:rsidR="00AE5D9C" w:rsidRPr="001B5FEC" w:rsidRDefault="00AE5D9C" w:rsidP="001B5F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15C40"/>
    <w:multiLevelType w:val="hybridMultilevel"/>
    <w:tmpl w:val="90DCE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55007"/>
    <w:multiLevelType w:val="hybridMultilevel"/>
    <w:tmpl w:val="90DCE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2111D8"/>
    <w:multiLevelType w:val="hybridMultilevel"/>
    <w:tmpl w:val="90DCE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AF2E5A"/>
    <w:multiLevelType w:val="hybridMultilevel"/>
    <w:tmpl w:val="90DCE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B1C26"/>
    <w:multiLevelType w:val="hybridMultilevel"/>
    <w:tmpl w:val="2E2A629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466C709B"/>
    <w:multiLevelType w:val="hybridMultilevel"/>
    <w:tmpl w:val="0BBA3B7E"/>
    <w:lvl w:ilvl="0" w:tplc="51A45102">
      <w:start w:val="1"/>
      <w:numFmt w:val="bullet"/>
      <w:pStyle w:val="ProcessBullet"/>
      <w:lvlText w:val=""/>
      <w:lvlJc w:val="left"/>
      <w:pPr>
        <w:ind w:left="360" w:hanging="360"/>
      </w:pPr>
      <w:rPr>
        <w:rFonts w:ascii="Symbol" w:hAnsi="Symbol" w:hint="default"/>
        <w:sz w:val="21"/>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C868E8"/>
    <w:multiLevelType w:val="hybridMultilevel"/>
    <w:tmpl w:val="90DCE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32050A"/>
    <w:multiLevelType w:val="hybridMultilevel"/>
    <w:tmpl w:val="33BE4B80"/>
    <w:lvl w:ilvl="0" w:tplc="FC249456">
      <w:start w:val="1"/>
      <w:numFmt w:val="bullet"/>
      <w:pStyle w:val="Bullet"/>
      <w:lvlText w:val=""/>
      <w:lvlJc w:val="left"/>
      <w:pPr>
        <w:ind w:left="720" w:hanging="360"/>
      </w:pPr>
      <w:rPr>
        <w:rFonts w:ascii="Symbol" w:hAnsi="Symbol" w:hint="default"/>
        <w:color w:val="auto"/>
        <w:sz w:val="18"/>
        <w:szCs w:val="18"/>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5535F63"/>
    <w:multiLevelType w:val="hybridMultilevel"/>
    <w:tmpl w:val="90DCE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1A4FE5"/>
    <w:multiLevelType w:val="hybridMultilevel"/>
    <w:tmpl w:val="90DCE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41127D"/>
    <w:multiLevelType w:val="hybridMultilevel"/>
    <w:tmpl w:val="90DCE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E63520"/>
    <w:multiLevelType w:val="hybridMultilevel"/>
    <w:tmpl w:val="90DCE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AB0987"/>
    <w:multiLevelType w:val="hybridMultilevel"/>
    <w:tmpl w:val="90DCE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8"/>
  </w:num>
  <w:num w:numId="5">
    <w:abstractNumId w:val="12"/>
  </w:num>
  <w:num w:numId="6">
    <w:abstractNumId w:val="2"/>
  </w:num>
  <w:num w:numId="7">
    <w:abstractNumId w:val="1"/>
  </w:num>
  <w:num w:numId="8">
    <w:abstractNumId w:val="11"/>
  </w:num>
  <w:num w:numId="9">
    <w:abstractNumId w:val="1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6"/>
  </w:num>
  <w:num w:numId="13">
    <w:abstractNumId w:val="5"/>
  </w:num>
  <w:num w:numId="14">
    <w:abstractNumId w:val="7"/>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8FC"/>
    <w:rsid w:val="00001A30"/>
    <w:rsid w:val="00034610"/>
    <w:rsid w:val="0005048D"/>
    <w:rsid w:val="00050CD3"/>
    <w:rsid w:val="000520B4"/>
    <w:rsid w:val="000612C5"/>
    <w:rsid w:val="00066F32"/>
    <w:rsid w:val="000B7D24"/>
    <w:rsid w:val="000C360F"/>
    <w:rsid w:val="000F56BA"/>
    <w:rsid w:val="0013418B"/>
    <w:rsid w:val="001358C9"/>
    <w:rsid w:val="00137B32"/>
    <w:rsid w:val="0015532C"/>
    <w:rsid w:val="00165222"/>
    <w:rsid w:val="00194EA9"/>
    <w:rsid w:val="001B1E44"/>
    <w:rsid w:val="001B2CC6"/>
    <w:rsid w:val="001B5FEC"/>
    <w:rsid w:val="001C48E1"/>
    <w:rsid w:val="001F4098"/>
    <w:rsid w:val="00200F6D"/>
    <w:rsid w:val="00214E21"/>
    <w:rsid w:val="002210A0"/>
    <w:rsid w:val="00224201"/>
    <w:rsid w:val="00230814"/>
    <w:rsid w:val="002313C3"/>
    <w:rsid w:val="0024555F"/>
    <w:rsid w:val="002D7FED"/>
    <w:rsid w:val="002F44DF"/>
    <w:rsid w:val="002F51B8"/>
    <w:rsid w:val="002F5645"/>
    <w:rsid w:val="00302016"/>
    <w:rsid w:val="0031352E"/>
    <w:rsid w:val="003338FC"/>
    <w:rsid w:val="00341EA6"/>
    <w:rsid w:val="00350078"/>
    <w:rsid w:val="00362141"/>
    <w:rsid w:val="003713CB"/>
    <w:rsid w:val="00373C07"/>
    <w:rsid w:val="00373DE6"/>
    <w:rsid w:val="003A1F4C"/>
    <w:rsid w:val="003A7D3D"/>
    <w:rsid w:val="003C647D"/>
    <w:rsid w:val="003D0C3E"/>
    <w:rsid w:val="003D6705"/>
    <w:rsid w:val="003E3222"/>
    <w:rsid w:val="003E7660"/>
    <w:rsid w:val="003F4F4E"/>
    <w:rsid w:val="003F725A"/>
    <w:rsid w:val="00400C42"/>
    <w:rsid w:val="004066D2"/>
    <w:rsid w:val="00416DE7"/>
    <w:rsid w:val="004200FD"/>
    <w:rsid w:val="0047226F"/>
    <w:rsid w:val="0047588A"/>
    <w:rsid w:val="004842F8"/>
    <w:rsid w:val="004A3B7C"/>
    <w:rsid w:val="004B380B"/>
    <w:rsid w:val="004C078B"/>
    <w:rsid w:val="004F572C"/>
    <w:rsid w:val="004F704D"/>
    <w:rsid w:val="005322B7"/>
    <w:rsid w:val="00532589"/>
    <w:rsid w:val="00542E77"/>
    <w:rsid w:val="00547DED"/>
    <w:rsid w:val="005509E4"/>
    <w:rsid w:val="005576C3"/>
    <w:rsid w:val="00563FF5"/>
    <w:rsid w:val="00570669"/>
    <w:rsid w:val="0058196A"/>
    <w:rsid w:val="00591F7B"/>
    <w:rsid w:val="005A2541"/>
    <w:rsid w:val="005A709E"/>
    <w:rsid w:val="005B4338"/>
    <w:rsid w:val="00626497"/>
    <w:rsid w:val="00635115"/>
    <w:rsid w:val="006438CB"/>
    <w:rsid w:val="00644EE5"/>
    <w:rsid w:val="00656B24"/>
    <w:rsid w:val="00663095"/>
    <w:rsid w:val="0067769F"/>
    <w:rsid w:val="00681C9E"/>
    <w:rsid w:val="00696797"/>
    <w:rsid w:val="006A0F45"/>
    <w:rsid w:val="006F6565"/>
    <w:rsid w:val="006F6D82"/>
    <w:rsid w:val="007037F9"/>
    <w:rsid w:val="00715879"/>
    <w:rsid w:val="0072274F"/>
    <w:rsid w:val="007300CB"/>
    <w:rsid w:val="00744C8F"/>
    <w:rsid w:val="007451F8"/>
    <w:rsid w:val="007459FB"/>
    <w:rsid w:val="00755082"/>
    <w:rsid w:val="00757382"/>
    <w:rsid w:val="007631C1"/>
    <w:rsid w:val="007829CB"/>
    <w:rsid w:val="00782ABB"/>
    <w:rsid w:val="0078491D"/>
    <w:rsid w:val="007853A0"/>
    <w:rsid w:val="007A6E7C"/>
    <w:rsid w:val="007C35EA"/>
    <w:rsid w:val="007D4A43"/>
    <w:rsid w:val="007D755F"/>
    <w:rsid w:val="00805A51"/>
    <w:rsid w:val="00810EDA"/>
    <w:rsid w:val="0082168D"/>
    <w:rsid w:val="00827581"/>
    <w:rsid w:val="008360EC"/>
    <w:rsid w:val="00854C03"/>
    <w:rsid w:val="00863A3E"/>
    <w:rsid w:val="0087624C"/>
    <w:rsid w:val="008878BE"/>
    <w:rsid w:val="00890065"/>
    <w:rsid w:val="00892EF7"/>
    <w:rsid w:val="008B2661"/>
    <w:rsid w:val="008E79F1"/>
    <w:rsid w:val="008F4616"/>
    <w:rsid w:val="00932119"/>
    <w:rsid w:val="009454EB"/>
    <w:rsid w:val="009A773D"/>
    <w:rsid w:val="009D31D9"/>
    <w:rsid w:val="009D4EC5"/>
    <w:rsid w:val="009D7AA2"/>
    <w:rsid w:val="00A331EB"/>
    <w:rsid w:val="00A64C65"/>
    <w:rsid w:val="00A72BD4"/>
    <w:rsid w:val="00A72D4E"/>
    <w:rsid w:val="00A8066F"/>
    <w:rsid w:val="00A9707C"/>
    <w:rsid w:val="00AB6036"/>
    <w:rsid w:val="00AC1AE7"/>
    <w:rsid w:val="00AD211F"/>
    <w:rsid w:val="00AE4EBF"/>
    <w:rsid w:val="00AE5D9C"/>
    <w:rsid w:val="00B124FF"/>
    <w:rsid w:val="00B50308"/>
    <w:rsid w:val="00BA4B0A"/>
    <w:rsid w:val="00BD0D85"/>
    <w:rsid w:val="00BF3A60"/>
    <w:rsid w:val="00C0643D"/>
    <w:rsid w:val="00C23DC4"/>
    <w:rsid w:val="00C34BE6"/>
    <w:rsid w:val="00C5000D"/>
    <w:rsid w:val="00C54221"/>
    <w:rsid w:val="00C865A8"/>
    <w:rsid w:val="00C9296F"/>
    <w:rsid w:val="00CB2B65"/>
    <w:rsid w:val="00CC625F"/>
    <w:rsid w:val="00D35EAA"/>
    <w:rsid w:val="00D40B4B"/>
    <w:rsid w:val="00D470A6"/>
    <w:rsid w:val="00D703A4"/>
    <w:rsid w:val="00D744BE"/>
    <w:rsid w:val="00D87DAC"/>
    <w:rsid w:val="00DA29FD"/>
    <w:rsid w:val="00DA6F11"/>
    <w:rsid w:val="00DC7910"/>
    <w:rsid w:val="00DD7B93"/>
    <w:rsid w:val="00DE3EBA"/>
    <w:rsid w:val="00DF1D6B"/>
    <w:rsid w:val="00E01376"/>
    <w:rsid w:val="00E061E1"/>
    <w:rsid w:val="00E071FB"/>
    <w:rsid w:val="00E112DF"/>
    <w:rsid w:val="00E14178"/>
    <w:rsid w:val="00E23F15"/>
    <w:rsid w:val="00E3736E"/>
    <w:rsid w:val="00E43415"/>
    <w:rsid w:val="00E4718A"/>
    <w:rsid w:val="00E47F23"/>
    <w:rsid w:val="00E62D59"/>
    <w:rsid w:val="00E86029"/>
    <w:rsid w:val="00EA665C"/>
    <w:rsid w:val="00ED3E12"/>
    <w:rsid w:val="00EE1667"/>
    <w:rsid w:val="00EE2236"/>
    <w:rsid w:val="00EE2317"/>
    <w:rsid w:val="00EF4E5A"/>
    <w:rsid w:val="00F05B84"/>
    <w:rsid w:val="00F24FB1"/>
    <w:rsid w:val="00F62D08"/>
    <w:rsid w:val="00F64927"/>
    <w:rsid w:val="00F74A54"/>
    <w:rsid w:val="00F96316"/>
    <w:rsid w:val="00F97B66"/>
    <w:rsid w:val="00FB1ECF"/>
    <w:rsid w:val="00FC3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503E7"/>
  <w15:docId w15:val="{5EE59EF0-D88C-4684-B6CE-B1E5A4952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3415"/>
    <w:pPr>
      <w:spacing w:line="240" w:lineRule="auto"/>
    </w:pPr>
    <w:rPr>
      <w:rFonts w:ascii="Arial" w:hAnsi="Arial" w:cs="Arial"/>
    </w:rPr>
  </w:style>
  <w:style w:type="paragraph" w:styleId="Heading1">
    <w:name w:val="heading 1"/>
    <w:basedOn w:val="Normal"/>
    <w:next w:val="Normal"/>
    <w:link w:val="Heading1Char"/>
    <w:uiPriority w:val="9"/>
    <w:qFormat/>
    <w:rsid w:val="00A72BD4"/>
    <w:pPr>
      <w:outlineLvl w:val="0"/>
    </w:pPr>
    <w:rPr>
      <w:rFonts w:ascii="Times New Roman" w:hAnsi="Times New Roman" w:cs="Times New Roman"/>
      <w:b/>
      <w:i/>
      <w:color w:val="000080"/>
      <w:sz w:val="36"/>
      <w:szCs w:val="36"/>
    </w:rPr>
  </w:style>
  <w:style w:type="paragraph" w:styleId="Heading2">
    <w:name w:val="heading 2"/>
    <w:basedOn w:val="Normal"/>
    <w:next w:val="Normal"/>
    <w:link w:val="Heading2Char"/>
    <w:uiPriority w:val="9"/>
    <w:unhideWhenUsed/>
    <w:qFormat/>
    <w:rsid w:val="00A72BD4"/>
    <w:pPr>
      <w:outlineLvl w:val="1"/>
    </w:pPr>
    <w:rPr>
      <w:b/>
    </w:rPr>
  </w:style>
  <w:style w:type="paragraph" w:styleId="Heading3">
    <w:name w:val="heading 3"/>
    <w:basedOn w:val="Normal"/>
    <w:next w:val="Normal"/>
    <w:link w:val="Heading3Char"/>
    <w:uiPriority w:val="9"/>
    <w:unhideWhenUsed/>
    <w:qFormat/>
    <w:rsid w:val="00BF3A60"/>
    <w:pPr>
      <w:widowControl w:val="0"/>
      <w:pBdr>
        <w:bottom w:val="single" w:sz="12" w:space="1" w:color="000080"/>
      </w:pBdr>
      <w:tabs>
        <w:tab w:val="left" w:pos="90"/>
        <w:tab w:val="left" w:pos="1140"/>
      </w:tabs>
      <w:autoSpaceDE w:val="0"/>
      <w:autoSpaceDN w:val="0"/>
      <w:adjustRightInd w:val="0"/>
      <w:spacing w:after="120"/>
      <w:outlineLvl w:val="2"/>
    </w:pPr>
    <w:rPr>
      <w:rFonts w:cs="Times New Roman"/>
      <w:b/>
      <w:bCs/>
      <w:i/>
      <w:iCs/>
      <w:color w:val="000080"/>
      <w:sz w:val="24"/>
    </w:rPr>
  </w:style>
  <w:style w:type="paragraph" w:styleId="Heading4">
    <w:name w:val="heading 4"/>
    <w:next w:val="Description"/>
    <w:link w:val="Heading4Char"/>
    <w:uiPriority w:val="9"/>
    <w:unhideWhenUsed/>
    <w:qFormat/>
    <w:rsid w:val="00E86029"/>
    <w:pPr>
      <w:widowControl w:val="0"/>
      <w:tabs>
        <w:tab w:val="left" w:pos="90"/>
      </w:tabs>
      <w:autoSpaceDE w:val="0"/>
      <w:autoSpaceDN w:val="0"/>
      <w:adjustRightInd w:val="0"/>
      <w:spacing w:before="120" w:after="0"/>
      <w:outlineLvl w:val="3"/>
    </w:pPr>
    <w:rPr>
      <w:rFonts w:ascii="Arial" w:hAnsi="Arial" w:cs="Times New Roman"/>
      <w:b/>
      <w:i/>
      <w:iCs/>
      <w:color w:val="000080"/>
    </w:rPr>
  </w:style>
  <w:style w:type="paragraph" w:styleId="Heading5">
    <w:name w:val="heading 5"/>
    <w:next w:val="MeasureList"/>
    <w:link w:val="Heading5Char"/>
    <w:uiPriority w:val="9"/>
    <w:unhideWhenUsed/>
    <w:qFormat/>
    <w:rsid w:val="00E86029"/>
    <w:pPr>
      <w:widowControl w:val="0"/>
      <w:tabs>
        <w:tab w:val="left" w:pos="300"/>
      </w:tabs>
      <w:autoSpaceDE w:val="0"/>
      <w:autoSpaceDN w:val="0"/>
      <w:adjustRightInd w:val="0"/>
      <w:spacing w:before="120" w:after="60"/>
      <w:outlineLvl w:val="4"/>
    </w:pPr>
    <w:rPr>
      <w:rFonts w:ascii="Arial" w:hAnsi="Arial" w:cs="Arial"/>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BD4"/>
    <w:pPr>
      <w:tabs>
        <w:tab w:val="center" w:pos="4680"/>
        <w:tab w:val="right" w:pos="9360"/>
      </w:tabs>
      <w:spacing w:after="0"/>
    </w:pPr>
    <w:rPr>
      <w:noProof/>
      <w:sz w:val="16"/>
      <w:szCs w:val="16"/>
    </w:rPr>
  </w:style>
  <w:style w:type="character" w:customStyle="1" w:styleId="HeaderChar">
    <w:name w:val="Header Char"/>
    <w:basedOn w:val="DefaultParagraphFont"/>
    <w:link w:val="Header"/>
    <w:uiPriority w:val="99"/>
    <w:rsid w:val="00A72BD4"/>
    <w:rPr>
      <w:rFonts w:ascii="Arial" w:hAnsi="Arial" w:cs="Arial"/>
      <w:noProof/>
      <w:sz w:val="16"/>
      <w:szCs w:val="16"/>
    </w:rPr>
  </w:style>
  <w:style w:type="paragraph" w:styleId="Footer">
    <w:name w:val="footer"/>
    <w:basedOn w:val="Normal"/>
    <w:link w:val="FooterChar"/>
    <w:uiPriority w:val="99"/>
    <w:unhideWhenUsed/>
    <w:rsid w:val="00A72BD4"/>
    <w:pPr>
      <w:tabs>
        <w:tab w:val="right" w:pos="10620"/>
      </w:tabs>
      <w:spacing w:before="80" w:after="0"/>
    </w:pPr>
    <w:rPr>
      <w:i/>
      <w:noProof/>
      <w:sz w:val="18"/>
      <w:szCs w:val="18"/>
    </w:rPr>
  </w:style>
  <w:style w:type="character" w:customStyle="1" w:styleId="FooterChar">
    <w:name w:val="Footer Char"/>
    <w:basedOn w:val="DefaultParagraphFont"/>
    <w:link w:val="Footer"/>
    <w:uiPriority w:val="99"/>
    <w:rsid w:val="00A72BD4"/>
    <w:rPr>
      <w:rFonts w:ascii="Arial" w:hAnsi="Arial" w:cs="Arial"/>
      <w:i/>
      <w:noProof/>
      <w:sz w:val="18"/>
      <w:szCs w:val="18"/>
    </w:rPr>
  </w:style>
  <w:style w:type="paragraph" w:styleId="BalloonText">
    <w:name w:val="Balloon Text"/>
    <w:basedOn w:val="Normal"/>
    <w:link w:val="BalloonTextChar"/>
    <w:uiPriority w:val="99"/>
    <w:semiHidden/>
    <w:unhideWhenUsed/>
    <w:rsid w:val="00E1417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178"/>
    <w:rPr>
      <w:rFonts w:ascii="Tahoma" w:hAnsi="Tahoma" w:cs="Tahoma"/>
      <w:sz w:val="16"/>
      <w:szCs w:val="16"/>
    </w:rPr>
  </w:style>
  <w:style w:type="character" w:customStyle="1" w:styleId="Heading1Char">
    <w:name w:val="Heading 1 Char"/>
    <w:basedOn w:val="DefaultParagraphFont"/>
    <w:link w:val="Heading1"/>
    <w:uiPriority w:val="9"/>
    <w:rsid w:val="00A72BD4"/>
    <w:rPr>
      <w:rFonts w:ascii="Times New Roman" w:hAnsi="Times New Roman" w:cs="Times New Roman"/>
      <w:b/>
      <w:i/>
      <w:color w:val="000080"/>
      <w:sz w:val="36"/>
      <w:szCs w:val="36"/>
    </w:rPr>
  </w:style>
  <w:style w:type="character" w:customStyle="1" w:styleId="Heading2Char">
    <w:name w:val="Heading 2 Char"/>
    <w:basedOn w:val="DefaultParagraphFont"/>
    <w:link w:val="Heading2"/>
    <w:uiPriority w:val="9"/>
    <w:rsid w:val="00A72BD4"/>
    <w:rPr>
      <w:rFonts w:ascii="Arial" w:hAnsi="Arial" w:cs="Arial"/>
      <w:b/>
    </w:rPr>
  </w:style>
  <w:style w:type="character" w:customStyle="1" w:styleId="Heading3Char">
    <w:name w:val="Heading 3 Char"/>
    <w:basedOn w:val="DefaultParagraphFont"/>
    <w:link w:val="Heading3"/>
    <w:uiPriority w:val="9"/>
    <w:rsid w:val="00BF3A60"/>
    <w:rPr>
      <w:rFonts w:ascii="Arial" w:hAnsi="Arial" w:cs="Times New Roman"/>
      <w:b/>
      <w:bCs/>
      <w:i/>
      <w:iCs/>
      <w:color w:val="000080"/>
      <w:sz w:val="24"/>
    </w:rPr>
  </w:style>
  <w:style w:type="character" w:customStyle="1" w:styleId="Heading4Char">
    <w:name w:val="Heading 4 Char"/>
    <w:basedOn w:val="DefaultParagraphFont"/>
    <w:link w:val="Heading4"/>
    <w:uiPriority w:val="9"/>
    <w:rsid w:val="00E86029"/>
    <w:rPr>
      <w:rFonts w:ascii="Arial" w:hAnsi="Arial" w:cs="Times New Roman"/>
      <w:b/>
      <w:i/>
      <w:iCs/>
      <w:color w:val="000080"/>
    </w:rPr>
  </w:style>
  <w:style w:type="paragraph" w:customStyle="1" w:styleId="Description">
    <w:name w:val="Description"/>
    <w:basedOn w:val="Normal"/>
    <w:qFormat/>
    <w:rsid w:val="00E061E1"/>
    <w:pPr>
      <w:widowControl w:val="0"/>
      <w:tabs>
        <w:tab w:val="left" w:pos="300"/>
      </w:tabs>
      <w:autoSpaceDE w:val="0"/>
      <w:autoSpaceDN w:val="0"/>
      <w:adjustRightInd w:val="0"/>
      <w:spacing w:before="70" w:after="0"/>
      <w:ind w:left="270" w:hanging="270"/>
    </w:pPr>
    <w:rPr>
      <w:sz w:val="18"/>
      <w:szCs w:val="24"/>
    </w:rPr>
  </w:style>
  <w:style w:type="character" w:customStyle="1" w:styleId="Heading5Char">
    <w:name w:val="Heading 5 Char"/>
    <w:basedOn w:val="DefaultParagraphFont"/>
    <w:link w:val="Heading5"/>
    <w:uiPriority w:val="9"/>
    <w:rsid w:val="00E86029"/>
    <w:rPr>
      <w:rFonts w:ascii="Arial" w:hAnsi="Arial" w:cs="Arial"/>
      <w:sz w:val="18"/>
      <w:szCs w:val="24"/>
    </w:rPr>
  </w:style>
  <w:style w:type="paragraph" w:customStyle="1" w:styleId="MeasureList">
    <w:name w:val="MeasureList"/>
    <w:qFormat/>
    <w:rsid w:val="00E86029"/>
    <w:pPr>
      <w:widowControl w:val="0"/>
      <w:tabs>
        <w:tab w:val="left" w:pos="570"/>
        <w:tab w:val="left" w:pos="1980"/>
      </w:tabs>
      <w:autoSpaceDE w:val="0"/>
      <w:autoSpaceDN w:val="0"/>
      <w:adjustRightInd w:val="0"/>
      <w:spacing w:before="10" w:after="0"/>
      <w:ind w:left="1980" w:hanging="1980"/>
    </w:pPr>
    <w:rPr>
      <w:rFonts w:ascii="Arial" w:hAnsi="Arial" w:cs="Arial"/>
      <w:sz w:val="18"/>
      <w:szCs w:val="24"/>
    </w:rPr>
  </w:style>
  <w:style w:type="character" w:styleId="Hyperlink">
    <w:name w:val="Hyperlink"/>
    <w:basedOn w:val="DefaultParagraphFont"/>
    <w:uiPriority w:val="99"/>
    <w:unhideWhenUsed/>
    <w:rsid w:val="001B5FEC"/>
    <w:rPr>
      <w:color w:val="0000FF" w:themeColor="hyperlink"/>
      <w:u w:val="single"/>
    </w:rPr>
  </w:style>
  <w:style w:type="character" w:customStyle="1" w:styleId="TableHeaderChar">
    <w:name w:val="Table Header Char"/>
    <w:basedOn w:val="DefaultParagraphFont"/>
    <w:link w:val="TableHeader"/>
    <w:locked/>
    <w:rsid w:val="001B5FEC"/>
    <w:rPr>
      <w:rFonts w:ascii="Arial Narrow Bold" w:eastAsia="Times New Roman" w:hAnsi="Arial Narrow Bold" w:cs="Times New Roman"/>
      <w:b/>
      <w:bCs/>
      <w:color w:val="000000"/>
      <w:sz w:val="20"/>
      <w:szCs w:val="20"/>
    </w:rPr>
  </w:style>
  <w:style w:type="paragraph" w:customStyle="1" w:styleId="TableHeader">
    <w:name w:val="Table Header"/>
    <w:link w:val="TableHeaderChar"/>
    <w:autoRedefine/>
    <w:qFormat/>
    <w:rsid w:val="001B5FEC"/>
    <w:pPr>
      <w:spacing w:after="0" w:line="240" w:lineRule="auto"/>
      <w:mirrorIndents/>
      <w:jc w:val="center"/>
    </w:pPr>
    <w:rPr>
      <w:rFonts w:ascii="Arial Narrow Bold" w:eastAsia="Times New Roman" w:hAnsi="Arial Narrow Bold" w:cs="Times New Roman"/>
      <w:b/>
      <w:bCs/>
      <w:color w:val="000000"/>
      <w:sz w:val="20"/>
      <w:szCs w:val="20"/>
    </w:rPr>
  </w:style>
  <w:style w:type="character" w:customStyle="1" w:styleId="TableJustLeftChar">
    <w:name w:val="Table Just Left Char"/>
    <w:basedOn w:val="TableHeaderChar"/>
    <w:link w:val="TableJustLeft"/>
    <w:locked/>
    <w:rsid w:val="001B5FEC"/>
    <w:rPr>
      <w:rFonts w:ascii="Arial Narrow" w:eastAsia="Times New Roman" w:hAnsi="Arial Narrow" w:cs="Times New Roman"/>
      <w:b w:val="0"/>
      <w:bCs/>
      <w:color w:val="000000"/>
      <w:sz w:val="20"/>
      <w:szCs w:val="16"/>
    </w:rPr>
  </w:style>
  <w:style w:type="paragraph" w:customStyle="1" w:styleId="TableJustLeft">
    <w:name w:val="Table Just Left"/>
    <w:link w:val="TableJustLeftChar"/>
    <w:qFormat/>
    <w:rsid w:val="001B5FEC"/>
    <w:pPr>
      <w:spacing w:after="0" w:line="240" w:lineRule="auto"/>
      <w:contextualSpacing/>
      <w:mirrorIndents/>
    </w:pPr>
    <w:rPr>
      <w:rFonts w:ascii="Arial Narrow" w:eastAsia="Times New Roman" w:hAnsi="Arial Narrow" w:cs="Times New Roman"/>
      <w:bCs/>
      <w:color w:val="000000"/>
      <w:sz w:val="20"/>
      <w:szCs w:val="16"/>
    </w:rPr>
  </w:style>
  <w:style w:type="character" w:customStyle="1" w:styleId="TableJustCenterChar">
    <w:name w:val="Table Just Center Char"/>
    <w:basedOn w:val="TableJustLeftChar"/>
    <w:link w:val="TableJustCenter"/>
    <w:locked/>
    <w:rsid w:val="001B5FEC"/>
    <w:rPr>
      <w:rFonts w:ascii="Arial Narrow" w:eastAsia="Times New Roman" w:hAnsi="Arial Narrow" w:cs="Times New Roman"/>
      <w:b w:val="0"/>
      <w:bCs/>
      <w:color w:val="000000"/>
      <w:sz w:val="20"/>
      <w:szCs w:val="24"/>
    </w:rPr>
  </w:style>
  <w:style w:type="paragraph" w:customStyle="1" w:styleId="TableJustCenter">
    <w:name w:val="Table Just Center"/>
    <w:link w:val="TableJustCenterChar"/>
    <w:autoRedefine/>
    <w:qFormat/>
    <w:rsid w:val="001B5FEC"/>
    <w:pPr>
      <w:spacing w:after="0" w:line="240" w:lineRule="auto"/>
      <w:contextualSpacing/>
      <w:mirrorIndents/>
      <w:jc w:val="center"/>
    </w:pPr>
    <w:rPr>
      <w:rFonts w:ascii="Arial Narrow" w:eastAsia="Times New Roman" w:hAnsi="Arial Narrow" w:cs="Times New Roman"/>
      <w:bCs/>
      <w:color w:val="000000"/>
      <w:sz w:val="20"/>
      <w:szCs w:val="24"/>
    </w:rPr>
  </w:style>
  <w:style w:type="character" w:customStyle="1" w:styleId="AttachmentTitleChar">
    <w:name w:val="Attachment Title Char"/>
    <w:basedOn w:val="DefaultParagraphFont"/>
    <w:link w:val="AttachmentTitle"/>
    <w:locked/>
    <w:rsid w:val="001B5FEC"/>
    <w:rPr>
      <w:rFonts w:ascii="Arial" w:eastAsia="Batang" w:hAnsi="Arial" w:cs="Arial"/>
      <w:b/>
      <w:bCs/>
      <w:color w:val="000000"/>
      <w:szCs w:val="24"/>
      <w:lang w:eastAsia="ko-KR"/>
    </w:rPr>
  </w:style>
  <w:style w:type="paragraph" w:customStyle="1" w:styleId="AttachmentTitle">
    <w:name w:val="Attachment Title"/>
    <w:basedOn w:val="Normal"/>
    <w:link w:val="AttachmentTitleChar"/>
    <w:qFormat/>
    <w:rsid w:val="001B5FEC"/>
    <w:pPr>
      <w:autoSpaceDE w:val="0"/>
      <w:autoSpaceDN w:val="0"/>
      <w:adjustRightInd w:val="0"/>
      <w:spacing w:after="0"/>
      <w:jc w:val="center"/>
      <w:outlineLvl w:val="0"/>
    </w:pPr>
    <w:rPr>
      <w:rFonts w:eastAsia="Batang"/>
      <w:b/>
      <w:bCs/>
      <w:color w:val="000000"/>
      <w:szCs w:val="24"/>
      <w:lang w:eastAsia="ko-KR"/>
    </w:rPr>
  </w:style>
  <w:style w:type="character" w:customStyle="1" w:styleId="Normal-FormulaChar">
    <w:name w:val="Normal - Formula Char"/>
    <w:basedOn w:val="DefaultParagraphFont"/>
    <w:link w:val="Normal-Formula"/>
    <w:locked/>
    <w:rsid w:val="001B5FEC"/>
    <w:rPr>
      <w:rFonts w:ascii="Arial" w:hAnsi="Arial" w:cs="Arial"/>
    </w:rPr>
  </w:style>
  <w:style w:type="paragraph" w:customStyle="1" w:styleId="Normal-Formula">
    <w:name w:val="Normal - Formula"/>
    <w:basedOn w:val="Normal"/>
    <w:link w:val="Normal-FormulaChar"/>
    <w:qFormat/>
    <w:rsid w:val="001B5FEC"/>
    <w:pPr>
      <w:spacing w:before="200" w:after="0"/>
    </w:pPr>
  </w:style>
  <w:style w:type="table" w:styleId="TableGrid">
    <w:name w:val="Table Grid"/>
    <w:basedOn w:val="TableNormal"/>
    <w:uiPriority w:val="59"/>
    <w:rsid w:val="001B5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JustRight">
    <w:name w:val="Table Just Right"/>
    <w:basedOn w:val="TableJustLeft"/>
    <w:link w:val="TableJustRightChar"/>
    <w:autoRedefine/>
    <w:qFormat/>
    <w:rsid w:val="001B5FEC"/>
    <w:pPr>
      <w:jc w:val="right"/>
    </w:pPr>
  </w:style>
  <w:style w:type="character" w:customStyle="1" w:styleId="TableJustRightChar">
    <w:name w:val="Table Just Right Char"/>
    <w:basedOn w:val="TableJustLeftChar"/>
    <w:link w:val="TableJustRight"/>
    <w:rsid w:val="001B5FEC"/>
    <w:rPr>
      <w:rFonts w:ascii="Arial Narrow" w:eastAsia="Times New Roman" w:hAnsi="Arial Narrow" w:cs="Times New Roman"/>
      <w:b w:val="0"/>
      <w:bCs/>
      <w:color w:val="000000"/>
      <w:sz w:val="20"/>
      <w:szCs w:val="16"/>
    </w:rPr>
  </w:style>
  <w:style w:type="character" w:styleId="PlaceholderText">
    <w:name w:val="Placeholder Text"/>
    <w:basedOn w:val="DefaultParagraphFont"/>
    <w:uiPriority w:val="99"/>
    <w:semiHidden/>
    <w:rsid w:val="001B5FEC"/>
    <w:rPr>
      <w:color w:val="808080"/>
    </w:rPr>
  </w:style>
  <w:style w:type="paragraph" w:styleId="FootnoteText">
    <w:name w:val="footnote text"/>
    <w:basedOn w:val="Normal"/>
    <w:link w:val="FootnoteTextChar"/>
    <w:uiPriority w:val="99"/>
    <w:semiHidden/>
    <w:unhideWhenUsed/>
    <w:rsid w:val="00663095"/>
    <w:pPr>
      <w:spacing w:after="0"/>
    </w:pPr>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663095"/>
    <w:rPr>
      <w:rFonts w:eastAsiaTheme="minorEastAsia"/>
      <w:sz w:val="20"/>
      <w:szCs w:val="20"/>
    </w:rPr>
  </w:style>
  <w:style w:type="character" w:styleId="FootnoteReference">
    <w:name w:val="footnote reference"/>
    <w:basedOn w:val="DefaultParagraphFont"/>
    <w:uiPriority w:val="99"/>
    <w:semiHidden/>
    <w:unhideWhenUsed/>
    <w:rsid w:val="00663095"/>
    <w:rPr>
      <w:vertAlign w:val="superscript"/>
    </w:rPr>
  </w:style>
  <w:style w:type="character" w:customStyle="1" w:styleId="ProcessBulletChar">
    <w:name w:val="Process Bullet Char"/>
    <w:basedOn w:val="DefaultParagraphFont"/>
    <w:link w:val="ProcessBullet"/>
    <w:locked/>
    <w:rsid w:val="00E01376"/>
    <w:rPr>
      <w:rFonts w:ascii="Arial" w:eastAsia="Times New Roman" w:hAnsi="Arial" w:cs="Times New Roman"/>
      <w:sz w:val="21"/>
      <w:szCs w:val="24"/>
    </w:rPr>
  </w:style>
  <w:style w:type="paragraph" w:customStyle="1" w:styleId="ProcessBullet">
    <w:name w:val="Process Bullet"/>
    <w:link w:val="ProcessBulletChar"/>
    <w:rsid w:val="00E01376"/>
    <w:pPr>
      <w:numPr>
        <w:numId w:val="13"/>
      </w:numPr>
      <w:spacing w:before="80" w:after="0" w:line="240" w:lineRule="auto"/>
      <w:ind w:left="216" w:hanging="216"/>
    </w:pPr>
    <w:rPr>
      <w:rFonts w:ascii="Arial" w:eastAsia="Times New Roman" w:hAnsi="Arial" w:cs="Times New Roman"/>
      <w:sz w:val="21"/>
      <w:szCs w:val="24"/>
    </w:rPr>
  </w:style>
  <w:style w:type="character" w:customStyle="1" w:styleId="BulletChar">
    <w:name w:val="Bullet Char"/>
    <w:basedOn w:val="DefaultParagraphFont"/>
    <w:link w:val="Bullet"/>
    <w:locked/>
    <w:rsid w:val="00E01376"/>
    <w:rPr>
      <w:rFonts w:ascii="Arial" w:eastAsia="Times New Roman" w:hAnsi="Arial" w:cs="Times New Roman"/>
      <w:sz w:val="21"/>
      <w:szCs w:val="24"/>
    </w:rPr>
  </w:style>
  <w:style w:type="paragraph" w:customStyle="1" w:styleId="Bullet">
    <w:name w:val="Bullet"/>
    <w:link w:val="BulletChar"/>
    <w:qFormat/>
    <w:rsid w:val="00E01376"/>
    <w:pPr>
      <w:numPr>
        <w:numId w:val="15"/>
      </w:numPr>
      <w:spacing w:before="80" w:after="0" w:line="240" w:lineRule="auto"/>
    </w:pPr>
    <w:rPr>
      <w:rFonts w:ascii="Arial" w:eastAsia="Times New Roman" w:hAnsi="Arial" w:cs="Times New Roman"/>
      <w:sz w:val="21"/>
      <w:szCs w:val="24"/>
    </w:rPr>
  </w:style>
  <w:style w:type="character" w:styleId="CommentReference">
    <w:name w:val="annotation reference"/>
    <w:basedOn w:val="DefaultParagraphFont"/>
    <w:uiPriority w:val="99"/>
    <w:semiHidden/>
    <w:unhideWhenUsed/>
    <w:rsid w:val="00AE4EBF"/>
    <w:rPr>
      <w:sz w:val="16"/>
      <w:szCs w:val="16"/>
    </w:rPr>
  </w:style>
  <w:style w:type="paragraph" w:styleId="CommentText">
    <w:name w:val="annotation text"/>
    <w:basedOn w:val="Normal"/>
    <w:link w:val="CommentTextChar"/>
    <w:uiPriority w:val="99"/>
    <w:semiHidden/>
    <w:unhideWhenUsed/>
    <w:rsid w:val="00AE4EBF"/>
    <w:rPr>
      <w:sz w:val="20"/>
      <w:szCs w:val="20"/>
    </w:rPr>
  </w:style>
  <w:style w:type="character" w:customStyle="1" w:styleId="CommentTextChar">
    <w:name w:val="Comment Text Char"/>
    <w:basedOn w:val="DefaultParagraphFont"/>
    <w:link w:val="CommentText"/>
    <w:uiPriority w:val="99"/>
    <w:semiHidden/>
    <w:rsid w:val="00AE4EB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AE4EBF"/>
    <w:rPr>
      <w:b/>
      <w:bCs/>
    </w:rPr>
  </w:style>
  <w:style w:type="character" w:customStyle="1" w:styleId="CommentSubjectChar">
    <w:name w:val="Comment Subject Char"/>
    <w:basedOn w:val="CommentTextChar"/>
    <w:link w:val="CommentSubject"/>
    <w:uiPriority w:val="99"/>
    <w:semiHidden/>
    <w:rsid w:val="00AE4EBF"/>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652902">
      <w:bodyDiv w:val="1"/>
      <w:marLeft w:val="0"/>
      <w:marRight w:val="0"/>
      <w:marTop w:val="0"/>
      <w:marBottom w:val="0"/>
      <w:divBdr>
        <w:top w:val="none" w:sz="0" w:space="0" w:color="auto"/>
        <w:left w:val="none" w:sz="0" w:space="0" w:color="auto"/>
        <w:bottom w:val="none" w:sz="0" w:space="0" w:color="auto"/>
        <w:right w:val="none" w:sz="0" w:space="0" w:color="auto"/>
      </w:divBdr>
    </w:div>
    <w:div w:id="984702310">
      <w:bodyDiv w:val="1"/>
      <w:marLeft w:val="0"/>
      <w:marRight w:val="0"/>
      <w:marTop w:val="0"/>
      <w:marBottom w:val="0"/>
      <w:divBdr>
        <w:top w:val="none" w:sz="0" w:space="0" w:color="auto"/>
        <w:left w:val="none" w:sz="0" w:space="0" w:color="auto"/>
        <w:bottom w:val="none" w:sz="0" w:space="0" w:color="auto"/>
        <w:right w:val="none" w:sz="0" w:space="0" w:color="auto"/>
      </w:divBdr>
    </w:div>
    <w:div w:id="1602764355">
      <w:bodyDiv w:val="1"/>
      <w:marLeft w:val="0"/>
      <w:marRight w:val="0"/>
      <w:marTop w:val="0"/>
      <w:marBottom w:val="0"/>
      <w:divBdr>
        <w:top w:val="none" w:sz="0" w:space="0" w:color="auto"/>
        <w:left w:val="none" w:sz="0" w:space="0" w:color="auto"/>
        <w:bottom w:val="none" w:sz="0" w:space="0" w:color="auto"/>
        <w:right w:val="none" w:sz="0" w:space="0" w:color="auto"/>
      </w:divBdr>
    </w:div>
    <w:div w:id="189616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Files\HEDIS\Pufs\docs\HEDISyyyyDoc_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E489C-CBE7-45C2-A249-078881E1B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HEDISyyyyDoc_2018-.dotx</Template>
  <TotalTime>386</TotalTime>
  <Pages>19</Pages>
  <Words>6970</Words>
  <Characters>39730</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HEDIS® 2018 (Summary) Documentation for Reporting Year 2017</vt:lpstr>
    </vt:vector>
  </TitlesOfParts>
  <Company>CMS</Company>
  <LinksUpToDate>false</LinksUpToDate>
  <CharactersWithSpaces>46607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HEDIS® 2018 (Summary) Documentation for Reporting Year 2017</dc:title>
  <dc:creator>HEDISquestions@cms.hhs.gov</dc:creator>
  <cp:lastModifiedBy>Amber Didier</cp:lastModifiedBy>
  <cp:revision>17</cp:revision>
  <cp:lastPrinted>2019-11-13T18:03:00Z</cp:lastPrinted>
  <dcterms:created xsi:type="dcterms:W3CDTF">2021-09-27T14:16:00Z</dcterms:created>
  <dcterms:modified xsi:type="dcterms:W3CDTF">2021-09-30T13:55:00Z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acts">
    <vt:i4>430</vt:i4>
  </property>
  <property fmtid="{D5CDD505-2E9C-101B-9397-08002B2CF9AE}" pid="3" name="HEDISYear">
    <vt:lpwstr>2018</vt:lpwstr>
  </property>
  <property fmtid="{D5CDD505-2E9C-101B-9397-08002B2CF9AE}" pid="4" name="ReportYear">
    <vt:lpwstr>2017</vt:lpwstr>
  </property>
  <property fmtid="{D5CDD505-2E9C-101B-9397-08002B2CF9AE}" pid="5" name="MarketArea">
    <vt:i4>999</vt:i4>
  </property>
  <property fmtid="{D5CDD505-2E9C-101B-9397-08002B2CF9AE}" pid="6" name="PBPs">
    <vt:i4>999</vt:i4>
  </property>
</Properties>
</file>