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84.png" ContentType="image/png"/>
  <Override PartName="/word/media/rId61.jpg" ContentType="image/jpeg"/>
  <Override PartName="/word/media/rId98.png" ContentType="image/png"/>
  <Override PartName="/word/media/rId109.png" ContentType="image/png"/>
  <Override PartName="/word/media/rId46.png" ContentType="image/png"/>
  <Override PartName="/word/media/rId75.png" ContentType="image/png"/>
  <Override PartName="/word/media/rId135.png" ContentType="image/png"/>
  <Override PartName="/word/media/rId42.png" ContentType="image/png"/>
  <Override PartName="/word/media/rId53.svg" ContentType="image/svg+xml"/>
  <Override PartName="/word/media/rId104.png" ContentType="image/png"/>
  <Override PartName="/word/media/rId118.png" ContentType="image/png"/>
  <Override PartName="/word/media/rId124.png" ContentType="image/png"/>
  <Override PartName="/word/media/rId92.png" ContentType="image/png"/>
  <Override PartName="/word/media/rId113.png" ContentType="image/png"/>
  <Override PartName="/word/media/rId88.png" ContentType="image/png"/>
  <Override PartName="/word/media/rId70.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Language Without Borders: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http://orcid.org/0000-0002-7459-4505</w:t>
      </w:r>
    </w:p>
    <w:p>
      <w:pPr>
        <w:pStyle w:val="BodyText"/>
      </w:pPr>
      <w:r>
        <w:t xml:space="preserve">Yanina Prystauka</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http://orcid.org/0000-0000-0000-0002</w:t>
      </w:r>
    </w:p>
    <w:p>
      <w:pPr>
        <w:pStyle w:val="BodyText"/>
      </w:pPr>
      <w:r>
        <w:t xml:space="preserve">Sarah Colby</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http://orcid.org/0000-0000-0000-0003</w:t>
      </w:r>
    </w:p>
    <w:p>
      <w:pPr>
        <w:pStyle w:val="BodyText"/>
      </w:pPr>
      <w:r>
        <w:t xml:space="preserve">Julia Droulin</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original draft, writing – review &amp; editing, and formal analysis. </w:t>
      </w:r>
      <w:r>
        <w:rPr>
          <w:i/>
          <w:iCs/>
        </w:rPr>
        <w:t xml:space="preserve">Sarah Colby</w:t>
      </w:r>
      <w:r>
        <w:rPr>
          <w:b/>
          <w:bCs/>
        </w:rPr>
        <w:t xml:space="preserve">: </w:t>
      </w:r>
      <w:r>
        <w:t xml:space="preserve">writing – original draft and writing – review &amp; editing. </w:t>
      </w:r>
      <w:r>
        <w:rPr>
          <w:i/>
          <w:iCs/>
        </w:rPr>
        <w:t xml:space="preserve">Julia Droulin</w:t>
      </w:r>
      <w:r>
        <w:rPr>
          <w:b/>
          <w:bCs/>
        </w:rPr>
        <w:t xml:space="preserve">: </w:t>
      </w:r>
      <w:r>
        <w:t xml:space="preserve">conceptualziation, writing – original draft,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4"/>
    <w:bookmarkStart w:id="35"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w:t>
      </w:r>
    </w:p>
    <w:p>
      <w:pPr>
        <w:pStyle w:val="BodyText"/>
      </w:pPr>
      <w:r>
        <w:rPr>
          <w:i/>
          <w:iCs/>
        </w:rPr>
        <w:t xml:space="preserve">Keywords</w:t>
      </w:r>
      <w:r>
        <w:t xml:space="preserve">: VWP, Tutorial, Webcam eye-tracking, R, Gorilla</w:t>
      </w:r>
    </w:p>
    <w:p>
      <w:r>
        <w:br w:type="page"/>
      </w:r>
    </w:p>
    <w:bookmarkEnd w:id="35"/>
    <w:bookmarkStart w:id="39" w:name="firstheader"/>
    <w:p>
      <w:pPr>
        <w:pStyle w:val="Heading1"/>
      </w:pPr>
      <w:r>
        <w:t xml:space="preserve">Language Without Borders: A Step-by-Step Guide to Analyzing Webcam Eye-Tracking Data for L2 Research</w:t>
      </w:r>
    </w:p>
    <w:p>
      <w:pPr>
        <w:pStyle w:val="FirstParagraph"/>
      </w:pPr>
      <w:r>
        <w:t xml:space="preserve">Eye-tracking technology, which has a history spanning over a century, has seen remarkable advancements. In the early days, eye-tracking sometimes required the use of contact lenses fitted with search coils, often requiring anesthesia, or the attachment of suction cups to the sclera of the eyes</w:t>
      </w:r>
      <w:r>
        <w:t xml:space="preserve"> </w:t>
      </w:r>
      <w:r>
        <w:t xml:space="preserve">(</w:t>
      </w:r>
      <w:hyperlink w:anchor="ref-pluzyczka2018">
        <w:r>
          <w:rPr>
            <w:rStyle w:val="Hyperlink"/>
          </w:rPr>
          <w:t xml:space="preserve">Płużyczka, 2018</w:t>
        </w:r>
      </w:hyperlink>
      <w:r>
        <w:t xml:space="preserve">)</w:t>
      </w:r>
      <w:r>
        <w:t xml:space="preserve">.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et al., 2024</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normal developing language abilities</w:t>
      </w:r>
      <w:r>
        <w:t xml:space="preserve"> </w:t>
      </w:r>
      <w:r>
        <w:t xml:space="preserve">(</w:t>
      </w:r>
      <w:hyperlink w:anchor="ref-mcmurray2010">
        <w:r>
          <w:rPr>
            <w:rStyle w:val="Hyperlink"/>
          </w:rPr>
          <w:t xml:space="preserve">McMurray et al., 2010</w:t>
        </w:r>
      </w:hyperlink>
      <w:r>
        <w:t xml:space="preserve">)</w:t>
      </w:r>
      <w:r>
        <w:t xml:space="preserve">. These limitations not only narrow the populations available for study but also compromise the generalizability and applicability of research findings.</w:t>
      </w:r>
    </w:p>
    <w:bookmarkStart w:id="36"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w:t>
      </w:r>
    </w:p>
    <w:p>
      <w:pPr>
        <w:pStyle w:val="BodyText"/>
      </w:pPr>
      <w:r>
        <w:t xml:space="preserve">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Here eye gaze (direction) is manually analyzed post-hoc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browser. One common method to perform webcam eye-tracking is through an open source and free to use JavaScript library plugin called WebGazer.js</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 [</w:t>
      </w:r>
      <w:r>
        <w:t xml:space="preserve">Anwyl-Irvine et al. (</w:t>
      </w:r>
      <w:hyperlink w:anchor="ref-anwyl-irvine2020">
        <w:r>
          <w:rPr>
            <w:rStyle w:val="Hyperlink"/>
          </w:rPr>
          <w:t xml:space="preserve">2020</w:t>
        </w:r>
      </w:hyperlink>
      <w:r>
        <w:t xml:space="preserve">)</w:t>
      </w:r>
      <w:r>
        <w:t xml:space="preserve"> </w:t>
      </w:r>
      <w:r>
        <w:t xml:space="preserve">Peirce et al. (</w:t>
      </w:r>
      <w:hyperlink w:anchor="ref-peirce2019">
        <w:r>
          <w:rPr>
            <w:rStyle w:val="Hyperlink"/>
          </w:rPr>
          <w:t xml:space="preserve">2019</w:t>
        </w:r>
      </w:hyperlink>
      <w:r>
        <w:t xml:space="preserve">)</w:t>
      </w:r>
      <w:r>
        <w:t xml:space="preserve">;</w:t>
      </w:r>
      <w:r>
        <w:t xml:space="preserve"> </w:t>
      </w:r>
      <w:r>
        <w:t xml:space="preserve">Leeuw (</w:t>
      </w:r>
      <w:hyperlink w:anchor="ref-deleeuw2015">
        <w:r>
          <w:rPr>
            <w:rStyle w:val="Hyperlink"/>
          </w:rPr>
          <w:t xml:space="preserve">2015</w:t>
        </w:r>
      </w:hyperlink>
      <w:r>
        <w:t xml:space="preserve">)</w:t>
      </w:r>
      <w:r>
        <w:t xml:space="preserve">;</w:t>
      </w:r>
      <w:r>
        <w:t xml:space="preserve"> </w:t>
      </w:r>
      <w:r>
        <w:t xml:space="preserve">Zehr and Schwarz (</w:t>
      </w:r>
      <w:hyperlink w:anchor="ref-zehr2018penncontroller">
        <w:r>
          <w:rPr>
            <w:rStyle w:val="Hyperlink"/>
          </w:rPr>
          <w:t xml:space="preserve">2018</w:t>
        </w:r>
      </w:hyperlink>
      <w:r>
        <w:t xml:space="preserve">)</w:t>
      </w:r>
      <w:r>
        <w:t xml:space="preserve">) making it extremely easy to start webcam eye-tracking. WebGazer.js utilizes a webcam connected to the internet to track eye movements in real time. It employs a facial feature detection algorithm that estimates the position of the pupils in the webcam stream (relative to the face). By analyzing the relative movement of the eyes, WebGazer.js employs machine learning to estimate the user’s gaze location on the screen.To achieve this, WebGazer uses a dynamic calibration process wherein users look and click on random dot locations on the screen, or follow a dot as it moves to different locations on the screen. This calibration enhances the mapping between eye gaze and on-screen coordinates, ensuring more precise tracking during subsequent tasks.</w:t>
      </w:r>
    </w:p>
    <w:p>
      <w:pPr>
        <w:pStyle w:val="BodyText"/>
      </w:pPr>
      <w:r>
        <w:t xml:space="preserve">It is important to note that WebGazer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36"/>
    <w:bookmarkStart w:id="37"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looking at visual world eye-tracking has been conducted in labs with research grade eye-trackers. However, there have been several attempts to conduct these experiments online with webcam eye-tracking. In one of the first studies to examine the VWP in an online setting using webcam eye-tracking,</w:t>
      </w:r>
      <w:r>
        <w:t xml:space="preserve"> </w:t>
      </w:r>
      <w:r>
        <w:t xml:space="preserve">Degen et al. (</w:t>
      </w:r>
      <w:hyperlink w:anchor="ref-degen2021">
        <w:r>
          <w:rPr>
            <w:rStyle w:val="Hyperlink"/>
          </w:rPr>
          <w:t xml:space="preserve">2021</w:t>
        </w:r>
      </w:hyperlink>
      <w:r>
        <w:t xml:space="preserve">)</w:t>
      </w:r>
      <w:r>
        <w:t xml:space="preserve"> </w:t>
      </w:r>
      <w:r>
        <w:t xml:space="preserve">reported a replication of</w:t>
      </w:r>
      <w:r>
        <w:t xml:space="preserve"> </w:t>
      </w:r>
      <w:r>
        <w:t xml:space="preserve">Sun and Breheny (</w:t>
      </w:r>
      <w:hyperlink w:anchor="ref-sun2020">
        <w:r>
          <w:rPr>
            <w:rStyle w:val="Hyperlink"/>
          </w:rPr>
          <w:t xml:space="preserve">2020</w:t>
        </w:r>
      </w:hyperlink>
      <w:r>
        <w:t xml:space="preserve">)</w:t>
      </w:r>
      <w:r>
        <w:t xml:space="preserve"> </w:t>
      </w:r>
      <w:r>
        <w:t xml:space="preserve">looking at set size and determiners in language processing. In their study, they used a sentence-based VWP with a carrier phrase that manipulated gender (male vs. female), determiner (i.e., all, some, numeral) and noun.</w:t>
      </w:r>
      <w:r>
        <w:t xml:space="preserve"> </w:t>
      </w:r>
      <w:r>
        <w:t xml:space="preserve">Degen et al. (</w:t>
      </w:r>
      <w:hyperlink w:anchor="ref-degen2021">
        <w:r>
          <w:rPr>
            <w:rStyle w:val="Hyperlink"/>
          </w:rPr>
          <w:t xml:space="preserve">2021</w:t>
        </w:r>
      </w:hyperlink>
      <w:r>
        <w:t xml:space="preserve">)</w:t>
      </w:r>
      <w:r>
        <w:t xml:space="preserve"> </w:t>
      </w:r>
      <w:r>
        <w:t xml:space="preserve">largely replicated the basic pattern of results from</w:t>
      </w:r>
      <w:r>
        <w:t xml:space="preserve"> </w:t>
      </w:r>
      <w:r>
        <w:t xml:space="preserve">Sun and Breheny (</w:t>
      </w:r>
      <w:hyperlink w:anchor="ref-sun2020">
        <w:r>
          <w:rPr>
            <w:rStyle w:val="Hyperlink"/>
          </w:rPr>
          <w:t xml:space="preserve">2020</w:t>
        </w:r>
      </w:hyperlink>
      <w:r>
        <w:t xml:space="preserve">)</w:t>
      </w:r>
      <w:r>
        <w:t xml:space="preserve">, observering an interaction between set size and determiners. Most notable, however, is the considerable time delay. Using webcam eye-tracking significant effects did not arise until 700 ms later. They attributed this to reduced spatial precision and lower sampling rates, AOI size, and number of calibrations performed. Several other studies using sentence-based versions of the VWP online have noted a similar temporal delay in effects using webcam eye-tracking</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w:t>
      </w:r>
    </w:p>
    <w:p>
      <w:pPr>
        <w:pStyle w:val="BodyText"/>
      </w:pPr>
      <w:r>
        <w:t xml:space="preserve">More relevant to the current paper are findings from single-word VWP studies conducted online. To date, only one study has investigated visual world webcam eye-tracking with single words.</w:t>
      </w:r>
      <w:r>
        <w:t xml:space="preserve"> </w:t>
      </w:r>
      <w:r>
        <w:t xml:space="preserve">Slim et al. (</w:t>
      </w:r>
      <w:hyperlink w:anchor="ref-slim2024">
        <w:r>
          <w:rPr>
            <w:rStyle w:val="Hyperlink"/>
          </w:rPr>
          <w:t xml:space="preserve">2024</w:t>
        </w:r>
      </w:hyperlink>
      <w:r>
        <w:t xml:space="preserve">)</w:t>
      </w:r>
      <w:r>
        <w:t xml:space="preserve"> </w:t>
      </w:r>
      <w:r>
        <w:t xml:space="preserve">examined a phonemic cohort task. In the cohort task, pictures were displayed randomly in one of four quadrants, and participants were instructed to fixate on the target based on the auditory cue. On each trial, one of the pictures was phonemically similar to the target in onset (e.g.,</w:t>
      </w:r>
      <w:r>
        <w:t xml:space="preserve"> </w:t>
      </w:r>
      <w:r>
        <w:rPr>
          <w:i/>
          <w:iCs/>
        </w:rPr>
        <w:t xml:space="preserve">MILK</w:t>
      </w:r>
      <w:r>
        <w:t xml:space="preserve"> </w:t>
      </w:r>
      <w:r>
        <w:t xml:space="preserve">– MITTEN).</w:t>
      </w:r>
    </w:p>
    <w:p>
      <w:pPr>
        <w:pStyle w:val="BodyText"/>
      </w:pPr>
      <w:r>
        <w:t xml:space="preserve">They were able to observe significant fixations to the cohort compared to the control condition, replicating lab-based single word VWP experiments with research grade eye-trackers</w:t>
      </w:r>
      <w:r>
        <w:t xml:space="preserve"> </w:t>
      </w:r>
      <w:r>
        <w:t xml:space="preserve">(e.g.,</w:t>
      </w:r>
      <w:r>
        <w:t xml:space="preserve"> </w:t>
      </w:r>
      <w:hyperlink w:anchor="ref-allopenna1998">
        <w:r>
          <w:rPr>
            <w:rStyle w:val="Hyperlink"/>
          </w:rPr>
          <w:t xml:space="preserve">Allopenna et al., 1998</w:t>
        </w:r>
      </w:hyperlink>
      <w:r>
        <w:t xml:space="preserve">)</w:t>
      </w:r>
      <w:r>
        <w:t xml:space="preserve">. However,</w:t>
      </w:r>
      <w:r>
        <w:t xml:space="preserve"> </w:t>
      </w:r>
      <w:r>
        <w:t xml:space="preserve">Slim et al. (</w:t>
      </w:r>
      <w:hyperlink w:anchor="ref-slim2024">
        <w:r>
          <w:rPr>
            <w:rStyle w:val="Hyperlink"/>
          </w:rPr>
          <w:t xml:space="preserve">2024</w:t>
        </w:r>
      </w:hyperlink>
      <w:r>
        <w:t xml:space="preserve">)</w:t>
      </w:r>
      <w:r>
        <w:t xml:space="preserve"> </w:t>
      </w:r>
      <w:r>
        <w:t xml:space="preserve">only observed these competition effects in a later time window compared to remote eye-tracking.</w:t>
      </w:r>
    </w:p>
    <w:p>
      <w:pPr>
        <w:pStyle w:val="BodyText"/>
      </w:pPr>
      <w:r>
        <w:t xml:space="preserve">While the temporal delay in effects reported in sentence and single-word based visual world webcam eye-tracking studies presents a significant limitation to using webcam eye-tracking to examine real-time processing, recent developments with WebGazer.js ameliorate this shortcoming.</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delay—approximately 50 ms—when comparing the lab-based and online versions of the VWP using an updated version of WebGazer within jsPsych</w:t>
      </w:r>
      <w:r>
        <w:t xml:space="preserve"> </w:t>
      </w:r>
      <w:r>
        <w:t xml:space="preserve">(</w:t>
      </w:r>
      <w:hyperlink w:anchor="ref-deleeuw2015">
        <w:r>
          <w:rPr>
            <w:rStyle w:val="Hyperlink"/>
          </w:rPr>
          <w:t xml:space="preserve">Leeuw, 2015</w:t>
        </w:r>
      </w:hyperlink>
      <w:r>
        <w:t xml:space="preserve">)</w:t>
      </w:r>
      <w:r>
        <w:t xml:space="preserve">. More recently,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leveraging Gorilla and the updated WebGazer algorithm, reported comparable effects between the online and lab-based version of the VWP. These findings highlight that the online version of the VWP, powered by webcam eye-tracking, can achieve results similar to those of traditional lab-based studies and can be used to study competition effects in single word speech perception.</w:t>
      </w:r>
    </w:p>
    <w:bookmarkEnd w:id="37"/>
    <w:bookmarkStart w:id="38" w:name="tutorial"/>
    <w:p>
      <w:pPr>
        <w:pStyle w:val="Heading2"/>
      </w:pPr>
      <w:r>
        <w:t xml:space="preserve">Tutorial</w:t>
      </w:r>
    </w:p>
    <w:p>
      <w:pPr>
        <w:pStyle w:val="FirstParagraph"/>
      </w:pPr>
      <w:r>
        <w:t xml:space="preserve">Taken together, it seems that webcam eye-tracking is viable alternative to lab-based eye-tracking.Given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38"/>
    <w:bookmarkEnd w:id="39"/>
    <w:bookmarkStart w:id="130"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w:t>
      </w:r>
      <w:r>
        <w:t xml:space="preserve">cielo</w:t>
      </w:r>
      <w:r>
        <w:t xml:space="preserve">”</w:t>
      </w:r>
      <w:r>
        <w:t xml:space="preserve"> </w:t>
      </w:r>
      <w:r>
        <w:t xml:space="preserve">(sky), the Spanish competitor was</w:t>
      </w:r>
      <w:r>
        <w:t xml:space="preserve"> </w:t>
      </w:r>
      <w:r>
        <w:t xml:space="preserve">“</w:t>
      </w:r>
      <w:r>
        <w:t xml:space="preserve">ciencia</w:t>
      </w:r>
      <w:r>
        <w:t xml:space="preserve">”</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w:t>
      </w:r>
      <w:r>
        <w:t xml:space="preserve">botas</w:t>
      </w:r>
      <w:r>
        <w:t xml:space="preserve">”</w:t>
      </w:r>
      <w:r>
        <w:t xml:space="preserve"> </w:t>
      </w:r>
      <w:r>
        <w:t xml:space="preserve">(boots), the English competitor was</w:t>
      </w:r>
      <w:r>
        <w:t xml:space="preserve"> </w:t>
      </w:r>
      <w:r>
        <w:t xml:space="preserve">“</w:t>
      </w:r>
      <w:r>
        <w:t xml:space="preserve">border.</w:t>
      </w:r>
      <w:r>
        <w:t xml:space="preserve">”</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There was no competetion effects in the no competion condition.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58" w:name="method"/>
    <w:p>
      <w:pPr>
        <w:pStyle w:val="Heading2"/>
      </w:pPr>
      <w:r>
        <w:t xml:space="preserve">Method</w:t>
      </w:r>
    </w:p>
    <w:p>
      <w:pPr>
        <w:pStyle w:val="FirstParagraph"/>
      </w:pPr>
      <w:r>
        <w:t xml:space="preserve">All tasks herein can be previewed here (</w:t>
      </w:r>
      <w:hyperlink r:id="rId40">
        <w:r>
          <w:rPr>
            <w:rStyle w:val="Hyperlink"/>
          </w:rPr>
          <w:t xml:space="preserve">https://app.gorilla.sc/openmaterials/953693</w:t>
        </w:r>
      </w:hyperlink>
      <w:r>
        <w:t xml:space="preserve">). The manuscript, data, and R code can be found on Github (</w:t>
      </w:r>
      <w:hyperlink r:id="rId41">
        <w:r>
          <w:rPr>
            <w:rStyle w:val="Hyperlink"/>
          </w:rPr>
          <w:t xml:space="preserve">https://github.com/jgeller112/webcam_gazeR_VWP</w:t>
        </w:r>
      </w:hyperlink>
      <w:r>
        <w:t xml:space="preserve">).</w:t>
      </w:r>
    </w:p>
    <w:bookmarkStart w:id="50"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45" w:name="fig-sankey"/>
    <w:p>
      <w:pPr>
        <w:pStyle w:val="FigureTitle"/>
      </w:pPr>
      <w:r>
        <w:t xml:space="preserve">Figure 1</w:t>
      </w:r>
    </w:p>
    <w:p>
      <w:pPr>
        <w:pStyle w:val="Caption"/>
      </w:pPr>
      <w:r>
        <w:t xml:space="preserve">Participant flow through the entire experiment</w:t>
      </w:r>
    </w:p>
    <w:p>
      <w:pPr>
        <w:pStyle w:val="FigureWithoutNote"/>
      </w:pPr>
      <w:r>
        <w:drawing>
          <wp:inline>
            <wp:extent cx="5943600" cy="4027894"/>
            <wp:effectExtent b="0" l="0" r="0" t="0"/>
            <wp:docPr descr="" title="" id="43" name="Picture"/>
            <a:graphic>
              <a:graphicData uri="http://schemas.openxmlformats.org/drawingml/2006/picture">
                <pic:pic>
                  <pic:nvPicPr>
                    <pic:cNvPr descr="Figures/sankey_plot.png" id="44" name="Picture"/>
                    <pic:cNvPicPr>
                      <a:picLocks noChangeArrowheads="1" noChangeAspect="1"/>
                    </pic:cNvPicPr>
                  </pic:nvPicPr>
                  <pic:blipFill>
                    <a:blip r:embed="rId42"/>
                    <a:stretch>
                      <a:fillRect/>
                    </a:stretch>
                  </pic:blipFill>
                  <pic:spPr bwMode="auto">
                    <a:xfrm>
                      <a:off x="0" y="0"/>
                      <a:ext cx="5943600" cy="4027894"/>
                    </a:xfrm>
                    <a:prstGeom prst="rect">
                      <a:avLst/>
                    </a:prstGeom>
                    <a:noFill/>
                    <a:ln w="9525">
                      <a:noFill/>
                      <a:headEnd/>
                      <a:tailEnd/>
                    </a:ln>
                  </pic:spPr>
                </pic:pic>
              </a:graphicData>
            </a:graphic>
          </wp:inline>
        </w:drawing>
      </w:r>
    </w:p>
    <w:bookmarkEnd w:id="45"/>
    <w:bookmarkStart w:id="49" w:name="tbl-demo2"/>
    <w:p>
      <w:pPr>
        <w:pStyle w:val="FigureTitle"/>
      </w:pPr>
      <w:r>
        <w:t xml:space="preserve">Table 1</w:t>
      </w:r>
    </w:p>
    <w:p>
      <w:pPr>
        <w:pStyle w:val="Caption"/>
      </w:pPr>
      <w:r>
        <w:t xml:space="preserve">Participant demographic variables</w:t>
      </w:r>
    </w:p>
    <w:p>
      <w:pPr>
        <w:pStyle w:val="FigureWithoutNote"/>
      </w:pPr>
      <w:r>
        <w:drawing>
          <wp:inline>
            <wp:extent cx="2971800" cy="5898572"/>
            <wp:effectExtent b="0" l="0" r="0" t="0"/>
            <wp:docPr descr="" title="" id="47" name="Picture"/>
            <a:graphic>
              <a:graphicData uri="http://schemas.openxmlformats.org/drawingml/2006/picture">
                <pic:pic>
                  <pic:nvPicPr>
                    <pic:cNvPr descr="Figures/my_demo.png" id="48" name="Picture"/>
                    <pic:cNvPicPr>
                      <a:picLocks noChangeArrowheads="1" noChangeAspect="1"/>
                    </pic:cNvPicPr>
                  </pic:nvPicPr>
                  <pic:blipFill>
                    <a:blip r:embed="rId46"/>
                    <a:stretch>
                      <a:fillRect/>
                    </a:stretch>
                  </pic:blipFill>
                  <pic:spPr bwMode="auto">
                    <a:xfrm>
                      <a:off x="0" y="0"/>
                      <a:ext cx="2971800" cy="5898572"/>
                    </a:xfrm>
                    <a:prstGeom prst="rect">
                      <a:avLst/>
                    </a:prstGeom>
                    <a:noFill/>
                    <a:ln w="9525">
                      <a:noFill/>
                      <a:headEnd/>
                      <a:tailEnd/>
                    </a:ln>
                  </pic:spPr>
                </pic:pic>
              </a:graphicData>
            </a:graphic>
          </wp:inline>
        </w:drawing>
      </w:r>
    </w:p>
    <w:bookmarkEnd w:id="49"/>
    <w:bookmarkEnd w:id="50"/>
    <w:bookmarkStart w:id="52"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1">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make sure participants where wearing headphones,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2"/>
    <w:bookmarkStart w:id="57"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56"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54" name="Picture"/>
            <a:graphic>
              <a:graphicData uri="http://schemas.openxmlformats.org/drawingml/2006/picture">
                <pic:pic>
                  <pic:nvPicPr>
                    <pic:cNvPr descr="Figures/trial_descrip.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56"/>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57"/>
    <w:bookmarkEnd w:id="58"/>
    <w:bookmarkStart w:id="80" w:name="cleaning-data"/>
    <w:p>
      <w:pPr>
        <w:pStyle w:val="Heading2"/>
      </w:pPr>
      <w:r>
        <w:t xml:space="preserve">Cleaning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webcam eye data, we follow five general steps:</w:t>
      </w:r>
    </w:p>
    <w:p>
      <w:pPr>
        <w:pStyle w:val="Compact"/>
        <w:numPr>
          <w:ilvl w:val="0"/>
          <w:numId w:val="1002"/>
        </w:numPr>
      </w:pPr>
      <w:r>
        <w:t xml:space="preserve">Reading in data</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package in R.</w:t>
      </w:r>
    </w:p>
    <w:bookmarkStart w:id="59" w:name="reading-in-data"/>
    <w:p>
      <w:pPr>
        <w:pStyle w:val="Heading3"/>
      </w:pPr>
      <w:r>
        <w:t xml:space="preserve">Reading in Data</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in</w:t>
      </w:r>
      <w:r>
        <w:t xml:space="preserve"> </w:t>
      </w:r>
      <w:r>
        <w:rPr>
          <w:rStyle w:val="VerbatimChar"/>
        </w:rPr>
        <w:t xml:space="preserve">Code Block 1</w:t>
      </w:r>
      <w:r>
        <w:t xml:space="preserve"> </w:t>
      </w:r>
      <w:r>
        <w:t xml:space="preserve">from Github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F)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rPr>
          <w:rStyle w:val="FunctionTok"/>
        </w:rPr>
        <w:t xml:space="preserve">library</w:t>
      </w:r>
      <w:r>
        <w:rPr>
          <w:rStyle w:val="NormalTok"/>
        </w:rPr>
        <w:t xml:space="preserve">(tidyverse) </w:t>
      </w:r>
      <w:r>
        <w:rPr>
          <w:rStyle w:val="CommentTok"/>
        </w:rPr>
        <w:t xml:space="preserve"># data wrangling </w:t>
      </w:r>
      <w:r>
        <w:br/>
      </w:r>
      <w:r>
        <w:rPr>
          <w:rStyle w:val="FunctionTok"/>
        </w:rPr>
        <w:t xml:space="preserve">library</w:t>
      </w:r>
      <w:r>
        <w:rPr>
          <w:rStyle w:val="NormalTok"/>
        </w:rPr>
        <w:t xml:space="preserve">(here) </w:t>
      </w:r>
      <w:r>
        <w:rPr>
          <w:rStyle w:val="CommentTok"/>
        </w:rPr>
        <w:t xml:space="preserve"># relative paths instead of abosoulte aids in reproduce</w:t>
      </w:r>
      <w:r>
        <w:br/>
      </w:r>
      <w:r>
        <w:rPr>
          <w:rStyle w:val="FunctionTok"/>
        </w:rPr>
        <w:t xml:space="preserve">library</w:t>
      </w:r>
      <w:r>
        <w:rPr>
          <w:rStyle w:val="NormalTok"/>
        </w:rPr>
        <w:t xml:space="preserve">(tinytable) </w:t>
      </w:r>
      <w:r>
        <w:rPr>
          <w:rStyle w:val="CommentTok"/>
        </w:rPr>
        <w:t xml:space="preserve"># nice tables</w:t>
      </w:r>
      <w:r>
        <w:br/>
      </w:r>
      <w:r>
        <w:rPr>
          <w:rStyle w:val="FunctionTok"/>
        </w:rPr>
        <w:t xml:space="preserve">library</w:t>
      </w:r>
      <w:r>
        <w:rPr>
          <w:rStyle w:val="NormalTok"/>
        </w:rPr>
        <w:t xml:space="preserve">(janitor)</w:t>
      </w:r>
      <w:r>
        <w:rPr>
          <w:rStyle w:val="CommentTok"/>
        </w:rPr>
        <w:t xml:space="preserve"># functions for cleaning up your column names</w:t>
      </w:r>
      <w:r>
        <w:br/>
      </w:r>
      <w:r>
        <w:rPr>
          <w:rStyle w:val="FunctionTok"/>
        </w:rPr>
        <w:t xml:space="preserve">library</w:t>
      </w:r>
      <w:r>
        <w:rPr>
          <w:rStyle w:val="NormalTok"/>
        </w:rPr>
        <w:t xml:space="preserve">(webgazeR) </w:t>
      </w:r>
      <w:r>
        <w:rPr>
          <w:rStyle w:val="CommentTok"/>
        </w:rPr>
        <w:t xml:space="preserve"># has webcam functions</w:t>
      </w:r>
      <w:r>
        <w:br/>
      </w:r>
      <w:r>
        <w:rPr>
          <w:rStyle w:val="FunctionTok"/>
        </w:rPr>
        <w:t xml:space="preserve">library</w:t>
      </w:r>
      <w:r>
        <w:rPr>
          <w:rStyle w:val="NormalTok"/>
        </w:rPr>
        <w:t xml:space="preserve">(readxl) </w:t>
      </w:r>
      <w:r>
        <w:rPr>
          <w:rStyle w:val="CommentTok"/>
        </w:rPr>
        <w:t xml:space="preserve"># read in excel files</w:t>
      </w:r>
      <w:r>
        <w:br/>
      </w:r>
      <w:r>
        <w:rPr>
          <w:rStyle w:val="FunctionTok"/>
        </w:rPr>
        <w:t xml:space="preserve">library</w:t>
      </w:r>
      <w:r>
        <w:rPr>
          <w:rStyle w:val="NormalTok"/>
        </w:rPr>
        <w:t xml:space="preserve">(ggokabeito)</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(permuco) </w:t>
      </w:r>
      <w:r>
        <w:rPr>
          <w:rStyle w:val="CommentTok"/>
        </w:rPr>
        <w:t xml:space="preserve"># permutation analysis</w:t>
      </w:r>
      <w:r>
        <w:br/>
      </w:r>
      <w:r>
        <w:rPr>
          <w:rStyle w:val="FunctionTok"/>
        </w:rPr>
        <w:t xml:space="preserve">library</w:t>
      </w:r>
      <w:r>
        <w:rPr>
          <w:rStyle w:val="NormalTok"/>
        </w:rPr>
        <w:t xml:space="preserve">(foreach) </w:t>
      </w:r>
      <w:r>
        <w:rPr>
          <w:rStyle w:val="CommentTok"/>
        </w:rPr>
        <w:t xml:space="preserve"># permiutation analysis</w:t>
      </w:r>
      <w:r>
        <w:br/>
      </w:r>
      <w:r>
        <w:rPr>
          <w:rStyle w:val="FunctionTok"/>
        </w:rPr>
        <w:t xml:space="preserve">library</w:t>
      </w:r>
      <w:r>
        <w:rPr>
          <w:rStyle w:val="NormalTok"/>
        </w:rPr>
        <w:t xml:space="preserve">(geomtextpath) </w:t>
      </w:r>
      <w:r>
        <w:rPr>
          <w:rStyle w:val="CommentTok"/>
        </w:rPr>
        <w:t xml:space="preserve"># for plotting labels on lines of ggplot figs</w:t>
      </w:r>
      <w:r>
        <w:br/>
      </w:r>
      <w:r>
        <w:rPr>
          <w:rStyle w:val="FunctionTok"/>
        </w:rPr>
        <w:t xml:space="preserve">library</w:t>
      </w:r>
      <w:r>
        <w:rPr>
          <w:rStyle w:val="NormalTok"/>
        </w:rPr>
        <w:t xml:space="preserve">(cowplot) </w:t>
      </w:r>
      <w:r>
        <w:rPr>
          <w:rStyle w:val="CommentTok"/>
        </w:rPr>
        <w:t xml:space="preserve"># combine ggplot figs</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59"/>
    <w:bookmarkStart w:id="60" w:name="gorilla-data"/>
    <w:p>
      <w:pPr>
        <w:pStyle w:val="Heading3"/>
      </w:pPr>
      <w:r>
        <w:t xml:space="preserve">Gorilla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w:t>
      </w:r>
      <w:r>
        <w:t xml:space="preserve">prediction</w:t>
      </w:r>
      <w:r>
        <w:t xml:space="preserve">”</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p>
      <w:pPr>
        <w:pStyle w:val="Heading4"/>
        <w:rPr>
          <w:vanish/>
          <w:specVanish/>
        </w:rPr>
      </w:pPr>
      <w:r>
        <w:t>Subject and trial level data removal.</w:t>
      </w:r>
      <w:r>
        <w:t xml:space="preserve"> </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w:t>
      </w:r>
      <w:r>
        <w:t xml:space="preserve">response_button_image</w:t>
      </w:r>
      <w:r>
        <w:t xml:space="preserv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CommentTok"/>
        </w:rPr>
        <w:t xml:space="preserve">#|message: false</w:t>
      </w:r>
      <w:r>
        <w:br/>
      </w:r>
      <w:r>
        <w:rPr>
          <w:rStyle w:val="CommentTok"/>
        </w:rPr>
        <w:t xml:space="preserve">#|echo: true</w:t>
      </w:r>
      <w:r>
        <w:br/>
      </w: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eng_targetword, targetword, typetl, typetr, typebl, typebr, zone_name, zone_type,reaction_time,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StringTok"/>
        </w:rPr>
        <w:t xml:space="preserve">"TL"</w:t>
      </w:r>
      <w:r>
        <w:rPr>
          <w:rStyle w:val="NormalTok"/>
        </w:rPr>
        <w:t xml:space="preserve"> </w:t>
      </w:r>
      <w:r>
        <w:rPr>
          <w:rStyle w:val="OtherTok"/>
        </w:rPr>
        <w:t xml:space="preserve">=</w:t>
      </w:r>
      <w:r>
        <w:rPr>
          <w:rStyle w:val="NormalTok"/>
        </w:rPr>
        <w:t xml:space="preserve"> </w:t>
      </w:r>
      <w:r>
        <w:rPr>
          <w:rStyle w:val="StringTok"/>
        </w:rPr>
        <w:t xml:space="preserve">"tlpic"</w:t>
      </w:r>
      <w:r>
        <w:rPr>
          <w:rStyle w:val="NormalTok"/>
        </w:rPr>
        <w:t xml:space="preserve">,              </w:t>
      </w:r>
      <w:r>
        <w:rPr>
          <w:rStyle w:val="CommentTok"/>
        </w:rPr>
        <w:t xml:space="preserve"># Rename 'tlpic' to 'TL'</w:t>
      </w:r>
      <w:r>
        <w:br/>
      </w:r>
      <w:r>
        <w:rPr>
          <w:rStyle w:val="NormalTok"/>
        </w:rPr>
        <w:t xml:space="preserve">    </w:t>
      </w:r>
      <w:r>
        <w:rPr>
          <w:rStyle w:val="StringTok"/>
        </w:rPr>
        <w:t xml:space="preserve">"TR"</w:t>
      </w:r>
      <w:r>
        <w:rPr>
          <w:rStyle w:val="NormalTok"/>
        </w:rPr>
        <w:t xml:space="preserve"> </w:t>
      </w:r>
      <w:r>
        <w:rPr>
          <w:rStyle w:val="OtherTok"/>
        </w:rPr>
        <w:t xml:space="preserve">=</w:t>
      </w:r>
      <w:r>
        <w:rPr>
          <w:rStyle w:val="NormalTok"/>
        </w:rPr>
        <w:t xml:space="preserve"> </w:t>
      </w:r>
      <w:r>
        <w:rPr>
          <w:rStyle w:val="StringTok"/>
        </w:rPr>
        <w:t xml:space="preserve">"trpic"</w:t>
      </w:r>
      <w:r>
        <w:rPr>
          <w:rStyle w:val="NormalTok"/>
        </w:rPr>
        <w:t xml:space="preserve">,             </w:t>
      </w:r>
      <w:r>
        <w:rPr>
          <w:rStyle w:val="CommentTok"/>
        </w:rPr>
        <w:t xml:space="preserve"># Rename 'trpic' to 'TR'</w:t>
      </w:r>
      <w:r>
        <w:br/>
      </w:r>
      <w:r>
        <w:rPr>
          <w:rStyle w:val="NormalTok"/>
        </w:rPr>
        <w:t xml:space="preserve">    </w:t>
      </w:r>
      <w:r>
        <w:rPr>
          <w:rStyle w:val="StringTok"/>
        </w:rPr>
        <w:t xml:space="preserve">"BL"</w:t>
      </w:r>
      <w:r>
        <w:rPr>
          <w:rStyle w:val="NormalTok"/>
        </w:rPr>
        <w:t xml:space="preserve"> </w:t>
      </w:r>
      <w:r>
        <w:rPr>
          <w:rStyle w:val="OtherTok"/>
        </w:rPr>
        <w:t xml:space="preserve">=</w:t>
      </w:r>
      <w:r>
        <w:rPr>
          <w:rStyle w:val="NormalTok"/>
        </w:rPr>
        <w:t xml:space="preserve"> </w:t>
      </w:r>
      <w:r>
        <w:rPr>
          <w:rStyle w:val="StringTok"/>
        </w:rPr>
        <w:t xml:space="preserve">"blpic"</w:t>
      </w:r>
      <w:r>
        <w:rPr>
          <w:rStyle w:val="NormalTok"/>
        </w:rPr>
        <w:t xml:space="preserve">,            </w:t>
      </w:r>
      <w:r>
        <w:rPr>
          <w:rStyle w:val="CommentTok"/>
        </w:rPr>
        <w:t xml:space="preserve"># Rename 'blpic' to 'BL'</w:t>
      </w:r>
      <w:r>
        <w:br/>
      </w:r>
      <w:r>
        <w:rPr>
          <w:rStyle w:val="NormalTok"/>
        </w:rPr>
        <w:t xml:space="preserve">    </w:t>
      </w:r>
      <w:r>
        <w:rPr>
          <w:rStyle w:val="StringTok"/>
        </w:rPr>
        <w:t xml:space="preserve">"BR"</w:t>
      </w:r>
      <w:r>
        <w:rPr>
          <w:rStyle w:val="NormalTok"/>
        </w:rPr>
        <w:t xml:space="preserve"> </w:t>
      </w:r>
      <w:r>
        <w:rPr>
          <w:rStyle w:val="OtherTok"/>
        </w:rPr>
        <w:t xml:space="preserve">=</w:t>
      </w:r>
      <w:r>
        <w:rPr>
          <w:rStyle w:val="NormalTok"/>
        </w:rPr>
        <w:t xml:space="preserve"> </w:t>
      </w:r>
      <w:r>
        <w:rPr>
          <w:rStyle w:val="StringTok"/>
        </w:rPr>
        <w:t xml:space="preserve">"brpic"</w:t>
      </w:r>
      <w:r>
        <w:rPr>
          <w:rStyle w:val="NormalTok"/>
        </w:rPr>
        <w:t xml:space="preserve">,                </w:t>
      </w:r>
      <w:r>
        <w:rPr>
          <w:rStyle w:val="CommentTok"/>
        </w:rPr>
        <w:t xml:space="preserve"># Rename 'brpic' to 'BR'</w:t>
      </w:r>
      <w:r>
        <w:br/>
      </w:r>
      <w:r>
        <w:rPr>
          <w:rStyle w:val="NormalTok"/>
        </w:rPr>
        <w:t xml:space="preserve">    </w:t>
      </w:r>
      <w:r>
        <w:rPr>
          <w:rStyle w:val="StringTok"/>
        </w:rPr>
        <w:t xml:space="preserve">"targ_loc"</w:t>
      </w:r>
      <w:r>
        <w:rPr>
          <w:rStyle w:val="NormalTok"/>
        </w:rPr>
        <w:t xml:space="preserve"> </w:t>
      </w:r>
      <w:r>
        <w:rPr>
          <w:rStyle w:val="OtherTok"/>
        </w:rPr>
        <w:t xml:space="preserve">=</w:t>
      </w:r>
      <w:r>
        <w:rPr>
          <w:rStyle w:val="NormalTok"/>
        </w:rPr>
        <w:t xml:space="preserve"> </w:t>
      </w:r>
      <w:r>
        <w:rPr>
          <w:rStyle w:val="StringTok"/>
        </w:rPr>
        <w:t xml:space="preserve">"zone_name"</w:t>
      </w:r>
      <w:r>
        <w:rPr>
          <w:rStyle w:val="NormalTok"/>
        </w:rPr>
        <w:t xml:space="preserve">,       </w:t>
      </w:r>
      <w:r>
        <w:rPr>
          <w:rStyle w:val="CommentTok"/>
        </w:rPr>
        <w:t xml:space="preserve"># Rename 'Zone.Name' to 'targ_loc'</w:t>
      </w:r>
      <w:r>
        <w:br/>
      </w:r>
      <w:r>
        <w:rPr>
          <w:rStyle w:val="NormalTok"/>
        </w:rPr>
        <w:t xml:space="preserve">    </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  </w:t>
      </w:r>
      <w:r>
        <w:rPr>
          <w:rStyle w:val="CommentTok"/>
        </w:rPr>
        <w:t xml:space="preserve"># Rename 'Participant.Private.ID' to 'subject'</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NormalTok"/>
        </w:rPr>
        <w:t xml:space="preserve"> </w:t>
      </w:r>
      <w:r>
        <w:rPr>
          <w:rStyle w:val="StringTok"/>
        </w:rPr>
        <w:t xml:space="preserve">"spreadsheet_row"</w:t>
      </w:r>
      <w:r>
        <w:rPr>
          <w:rStyle w:val="NormalTok"/>
        </w:rPr>
        <w:t xml:space="preserve">,    </w:t>
      </w:r>
      <w:r>
        <w:rPr>
          <w:rStyle w:val="CommentTok"/>
        </w:rPr>
        <w:t xml:space="preserve"># Rename 'spreadsheet_row' to 'trial'</w:t>
      </w:r>
      <w:r>
        <w:br/>
      </w:r>
      <w:r>
        <w:rPr>
          <w:rStyle w:val="NormalTok"/>
        </w:rPr>
        <w:t xml:space="preserve">    </w:t>
      </w:r>
      <w:r>
        <w:rPr>
          <w:rStyle w:val="StringTok"/>
        </w:rPr>
        <w:t xml:space="preserve">"acc"</w:t>
      </w:r>
      <w:r>
        <w:rPr>
          <w:rStyle w:val="NormalTok"/>
        </w:rPr>
        <w:t xml:space="preserve"> </w:t>
      </w:r>
      <w:r>
        <w:rPr>
          <w:rStyle w:val="OtherTok"/>
        </w:rPr>
        <w:t xml:space="preserve">=</w:t>
      </w:r>
      <w:r>
        <w:rPr>
          <w:rStyle w:val="NormalTok"/>
        </w:rPr>
        <w:t xml:space="preserve"> </w:t>
      </w:r>
      <w:r>
        <w:rPr>
          <w:rStyle w:val="StringTok"/>
        </w:rPr>
        <w:t xml:space="preserve">"correct"</w:t>
      </w:r>
      <w:r>
        <w:rPr>
          <w:rStyle w:val="NormalTok"/>
        </w:rPr>
        <w:t xml:space="preserve">,              </w:t>
      </w:r>
      <w:r>
        <w:rPr>
          <w:rStyle w:val="CommentTok"/>
        </w:rPr>
        <w:t xml:space="preserve"># Rename 'Correct' to 'acc' (accuracy)</w:t>
      </w:r>
      <w:r>
        <w:br/>
      </w:r>
      <w:r>
        <w:rPr>
          <w:rStyle w:val="NormalTok"/>
        </w:rPr>
        <w:t xml:space="preserve">    </w:t>
      </w:r>
      <w:r>
        <w:rPr>
          <w:rStyle w:val="StringTok"/>
        </w:rPr>
        <w:t xml:space="preserve">"RT"</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CommentTok"/>
        </w:rPr>
        <w:t xml:space="preserve"># Rename 'Reaction.Time'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w:t>
      </w:r>
      <w:r>
        <w:rPr>
          <w:rStyle w:val="FunctionTok"/>
        </w:rPr>
        <w:t xml:space="preserve">as.factor</w:t>
      </w:r>
      <w:r>
        <w:rPr>
          <w:rStyle w:val="NormalTok"/>
        </w:rPr>
        <w:t xml:space="preserve">(subject),</w:t>
      </w:r>
      <w:r>
        <w:br/>
      </w:r>
      <w:r>
        <w:rPr>
          <w:rStyle w:val="NormalTok"/>
        </w:rPr>
        <w:t xml:space="preserve">         </w:t>
      </w:r>
      <w:r>
        <w:rPr>
          <w:rStyle w:val="AttributeTok"/>
        </w:rPr>
        <w:t xml:space="preserve">trial=</w:t>
      </w:r>
      <w:r>
        <w:rPr>
          <w:rStyle w:val="FunctionTok"/>
        </w:rPr>
        <w:t xml:space="preserve">as.factor</w:t>
      </w:r>
      <w:r>
        <w:rPr>
          <w:rStyle w:val="NormalTok"/>
        </w:rPr>
        <w:t xml:space="preserve">(trial))</w:t>
      </w:r>
    </w:p>
    <w:bookmarkEnd w:id="60"/>
    <w:bookmarkStart w:id="65" w:name="audio-onset"/>
    <w:p>
      <w:pPr>
        <w:pStyle w:val="Heading3"/>
      </w:pPr>
      <w:r>
        <w:t xml:space="preserve">Audio onset</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w:t>
      </w:r>
      <w:r>
        <w:t xml:space="preserve">AUDIO PLAY EVENT FIRED</w:t>
      </w:r>
      <w:r>
        <w:t xml:space="preserve">”</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64"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2" name="Picture"/>
            <a:graphic>
              <a:graphicData uri="http://schemas.openxmlformats.org/drawingml/2006/picture">
                <pic:pic>
                  <pic:nvPicPr>
                    <pic:cNvPr descr="Figures/audio_settings.jpg" id="63" name="Picture"/>
                    <pic:cNvPicPr>
                      <a:picLocks noChangeArrowheads="1" noChangeAspect="1"/>
                    </pic:cNvPicPr>
                  </pic:nvPicPr>
                  <pic:blipFill>
                    <a:blip r:embed="rId61"/>
                    <a:stretch>
                      <a:fillRect/>
                    </a:stretch>
                  </pic:blipFill>
                  <pic:spPr bwMode="auto">
                    <a:xfrm>
                      <a:off x="0" y="0"/>
                      <a:ext cx="5943600" cy="5810839"/>
                    </a:xfrm>
                    <a:prstGeom prst="rect">
                      <a:avLst/>
                    </a:prstGeom>
                    <a:noFill/>
                    <a:ln w="9525">
                      <a:noFill/>
                      <a:headEnd/>
                      <a:tailEnd/>
                    </a:ln>
                  </pic:spPr>
                </pic:pic>
              </a:graphicData>
            </a:graphic>
          </wp:inline>
        </w:drawing>
      </w:r>
    </w:p>
    <w:bookmarkEnd w:id="64"/>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bookmarkEnd w:id="65"/>
    <w:bookmarkStart w:id="67" w:name="trial-removal"/>
    <w:p>
      <w:pPr>
        <w:pStyle w:val="Heading3"/>
      </w:pPr>
      <w:r>
        <w:t xml:space="preserve">Trial removal</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66" w:name="tbl-partL2"/>
    <w:p>
      <w:pPr>
        <w:pStyle w:val="FigureTitle"/>
      </w:pPr>
      <w:r>
        <w:t xml:space="preserve">Table 2</w:t>
      </w:r>
    </w:p>
    <w:p>
      <w:pPr>
        <w:pStyle w:val="Caption"/>
      </w:pPr>
      <w:r>
        <w:t xml:space="preserve">Participants with less than 100 trials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subject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ntrials</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12102265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12112152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r>
      <w:tr>
        <w:trPr>
          <w:trHeight w:val="360"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12213965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bl>
    <w:bookmarkEnd w:id="66"/>
    <w:p>
      <w:pPr>
        <w:pStyle w:val="AfterWithoutNote"/>
      </w:pPr>
      <w:r>
        <w:t xml:space="preserve">Let’s remove them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bookmarkEnd w:id="67"/>
    <w:bookmarkStart w:id="68" w:name="low-accuracy"/>
    <w:p>
      <w:pPr>
        <w:pStyle w:val="Heading3"/>
      </w:pPr>
      <w:r>
        <w:t xml:space="preserve">Low accuracy</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bookmarkEnd w:id="68"/>
    <w:bookmarkStart w:id="69" w:name="rts"/>
    <w:p>
      <w:pPr>
        <w:pStyle w:val="Heading3"/>
      </w:pPr>
      <w:r>
        <w:t xml:space="preserve">RTs</w:t>
      </w:r>
    </w:p>
    <w:p>
      <w:pPr>
        <w:pStyle w:val="FirstParagraph"/>
      </w:pPr>
      <w:r>
        <w:t xml:space="preserve">There is much debate on what the proper procedure is to use to remove RTs that will bias the data the least, and if they should even be removed. Because of the ambiguity We do not remove RTs in this experiment.</w:t>
      </w:r>
    </w:p>
    <w:bookmarkEnd w:id="69"/>
    <w:bookmarkStart w:id="74" w:name="sampling-rate"/>
    <w:p>
      <w:pPr>
        <w:pStyle w:val="Heading3"/>
      </w:pPr>
      <w:r>
        <w:t xml:space="preserve">Sampling Rate</w:t>
      </w:r>
    </w:p>
    <w:p>
      <w:pPr>
        <w:pStyle w:val="FirstParagraph"/>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Groups:   subject [60]</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Median Sampling Rate by Subject:</w:t>
      </w:r>
      <w:r>
        <w:br/>
      </w:r>
      <w:r>
        <w:rPr>
          <w:rStyle w:val="VerbatimChar"/>
        </w:rPr>
        <w:t xml:space="preserve"># A tibble: 60 × 2</w:t>
      </w:r>
      <w:r>
        <w:br/>
      </w:r>
      <w:r>
        <w:rPr>
          <w:rStyle w:val="VerbatimChar"/>
        </w:rPr>
        <w:t xml:space="preserve">   subject  med_SR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3"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5943600"/>
            <wp:effectExtent b="0" l="0" r="0" t="0"/>
            <wp:docPr descr="" title="" id="71" name="Picture"/>
            <a:graphic>
              <a:graphicData uri="http://schemas.openxmlformats.org/drawingml/2006/picture">
                <pic:pic>
                  <pic:nvPicPr>
                    <pic:cNvPr descr="L2_VWP_webcam_ET_files/figure-docx/fig-samprate-L2-1.png" id="72" name="Picture"/>
                    <pic:cNvPicPr>
                      <a:picLocks noChangeArrowheads="1" noChangeAspect="1"/>
                    </pic:cNvPicPr>
                  </pic:nvPicPr>
                  <pic:blipFill>
                    <a:blip r:embed="rId70"/>
                    <a:stretch>
                      <a:fillRect/>
                    </a:stretch>
                  </pic:blipFill>
                  <pic:spPr bwMode="auto">
                    <a:xfrm>
                      <a:off x="0" y="0"/>
                      <a:ext cx="5943600" cy="5943600"/>
                    </a:xfrm>
                    <a:prstGeom prst="rect">
                      <a:avLst/>
                    </a:prstGeom>
                    <a:noFill/>
                    <a:ln w="9525">
                      <a:noFill/>
                      <a:headEnd/>
                      <a:tailEnd/>
                    </a:ln>
                  </pic:spPr>
                </pic:pic>
              </a:graphicData>
            </a:graphic>
          </wp:inline>
        </w:drawing>
      </w:r>
    </w:p>
    <w:bookmarkEnd w:id="73"/>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subject_sampling_rate_L2 </w:t>
      </w:r>
      <w:r>
        <w:rPr>
          <w:rStyle w:val="OtherTok"/>
        </w:rPr>
        <w:t xml:space="preserve">&lt;-</w:t>
      </w:r>
      <w:r>
        <w:rPr>
          <w:rStyle w:val="NormalTok"/>
        </w:rPr>
        <w:t xml:space="preserve"> samp_rate_L2</w:t>
      </w:r>
      <w:r>
        <w:rPr>
          <w:rStyle w:val="SpecialCharTok"/>
        </w:rPr>
        <w:t xml:space="preserve">$</w:t>
      </w:r>
      <w:r>
        <w:rPr>
          <w:rStyle w:val="NormalTok"/>
        </w:rPr>
        <w:t xml:space="preserve">median_SR_by_subject  </w:t>
      </w:r>
      <w:r>
        <w:rPr>
          <w:rStyle w:val="CommentTok"/>
        </w:rPr>
        <w:t xml:space="preserve"># Sampling rate by subject</w:t>
      </w:r>
      <w:r>
        <w:br/>
      </w:r>
      <w:r>
        <w:rPr>
          <w:rStyle w:val="NormalTok"/>
        </w:rPr>
        <w:t xml:space="preserve">trial_sampling_rate_L2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rPr>
          <w:rStyle w:val="NormalTok"/>
        </w:rPr>
        <w:t xml:space="preserve">trial_data_acc_clean_L2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(trial_data_acc_clean_L2</w:t>
      </w:r>
      <w:r>
        <w:rPr>
          <w:rStyle w:val="SpecialCharTok"/>
        </w:rPr>
        <w:t xml:space="preserve">$</w:t>
      </w:r>
      <w:r>
        <w:rPr>
          <w:rStyle w:val="NormalTok"/>
        </w:rPr>
        <w:t xml:space="preserve">subject)</w:t>
      </w:r>
      <w:r>
        <w:br/>
      </w:r>
      <w:r>
        <w:br/>
      </w:r>
      <w:r>
        <w:rPr>
          <w:rStyle w:val="NormalTok"/>
        </w:rPr>
        <w:t xml:space="preserve">target_data_with_subject_SR_L2 </w:t>
      </w:r>
      <w:r>
        <w:rPr>
          <w:rStyle w:val="OtherTok"/>
        </w:rPr>
        <w:t xml:space="preserve">&lt;-</w:t>
      </w:r>
      <w:r>
        <w:rPr>
          <w:rStyle w:val="NormalTok"/>
        </w:rPr>
        <w:t xml:space="preserve"> trial_data_acc_clean_L2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(subject_sampling_rate_L2,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NormalTok"/>
        </w:rPr>
        <w:t xml:space="preserve">target_data_with_subject_SR_L2</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(target_data_with_subject_SR_L2</w:t>
      </w:r>
      <w:r>
        <w:rPr>
          <w:rStyle w:val="SpecialCharTok"/>
        </w:rPr>
        <w:t xml:space="preserve">$</w:t>
      </w:r>
      <w:r>
        <w:rPr>
          <w:rStyle w:val="NormalTok"/>
        </w:rPr>
        <w:t xml:space="preserve">trial)</w:t>
      </w:r>
      <w:r>
        <w:br/>
      </w:r>
      <w:r>
        <w:br/>
      </w:r>
      <w:r>
        <w:rPr>
          <w:rStyle w:val="CommentTok"/>
        </w:rPr>
        <w:t xml:space="preserve"># Append the by-trial sampling rate to target_data (based on subject and trial)</w:t>
      </w:r>
      <w:r>
        <w:br/>
      </w:r>
      <w:r>
        <w:rPr>
          <w:rStyle w:val="NormalTok"/>
        </w:rPr>
        <w:t xml:space="preserve">target_data_with_full_SR_L2 </w:t>
      </w:r>
      <w:r>
        <w:rPr>
          <w:rStyle w:val="OtherTok"/>
        </w:rPr>
        <w:t xml:space="preserve">&lt;-</w:t>
      </w:r>
      <w:r>
        <w:rPr>
          <w:rStyle w:val="NormalTok"/>
        </w:rPr>
        <w:t xml:space="preserve"> target_data_with_subject_SR_L2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med_SR)</w:t>
      </w:r>
      <w:r>
        <w:rPr>
          <w:rStyle w:val="SpecialCharTok"/>
        </w:rPr>
        <w:t xml:space="preserve">%&gt;%</w:t>
      </w:r>
      <w:r>
        <w:br/>
      </w:r>
      <w:r>
        <w:rPr>
          <w:rStyle w:val="NormalTok"/>
        </w:rPr>
        <w:t xml:space="preserve">  </w:t>
      </w:r>
      <w:r>
        <w:rPr>
          <w:rStyle w:val="FunctionTok"/>
        </w:rPr>
        <w:t xml:space="preserve">full_join</w:t>
      </w:r>
      <w:r>
        <w:rPr>
          <w:rStyle w:val="NormalTok"/>
        </w:rPr>
        <w:t xml:space="preserve">(trial_sampling_rate_L2,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w:t>
      </w:r>
      <w:r>
        <w:t xml:space="preserve">both</w:t>
      </w:r>
      <w:r>
        <w:t xml:space="preserve">”</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w:t>
      </w:r>
      <w:r>
        <w:t xml:space="preserve">bad</w:t>
      </w:r>
      <w:r>
        <w:t xml:space="preserve">”</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bookmarkEnd w:id="74"/>
    <w:bookmarkStart w:id="79" w:name="out-of-bounds-outside-of-screen"/>
    <w:p>
      <w:pPr>
        <w:pStyle w:val="Heading3"/>
      </w:pPr>
      <w:r>
        <w:t xml:space="preserve">Out-of-bounds (outside of screen)</w:t>
      </w:r>
    </w:p>
    <w:p>
      <w:pPr>
        <w:pStyle w:val="FirstParagraph"/>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bookmarkStart w:id="78" w:name="tbl-oob-L2"/>
    <w:p>
      <w:pPr>
        <w:pStyle w:val="FigureTitle"/>
      </w:pPr>
      <w:r>
        <w:t xml:space="preserve">Table 3</w:t>
      </w:r>
    </w:p>
    <w:p>
      <w:pPr>
        <w:pStyle w:val="Caption"/>
      </w:pPr>
      <w:r>
        <w:t xml:space="preserve">Out of bounds gaze statistics</w:t>
      </w:r>
    </w:p>
    <w:p>
      <w:pPr>
        <w:pStyle w:val="FigureWithoutNote"/>
      </w:pPr>
      <w:r>
        <w:drawing>
          <wp:inline>
            <wp:extent cx="5943600" cy="8301289"/>
            <wp:effectExtent b="0" l="0" r="0" t="0"/>
            <wp:docPr descr="" title="" id="76" name="Picture"/>
            <a:graphic>
              <a:graphicData uri="http://schemas.openxmlformats.org/drawingml/2006/picture">
                <pic:pic>
                  <pic:nvPicPr>
                    <pic:cNvPr descr="Figures/oob_data_L2.png" id="77" name="Picture"/>
                    <pic:cNvPicPr>
                      <a:picLocks noChangeArrowheads="1" noChangeAspect="1"/>
                    </pic:cNvPicPr>
                  </pic:nvPicPr>
                  <pic:blipFill>
                    <a:blip r:embed="rId75"/>
                    <a:stretch>
                      <a:fillRect/>
                    </a:stretch>
                  </pic:blipFill>
                  <pic:spPr bwMode="auto">
                    <a:xfrm>
                      <a:off x="0" y="0"/>
                      <a:ext cx="5943600" cy="8301289"/>
                    </a:xfrm>
                    <a:prstGeom prst="rect">
                      <a:avLst/>
                    </a:prstGeom>
                    <a:noFill/>
                    <a:ln w="9525">
                      <a:noFill/>
                      <a:headEnd/>
                      <a:tailEnd/>
                    </a:ln>
                  </pic:spPr>
                </pic:pic>
              </a:graphicData>
            </a:graphic>
          </wp:inline>
        </w:drawing>
      </w:r>
    </w:p>
    <w:bookmarkEnd w:id="78"/>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79"/>
    <w:bookmarkEnd w:id="80"/>
    <w:bookmarkStart w:id="83" w:name="eye-tracking-data-1"/>
    <w:p>
      <w:pPr>
        <w:pStyle w:val="Heading2"/>
      </w:pPr>
      <w:r>
        <w:t xml:space="preserve">Eye-tracking data</w:t>
      </w:r>
    </w:p>
    <w:bookmarkStart w:id="81" w:name="convergence-and-confidence"/>
    <w:p>
      <w:pPr>
        <w:pStyle w:val="Heading3"/>
      </w:pPr>
      <w:r>
        <w:t xml:space="preserve">Convergence and confidence</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bookmarkEnd w:id="81"/>
    <w:bookmarkStart w:id="82" w:name="combining-eye-and-trial-level-data"/>
    <w:p>
      <w:pPr>
        <w:pStyle w:val="Heading3"/>
      </w:pPr>
      <w:r>
        <w:t xml:space="preserve">Combining eye and trial-level data</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82"/>
    <w:bookmarkEnd w:id="83"/>
    <w:bookmarkStart w:id="97" w:name="areas-of-interest"/>
    <w:p>
      <w:pPr>
        <w:pStyle w:val="Heading2"/>
      </w:pPr>
      <w:r>
        <w:t xml:space="preserve">Areas of Interest</w:t>
      </w:r>
    </w:p>
    <w:bookmarkStart w:id="96"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bookmarkStart w:id="87" w:name="tbl-quadcor"/>
    <w:p>
      <w:pPr>
        <w:pStyle w:val="FigureTitle"/>
      </w:pPr>
      <w:r>
        <w:t xml:space="preserve">Table 4</w:t>
      </w:r>
    </w:p>
    <w:p>
      <w:pPr>
        <w:pStyle w:val="Caption"/>
      </w:pPr>
      <w:r>
        <w:t xml:space="preserve">Quandrant coordinates in standardized space</w:t>
      </w:r>
    </w:p>
    <w:p>
      <w:pPr>
        <w:pStyle w:val="FigureWithoutNote"/>
      </w:pPr>
      <w:r>
        <w:drawing>
          <wp:inline>
            <wp:extent cx="5943600" cy="1046147"/>
            <wp:effectExtent b="0" l="0" r="0" t="0"/>
            <wp:docPr descr="" title="" id="85" name="Picture"/>
            <a:graphic>
              <a:graphicData uri="http://schemas.openxmlformats.org/drawingml/2006/picture">
                <pic:pic>
                  <pic:nvPicPr>
                    <pic:cNvPr descr="Figures/aoi-quad.png" id="86" name="Picture"/>
                    <pic:cNvPicPr>
                      <a:picLocks noChangeArrowheads="1" noChangeAspect="1"/>
                    </pic:cNvPicPr>
                  </pic:nvPicPr>
                  <pic:blipFill>
                    <a:blip r:embed="rId84"/>
                    <a:stretch>
                      <a:fillRect/>
                    </a:stretch>
                  </pic:blipFill>
                  <pic:spPr bwMode="auto">
                    <a:xfrm>
                      <a:off x="0" y="0"/>
                      <a:ext cx="5943600" cy="1046147"/>
                    </a:xfrm>
                    <a:prstGeom prst="rect">
                      <a:avLst/>
                    </a:prstGeom>
                    <a:noFill/>
                    <a:ln w="9525">
                      <a:noFill/>
                      <a:headEnd/>
                      <a:tailEnd/>
                    </a:ln>
                  </pic:spPr>
                </pic:pic>
              </a:graphicData>
            </a:graphic>
          </wp:inline>
        </w:drawing>
      </w:r>
    </w:p>
    <w:bookmarkEnd w:id="87"/>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91"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89" name="Picture"/>
            <a:graphic>
              <a:graphicData uri="http://schemas.openxmlformats.org/drawingml/2006/picture">
                <pic:pic>
                  <pic:nvPicPr>
                    <pic:cNvPr descr="L2_VWP_webcam_ET_files/figure-docx/fig-quads-1.png" id="90" name="Picture"/>
                    <pic:cNvPicPr>
                      <a:picLocks noChangeArrowheads="1" noChangeAspect="1"/>
                    </pic:cNvPicPr>
                  </pic:nvPicPr>
                  <pic:blipFill>
                    <a:blip r:embed="rId88"/>
                    <a:stretch>
                      <a:fillRect/>
                    </a:stretch>
                  </pic:blipFill>
                  <pic:spPr bwMode="auto">
                    <a:xfrm>
                      <a:off x="0" y="0"/>
                      <a:ext cx="5943600" cy="5943600"/>
                    </a:xfrm>
                    <a:prstGeom prst="rect">
                      <a:avLst/>
                    </a:prstGeom>
                    <a:noFill/>
                    <a:ln w="9525">
                      <a:noFill/>
                      <a:headEnd/>
                      <a:tailEnd/>
                    </a:ln>
                  </pic:spPr>
                </pic:pic>
              </a:graphicData>
            </a:graphic>
          </wp:inline>
        </w:drawing>
      </w:r>
    </w:p>
    <w:bookmarkEnd w:id="91"/>
    <w:bookmarkStart w:id="95"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93" name="Picture"/>
            <a:graphic>
              <a:graphicData uri="http://schemas.openxmlformats.org/drawingml/2006/picture">
                <pic:pic>
                  <pic:nvPicPr>
                    <pic:cNvPr descr="L2_VWP_webcam_ET_files/figure-docx/fig-fixquads-1.png" id="94" name="Picture"/>
                    <pic:cNvPicPr>
                      <a:picLocks noChangeArrowheads="1" noChangeAspect="1"/>
                    </pic:cNvPicPr>
                  </pic:nvPicPr>
                  <pic:blipFill>
                    <a:blip r:embed="rId92"/>
                    <a:stretch>
                      <a:fillRect/>
                    </a:stretch>
                  </pic:blipFill>
                  <pic:spPr bwMode="auto">
                    <a:xfrm>
                      <a:off x="0" y="0"/>
                      <a:ext cx="5943600" cy="5943600"/>
                    </a:xfrm>
                    <a:prstGeom prst="rect">
                      <a:avLst/>
                    </a:prstGeom>
                    <a:noFill/>
                    <a:ln w="9525">
                      <a:noFill/>
                      <a:headEnd/>
                      <a:tailEnd/>
                    </a:ln>
                  </pic:spPr>
                </pic:pic>
              </a:graphicData>
            </a:graphic>
          </wp:inline>
        </w:drawing>
      </w:r>
    </w:p>
    <w:bookmarkEnd w:id="95"/>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w:t>
      </w:r>
      <w:r>
        <w:t xml:space="preserve">gathered</w:t>
      </w:r>
      <w:r>
        <w:t xml:space="preserve">”</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frirther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96"/>
    <w:bookmarkEnd w:id="97"/>
    <w:bookmarkStart w:id="103" w:name="samples-to-bins"/>
    <w:p>
      <w:pPr>
        <w:pStyle w:val="Heading2"/>
      </w:pPr>
      <w:r>
        <w:t xml:space="preserve">Samples to bins</w:t>
      </w:r>
    </w:p>
    <w:bookmarkStart w:id="102"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it is sometimes not needed to downsample the data.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we indicate other variables for aggregation, such as condition,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bookmarkStart w:id="101" w:name="tbl-agg-sub"/>
    <w:p>
      <w:pPr>
        <w:pStyle w:val="FigureTitle"/>
      </w:pPr>
      <w:r>
        <w:t xml:space="preserve">Table 5</w:t>
      </w:r>
    </w:p>
    <w:p>
      <w:pPr>
        <w:pStyle w:val="Caption"/>
      </w:pPr>
      <w:r>
        <w:t xml:space="preserve">Aggregated proportion looks for each condition in each 100 ms time bin</w:t>
      </w:r>
    </w:p>
    <w:p>
      <w:pPr>
        <w:pStyle w:val="FigureWithoutNote"/>
      </w:pPr>
      <w:r>
        <w:drawing>
          <wp:inline>
            <wp:extent cx="5943600" cy="2728494"/>
            <wp:effectExtent b="0" l="0" r="0" t="0"/>
            <wp:docPr descr="" title="" id="99" name="Picture"/>
            <a:graphic>
              <a:graphicData uri="http://schemas.openxmlformats.org/drawingml/2006/picture">
                <pic:pic>
                  <pic:nvPicPr>
                    <pic:cNvPr descr="Figures/downsample_table.png" id="100" name="Picture"/>
                    <pic:cNvPicPr>
                      <a:picLocks noChangeArrowheads="1" noChangeAspect="1"/>
                    </pic:cNvPicPr>
                  </pic:nvPicPr>
                  <pic:blipFill>
                    <a:blip r:embed="rId98"/>
                    <a:stretch>
                      <a:fillRect/>
                    </a:stretch>
                  </pic:blipFill>
                  <pic:spPr bwMode="auto">
                    <a:xfrm>
                      <a:off x="0" y="0"/>
                      <a:ext cx="5943600" cy="2728494"/>
                    </a:xfrm>
                    <a:prstGeom prst="rect">
                      <a:avLst/>
                    </a:prstGeom>
                    <a:noFill/>
                    <a:ln w="9525">
                      <a:noFill/>
                      <a:headEnd/>
                      <a:tailEnd/>
                    </a:ln>
                  </pic:spPr>
                </pic:pic>
              </a:graphicData>
            </a:graphic>
          </wp:inline>
        </w:drawing>
      </w:r>
    </w:p>
    <w:bookmarkEnd w:id="101"/>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w:t>
      </w:r>
    </w:p>
    <w:p>
      <w:pPr>
        <w:pStyle w:val="SourceCode"/>
      </w:pPr>
      <w:r>
        <w:rPr>
          <w:rStyle w:val="CommentTok"/>
        </w:rPr>
        <w:t xml:space="preserve"># add subject-level data</w:t>
      </w:r>
      <w:r>
        <w:br/>
      </w:r>
      <w:r>
        <w:rPr>
          <w:rStyle w:val="NormalTok"/>
        </w:rPr>
        <w:t xml:space="preserve">gaze_sub_L2_id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FirstParagraph"/>
      </w:pPr>
      <w:r>
        <w:t xml:space="preserve">Aggregation is an optional step.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w:t>
      </w:r>
      <w:r>
        <w:t xml:space="preserve">none.</w:t>
      </w:r>
      <w:r>
        <w:t xml:space="preserv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102"/>
    <w:bookmarkEnd w:id="103"/>
    <w:bookmarkStart w:id="108"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 Because these are</w:t>
      </w:r>
      <w:r>
        <w:t xml:space="preserve"> </w:t>
      </w:r>
      <w:r>
        <w:rPr>
          <w:rStyle w:val="VerbatimChar"/>
        </w:rPr>
        <w:t xml:space="preserve">ggplot</w:t>
      </w:r>
      <w:r>
        <w:t xml:space="preserve"> </w:t>
      </w:r>
      <w:r>
        <w:t xml:space="preserve">objects, you can further modify if you choose.</w:t>
      </w:r>
    </w:p>
    <w:bookmarkStart w:id="107" w:name="fig-L2comp"/>
    <w:p>
      <w:pPr>
        <w:pStyle w:val="FigureTitle"/>
      </w:pPr>
      <w:r>
        <w:t xml:space="preserve">Figure 7</w:t>
      </w:r>
    </w:p>
    <w:p>
      <w:pPr>
        <w:pStyle w:val="Caption"/>
      </w:pPr>
      <w:r>
        <w:t xml:space="preserve">Comparison of L2 competition effect in the Spanish-Spanish condition, the Spanish-English condition, and the no competition condition.</w:t>
      </w:r>
    </w:p>
    <w:p>
      <w:pPr>
        <w:pStyle w:val="FigureWithoutNote"/>
      </w:pPr>
      <w:r>
        <w:drawing>
          <wp:inline>
            <wp:extent cx="5943600" cy="3219450"/>
            <wp:effectExtent b="0" l="0" r="0" t="0"/>
            <wp:docPr descr="" title="" id="105" name="Picture"/>
            <a:graphic>
              <a:graphicData uri="http://schemas.openxmlformats.org/drawingml/2006/picture">
                <pic:pic>
                  <pic:nvPicPr>
                    <pic:cNvPr descr="L2_VWP_webcam_ET_files/figure-docx/fig-L2comp-1.png" id="106" name="Picture"/>
                    <pic:cNvPicPr>
                      <a:picLocks noChangeArrowheads="1" noChangeAspect="1"/>
                    </pic:cNvPicPr>
                  </pic:nvPicPr>
                  <pic:blipFill>
                    <a:blip r:embed="rId104"/>
                    <a:stretch>
                      <a:fillRect/>
                    </a:stretch>
                  </pic:blipFill>
                  <pic:spPr bwMode="auto">
                    <a:xfrm>
                      <a:off x="0" y="0"/>
                      <a:ext cx="5943600" cy="3219450"/>
                    </a:xfrm>
                    <a:prstGeom prst="rect">
                      <a:avLst/>
                    </a:prstGeom>
                    <a:noFill/>
                    <a:ln w="9525">
                      <a:noFill/>
                      <a:headEnd/>
                      <a:tailEnd/>
                    </a:ln>
                  </pic:spPr>
                </pic:pic>
              </a:graphicData>
            </a:graphic>
          </wp:inline>
        </w:drawing>
      </w:r>
    </w:p>
    <w:bookmarkEnd w:id="107"/>
    <w:bookmarkEnd w:id="108"/>
    <w:bookmarkStart w:id="117" w:name="gorilla-provided-coordinates"/>
    <w:p>
      <w:pPr>
        <w:pStyle w:val="Heading2"/>
      </w:pPr>
      <w:r>
        <w:t xml:space="preserve">Gorilla provided coordinates</w:t>
      </w:r>
    </w:p>
    <w:p>
      <w:pPr>
        <w:pStyle w:val="FirstParagraph"/>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 Gorilla provided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example,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the object from above</w:t>
      </w:r>
      <w:r>
        <w:t xml:space="preserve"> </w:t>
      </w:r>
      <w:r>
        <w:rPr>
          <w:rStyle w:val="VerbatimChar"/>
        </w:rPr>
        <w:t xml:space="preserve">vwp_paths_filtered_L2</w:t>
      </w:r>
      <w:r>
        <w:t xml:space="preserve"> </w:t>
      </w:r>
      <w:r>
        <w:t xml:space="preserve">that contains all our eye-tracking files and extract the coordinates we want. These are labeled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replacing the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bookmarkStart w:id="112" w:name="tbl-gorgaze"/>
    <w:p>
      <w:pPr>
        <w:pStyle w:val="FigureTitle"/>
      </w:pPr>
      <w:r>
        <w:t xml:space="preserve">Table 6</w:t>
      </w:r>
    </w:p>
    <w:p>
      <w:pPr>
        <w:pStyle w:val="Caption"/>
      </w:pPr>
      <w:r>
        <w:t xml:space="preserve">Gorilla provided gaze coordinates</w:t>
      </w:r>
    </w:p>
    <w:p>
      <w:pPr>
        <w:pStyle w:val="FigureWithoutNote"/>
      </w:pPr>
      <w:r>
        <w:drawing>
          <wp:inline>
            <wp:extent cx="5943600" cy="1464155"/>
            <wp:effectExtent b="0" l="0" r="0" t="0"/>
            <wp:docPr descr="" title="" id="110" name="Picture"/>
            <a:graphic>
              <a:graphicData uri="http://schemas.openxmlformats.org/drawingml/2006/picture">
                <pic:pic>
                  <pic:nvPicPr>
                    <pic:cNvPr descr="Figures/gorilla_cords.png" id="111" name="Picture"/>
                    <pic:cNvPicPr>
                      <a:picLocks noChangeArrowheads="1" noChangeAspect="1"/>
                    </pic:cNvPicPr>
                  </pic:nvPicPr>
                  <pic:blipFill>
                    <a:blip r:embed="rId109"/>
                    <a:stretch>
                      <a:fillRect/>
                    </a:stretch>
                  </pic:blipFill>
                  <pic:spPr bwMode="auto">
                    <a:xfrm>
                      <a:off x="0" y="0"/>
                      <a:ext cx="5943600" cy="1464155"/>
                    </a:xfrm>
                    <a:prstGeom prst="rect">
                      <a:avLst/>
                    </a:prstGeom>
                    <a:noFill/>
                    <a:ln w="9525">
                      <a:noFill/>
                      <a:headEnd/>
                      <a:tailEnd/>
                    </a:ln>
                  </pic:spPr>
                </pic:pic>
              </a:graphicData>
            </a:graphic>
          </wp:inline>
        </w:drawing>
      </w:r>
    </w:p>
    <w:bookmarkEnd w:id="112"/>
    <w:bookmarkStart w:id="116"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114" name="Picture"/>
            <a:graphic>
              <a:graphicData uri="http://schemas.openxmlformats.org/drawingml/2006/picture">
                <pic:pic>
                  <pic:nvPicPr>
                    <pic:cNvPr descr="L2_VWP_webcam_ET_files/figure-docx/fig-gor-L2-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bookmarkEnd w:id="116"/>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p>
    <w:bookmarkEnd w:id="117"/>
    <w:bookmarkStart w:id="122" w:name="Xe56f900ee9073cb08f248c58bc7413f5f8a275d"/>
    <w:p>
      <w:pPr>
        <w:pStyle w:val="Heading2"/>
      </w:pPr>
      <w:r>
        <w:t xml:space="preserve">Visualizing time course data with Gorilla coordinates</w:t>
      </w:r>
    </w:p>
    <w:bookmarkStart w:id="121"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19" name="Picture"/>
            <a:graphic>
              <a:graphicData uri="http://schemas.openxmlformats.org/drawingml/2006/picture">
                <pic:pic>
                  <pic:nvPicPr>
                    <pic:cNvPr descr="L2_VWP_webcam_ET_files/figure-docx/fig-L2comp-gor-1.png" id="120" name="Picture"/>
                    <pic:cNvPicPr>
                      <a:picLocks noChangeArrowheads="1" noChangeAspect="1"/>
                    </pic:cNvPicPr>
                  </pic:nvPicPr>
                  <pic:blipFill>
                    <a:blip r:embed="rId118"/>
                    <a:stretch>
                      <a:fillRect/>
                    </a:stretch>
                  </pic:blipFill>
                  <pic:spPr bwMode="auto">
                    <a:xfrm>
                      <a:off x="0" y="0"/>
                      <a:ext cx="5943600" cy="4953000"/>
                    </a:xfrm>
                    <a:prstGeom prst="rect">
                      <a:avLst/>
                    </a:prstGeom>
                    <a:noFill/>
                    <a:ln w="9525">
                      <a:noFill/>
                      <a:headEnd/>
                      <a:tailEnd/>
                    </a:ln>
                  </pic:spPr>
                </pic:pic>
              </a:graphicData>
            </a:graphic>
          </wp:inline>
        </w:drawing>
      </w:r>
    </w:p>
    <w:bookmarkEnd w:id="121"/>
    <w:p>
      <w:pPr>
        <w:pStyle w:val="AfterWithoutNote"/>
      </w:pPr>
      <w:r>
        <w:t xml:space="preserve">The Gorilla provided coordinates show a similar pattern to the quadrant approach. However, the time course looks a bit nosier given the smaller AOIs.</w:t>
      </w:r>
    </w:p>
    <w:bookmarkEnd w:id="122"/>
    <w:bookmarkStart w:id="129"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w:t>
      </w:r>
      <w:r>
        <w:t xml:space="preserve"> </w:t>
      </w:r>
      <w:r>
        <w:t xml:space="preserve">(</w:t>
      </w:r>
      <w:hyperlink w:anchor="ref-ito2023">
        <w:r>
          <w:rPr>
            <w:rStyle w:val="Hyperlink"/>
          </w:rPr>
          <w:t xml:space="preserve">Ito &amp; Knoeferle, 2023</w:t>
        </w:r>
      </w:hyperlink>
      <w:r>
        <w:t xml:space="preserve">;</w:t>
      </w:r>
      <w:r>
        <w:t xml:space="preserve"> </w:t>
      </w:r>
      <w:hyperlink w:anchor="ref-mcmurray">
        <w:r>
          <w:rPr>
            <w:rStyle w:val="Hyperlink"/>
          </w:rPr>
          <w:t xml:space="preserve">McMurray &amp; Kutlu, n.d.</w:t>
        </w:r>
      </w:hyperlink>
      <w:r>
        <w:t xml:space="preserve">;</w:t>
      </w:r>
      <w:r>
        <w:t xml:space="preserve"> </w:t>
      </w:r>
      <w:hyperlink w:anchor="ref-stone2021">
        <w:r>
          <w:rPr>
            <w:rStyle w:val="Hyperlink"/>
          </w:rPr>
          <w:t xml:space="preserve">Stone et al., 2021</w:t>
        </w:r>
      </w:hyperlink>
      <w:r>
        <w:t xml:space="preserve">)</w:t>
      </w:r>
      <w:r>
        <w:t xml:space="preserve">) and online</w:t>
      </w:r>
      <w:r>
        <w:t xml:space="preserv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what they should use. All methods have there strengths and weaknesses</w:t>
      </w:r>
      <w:r>
        <w:t xml:space="preserve"> </w:t>
      </w:r>
      <w:r>
        <w:t xml:space="preserve">(see</w:t>
      </w:r>
      <w:r>
        <w:t xml:space="preserve"> </w:t>
      </w:r>
      <w:hyperlink w:anchor="ref-ito2023">
        <w:r>
          <w:rPr>
            <w:rStyle w:val="Hyperlink"/>
          </w:rPr>
          <w:t xml:space="preserve">Ito &amp; Knoeferle, 2023</w:t>
        </w:r>
      </w:hyperlink>
      <w:r>
        <w:t xml:space="preserve">)</w:t>
      </w:r>
      <w:r>
        <w:t xml:space="preserve">. Nevertheless, statistical modeling should be guided by the questions researchers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28"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rPr>
          <w:rStyle w:val="VerbatimChar"/>
        </w:rPr>
        <w:t xml:space="preserve">foreach</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you find sample code to perform multilevel CPA in R (please see the Github repository for further code).</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processing </w:t>
      </w:r>
      <w:r>
        <w:br/>
      </w:r>
      <w:r>
        <w:br/>
      </w:r>
      <w:r>
        <w:rPr>
          <w:rStyle w:val="NormalTok"/>
        </w:rPr>
        <w:t xml:space="preserve">cpa.lme </w:t>
      </w:r>
      <w:r>
        <w:rPr>
          <w:rStyle w:val="OtherTok"/>
        </w:rPr>
        <w:t xml:space="preserve">=</w:t>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w:t>
      </w:r>
      <w:r>
        <w:rPr>
          <w:rStyle w:val="DecValTok"/>
        </w:rPr>
        <w:t xml:space="preserve">1000</w:t>
      </w:r>
      <w:r>
        <w:rPr>
          <w:rStyle w:val="NormalTok"/>
        </w:rPr>
        <w:t xml:space="preserve">, </w:t>
      </w:r>
      <w:r>
        <w:rPr>
          <w:rStyle w:val="AttributeTok"/>
        </w:rPr>
        <w:t xml:space="preserve">parallel=</w:t>
      </w:r>
      <w:r>
        <w:rPr>
          <w:rStyle w:val="ConstantTok"/>
        </w:rPr>
        <w:t xml:space="preserve">TRUE</w:t>
      </w:r>
      <w:r>
        <w:rPr>
          <w:rStyle w:val="NormalTok"/>
        </w:rPr>
        <w:t xml:space="preserve">)</w:t>
      </w:r>
    </w:p>
    <w:bookmarkStart w:id="123" w:name="tbl-clustermass"/>
    <w:p>
      <w:pPr>
        <w:pStyle w:val="FigureTitle"/>
      </w:pPr>
      <w:r>
        <w:t xml:space="preserve">Table 7</w:t>
      </w:r>
    </w:p>
    <w:p>
      <w:pPr>
        <w:pStyle w:val="Caption"/>
      </w:pPr>
      <w:r>
        <w:t xml:space="preserve">Clustermass statistics for the Spanish-Spanish condition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bin_end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time_end</w:t>
            </w:r>
          </w:p>
        </w:tc>
      </w:tr>
      <w:tr>
        <w:trPr>
          <w:trHeight w:val="360" w:hRule="auto"/>
        </w:trPr>
        body1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210.03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1,100.00</w:t>
            </w:r>
          </w:p>
        </w:tc>
      </w:tr>
    </w:tbl>
    <w:bookmarkEnd w:id="123"/>
    <w:p>
      <w:pPr>
        <w:pStyle w:val="AfterWithoutNote"/>
      </w:pPr>
      <w:r>
        <w:t xml:space="preserve">For the Spanish-Spanish condition, we observed one significant cluster from 500-1000 ms (see</w:t>
      </w:r>
      <w:r>
        <w:t xml:space="preserve"> </w:t>
      </w:r>
      <w:hyperlink w:anchor="tbl-clustermass">
        <w:r>
          <w:rPr>
            <w:rStyle w:val="Hyperlink"/>
          </w:rPr>
          <w:t xml:space="preserve">Table 7</w:t>
        </w:r>
      </w:hyperlink>
      <w:r>
        <w:t xml:space="preserve">).</w:t>
      </w:r>
      <w:r>
        <w:t xml:space="preserve"> </w:t>
      </w:r>
      <w:hyperlink w:anchor="fig-clustermass">
        <w:r>
          <w:rPr>
            <w:rStyle w:val="Hyperlink"/>
          </w:rPr>
          <w:t xml:space="preserve">Figure 10</w:t>
        </w:r>
      </w:hyperlink>
      <w:r>
        <w:t xml:space="preserve"> </w:t>
      </w:r>
      <w:r>
        <w:t xml:space="preserve">highlights the significant cluster (shaded) for both the Spanish-Spanish and Spanish-English conditions. We see there is one significant cluster in both conditions.</w:t>
      </w:r>
    </w:p>
    <w:bookmarkStart w:id="127"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25" name="Picture"/>
            <a:graphic>
              <a:graphicData uri="http://schemas.openxmlformats.org/drawingml/2006/picture">
                <pic:pic>
                  <pic:nvPicPr>
                    <pic:cNvPr descr="L2_VWP_webcam_ET_files/figure-docx/fig-clustermass-1.png" id="126" name="Picture"/>
                    <pic:cNvPicPr>
                      <a:picLocks noChangeArrowheads="1" noChangeAspect="1"/>
                    </pic:cNvPicPr>
                  </pic:nvPicPr>
                  <pic:blipFill>
                    <a:blip r:embed="rId124"/>
                    <a:stretch>
                      <a:fillRect/>
                    </a:stretch>
                  </pic:blipFill>
                  <pic:spPr bwMode="auto">
                    <a:xfrm>
                      <a:off x="0" y="0"/>
                      <a:ext cx="5943600" cy="8915400"/>
                    </a:xfrm>
                    <a:prstGeom prst="rect">
                      <a:avLst/>
                    </a:prstGeom>
                    <a:noFill/>
                    <a:ln w="9525">
                      <a:noFill/>
                      <a:headEnd/>
                      <a:tailEnd/>
                    </a:ln>
                  </pic:spPr>
                </pic:pic>
              </a:graphicData>
            </a:graphic>
          </wp:inline>
        </w:drawing>
      </w:r>
    </w:p>
    <w:bookmarkEnd w:id="127"/>
    <w:bookmarkEnd w:id="128"/>
    <w:bookmarkEnd w:id="129"/>
    <w:bookmarkEnd w:id="130"/>
    <w:bookmarkStart w:id="145"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visual world webcam eye-tracking, using some of the best practices laid out in other work (e.g.,</w:t>
      </w:r>
      <w:r>
        <w:t xml:space="preserve">(</w:t>
      </w:r>
      <w:hyperlink w:anchor="ref-bramlett2024">
        <w:r>
          <w:rPr>
            <w:rStyle w:val="Hyperlink"/>
          </w:rPr>
          <w:t xml:space="preserve">Bramlett &amp; Wiener, 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VWP experiment online using webcam-based eye-tracking.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within and between L2/L1 competition can be found in a spoken word recognition VWP experiment online (one of the first studies to do so), but also provide insight in how to run VWP studies online and the issues associated with it.</w:t>
      </w:r>
    </w:p>
    <w:p>
      <w:pPr>
        <w:pStyle w:val="BodyText"/>
      </w:pPr>
      <w:r>
        <w:t xml:space="preserve">Our conceptual replication findings are highly encouraging, demonstrating competition effects both within (Spanish-Spanish condition) and across languages (Spanish-English condition), closely paralleling the results reported by</w:t>
      </w:r>
      <w:r>
        <w:t xml:space="preserve"> </w:t>
      </w:r>
      <w:r>
        <w:t xml:space="preserve">Sarrett et al. (</w:t>
      </w:r>
      <w:hyperlink w:anchor="ref-sarrett2022">
        <w:r>
          <w:rPr>
            <w:rStyle w:val="Hyperlink"/>
          </w:rPr>
          <w:t xml:space="preserve">2022</w:t>
        </w:r>
      </w:hyperlink>
      <w:r>
        <w:t xml:space="preserve">)</w:t>
      </w:r>
      <w:r>
        <w:t xml:space="preserve">. However, several important methodological and sample differences warrant discussion.</w:t>
      </w:r>
    </w:p>
    <w:p>
      <w:pPr>
        <w:pStyle w:val="BodyText"/>
      </w:pPr>
      <w:r>
        <w:t xml:space="preserve">A key methodological difference between our study and</w:t>
      </w:r>
      <w:r>
        <w:t xml:space="preserve"> </w:t>
      </w:r>
      <w:r>
        <w:t xml:space="preserve">Sarrett et al. (</w:t>
      </w:r>
      <w:hyperlink w:anchor="ref-sarrett2022">
        <w:r>
          <w:rPr>
            <w:rStyle w:val="Hyperlink"/>
          </w:rPr>
          <w:t xml:space="preserve">2022</w:t>
        </w:r>
      </w:hyperlink>
      <w:r>
        <w:t xml:space="preserve">)</w:t>
      </w:r>
      <w:r>
        <w:t xml:space="preserve"> </w:t>
      </w:r>
      <w:r>
        <w:t xml:space="preserve">lies in the approach used to analyze the time course of competition. While</w:t>
      </w:r>
      <w:r>
        <w:t xml:space="preserve"> </w:t>
      </w:r>
      <w:r>
        <w:t xml:space="preserve">Sarrett et al. (</w:t>
      </w:r>
      <w:hyperlink w:anchor="ref-sarrett2022">
        <w:r>
          <w:rPr>
            <w:rStyle w:val="Hyperlink"/>
          </w:rPr>
          <w:t xml:space="preserve">2022</w:t>
        </w:r>
      </w:hyperlink>
      <w:r>
        <w:t xml:space="preserve">)</w:t>
      </w:r>
      <w:r>
        <w:t xml:space="preserve"> </w:t>
      </w:r>
      <w:r>
        <w:t xml:space="preserve">employed a non-linear curve-fitting method</w:t>
      </w:r>
      <w:r>
        <w:t xml:space="preserve"> </w:t>
      </w:r>
      <w:r>
        <w:t xml:space="preserve">(</w:t>
      </w:r>
      <w:hyperlink w:anchor="ref-mcmurray2010">
        <w:r>
          <w:rPr>
            <w:rStyle w:val="Hyperlink"/>
          </w:rPr>
          <w:t xml:space="preserve">McMurray et al., 2010</w:t>
        </w:r>
      </w:hyperlink>
      <w:r>
        <w:t xml:space="preserve">)</w:t>
      </w:r>
      <w:r>
        <w:t xml:space="preserve">, we used CPA. This methodological distinction limits our ability to address similar temporal questions. Nonetheless, the overall temporal patterns are strikingly similar. For instance, our CPA revealed a significant cluster starting at 500 ms, whereas</w:t>
      </w:r>
      <w:r>
        <w:t xml:space="preserve"> </w:t>
      </w:r>
      <w:r>
        <w:t xml:space="preserve">Sarrett et al. (</w:t>
      </w:r>
      <w:hyperlink w:anchor="ref-sarrett2022">
        <w:r>
          <w:rPr>
            <w:rStyle w:val="Hyperlink"/>
          </w:rPr>
          <w:t xml:space="preserve">2022</w:t>
        </w:r>
      </w:hyperlink>
      <w:r>
        <w:t xml:space="preserve">)</w:t>
      </w:r>
      <w:r>
        <w:t xml:space="preserve"> </w:t>
      </w:r>
      <w:r>
        <w:t xml:space="preserve">identified competition effects emerging at approximately 400 ms. This indicates a delay of about 100 ms in competition onset between lab-based and online eye-tracking data. This delay, while notable, reflects a significant improvement over previous webcam-based studies</w:t>
      </w:r>
      <w:r>
        <w:t xml:space="preserve"> </w:t>
      </w:r>
      <w:r>
        <w:t xml:space="preserve">(</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It is important to emphasize, however, that CPA clusters cannot reliably be used for temporal inferences without</w:t>
      </w:r>
      <w:r>
        <w:t xml:space="preserve"> </w:t>
      </w:r>
      <w:r>
        <w:t xml:space="preserve">(</w:t>
      </w:r>
      <w:hyperlink w:anchor="ref-fields2019">
        <w:r>
          <w:rPr>
            <w:rStyle w:val="Hyperlink"/>
          </w:rPr>
          <w:t xml:space="preserve">Fields &amp; Kuperberg, 2019</w:t>
        </w:r>
      </w:hyperlink>
      <w:r>
        <w:t xml:space="preserve">)</w:t>
      </w:r>
      <w:r>
        <w:t xml:space="preserve">.</w:t>
      </w:r>
    </w:p>
    <w:p>
      <w:pPr>
        <w:pStyle w:val="BodyText"/>
      </w:pPr>
      <w:r>
        <w:t xml:space="preserve">Our study also employed a truncated stimulus set, with only 250 trials compared to the 450 trials in</w:t>
      </w:r>
      <w:r>
        <w:t xml:space="preserve"> </w:t>
      </w:r>
      <w:r>
        <w:t xml:space="preserve">Sarrett et al. (</w:t>
      </w:r>
      <w:hyperlink w:anchor="ref-sarrett2022">
        <w:r>
          <w:rPr>
            <w:rStyle w:val="Hyperlink"/>
          </w:rPr>
          <w:t xml:space="preserve">2022</w:t>
        </w:r>
      </w:hyperlink>
      <w:r>
        <w:t xml:space="preserve">)</w:t>
      </w:r>
      <w:r>
        <w:t xml:space="preserve">. Despite this reduction, the number of trials in our study remains larger than most existing webcam-based studies. Even with the smaller set, we observed a similar pattern of competition effects in both the Spanish-Spanish and Spanish-English conditions, demonstrating the robustness of our findings.</w:t>
      </w:r>
    </w:p>
    <w:p>
      <w:pPr>
        <w:pStyle w:val="BodyText"/>
      </w:pPr>
      <w:r>
        <w:t xml:space="preserve">Another notable difference is the recruitment strategy and participant screening.</w:t>
      </w:r>
      <w:r>
        <w:t xml:space="preserve"> </w:t>
      </w:r>
      <w:r>
        <w:t xml:space="preserve">Sarrett et al. (</w:t>
      </w:r>
      <w:hyperlink w:anchor="ref-sarrett2022">
        <w:r>
          <w:rPr>
            <w:rStyle w:val="Hyperlink"/>
          </w:rPr>
          <w:t xml:space="preserve">2022</w:t>
        </w:r>
      </w:hyperlink>
      <w:r>
        <w:t xml:space="preserve">)</w:t>
      </w:r>
      <w:r>
        <w:t xml:space="preserve"> </w:t>
      </w:r>
      <w:r>
        <w:t xml:space="preserve">recruited participants from a Spanish college course and used the LexTALE-Spanish assessment</w:t>
      </w:r>
      <w:r>
        <w:t xml:space="preserve"> </w:t>
      </w:r>
      <w:r>
        <w:t xml:space="preserve">(</w:t>
      </w:r>
      <w:hyperlink w:anchor="ref-izura2014">
        <w:r>
          <w:rPr>
            <w:rStyle w:val="Hyperlink"/>
          </w:rPr>
          <w:t xml:space="preserve">Izura et al., 2014</w:t>
        </w:r>
      </w:hyperlink>
      <w:r>
        <w:t xml:space="preserve">)</w:t>
      </w:r>
      <w:r>
        <w:t xml:space="preserve"> </w:t>
      </w:r>
      <w:r>
        <w:t xml:space="preserve">to evaluate Spanish proficiency. In contrast, our data were collected via Prolific with limited filters, which only allowed us to screen for native language and experience with another language. This constraint limited our ability to refine participant selection further and likely contributed to differences in participant profiles. While</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learners with known language proficiency levels, our sample included a broader range of L2 speakers with limited checks on their language abilities. This may help explain why we did not observe a cohort competition effect that persisted across the time course as reported by</w:t>
      </w:r>
      <w:r>
        <w:t xml:space="preserve"> </w:t>
      </w:r>
      <w:r>
        <w:t xml:space="preserve">Sarrett et al. (</w:t>
      </w:r>
      <w:hyperlink w:anchor="ref-sarrett2022">
        <w:r>
          <w:rPr>
            <w:rStyle w:val="Hyperlink"/>
          </w:rPr>
          <w:t xml:space="preserve">2022</w:t>
        </w:r>
      </w:hyperlink>
      <w:r>
        <w:t xml:space="preserve">)</w:t>
      </w:r>
      <w:r>
        <w:t xml:space="preserve">.</w:t>
      </w:r>
    </w:p>
    <w:p>
      <w:pPr>
        <w:pStyle w:val="BodyText"/>
      </w:pPr>
      <w:r>
        <w:t xml:space="preserve">Overall, while the methodological and sample differences between the two studies are notable, the similarities in the competition effects observed within and across languages reinforce the robustness of these findings across different research settings. While we do not wish to downplay our findings, a more systematic study is needed to ensure there generalizability.</w:t>
      </w:r>
    </w:p>
    <w:bookmarkStart w:id="142"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is data loss due to poor calibration. In our study, we had to throw out ~40% of our data due to poor calibration. Other studies have shown numbers much higher (e.g., 73%;</w:t>
      </w:r>
      <w:r>
        <w:t xml:space="preserve"> </w:t>
      </w:r>
      <w:r>
        <w:t xml:space="preserve">(</w:t>
      </w:r>
      <w:hyperlink w:anchor="ref-slim2023">
        <w:r>
          <w:rPr>
            <w:rStyle w:val="Hyperlink"/>
          </w:rPr>
          <w:t xml:space="preserve">Slim &amp; Hartsuiker, 2023</w:t>
        </w:r>
      </w:hyperlink>
      <w:r>
        <w:t xml:space="preserve">)</w:t>
      </w:r>
      <w:r>
        <w:t xml:space="preserve">) and lower (20%;</w:t>
      </w:r>
      <w:r>
        <w:t xml:space="preserve"> </w:t>
      </w:r>
      <w:r>
        <w:t xml:space="preserve">(</w:t>
      </w:r>
      <w:hyperlink w:anchor="ref-prystauka2024">
        <w:r>
          <w:rPr>
            <w:rStyle w:val="Hyperlink"/>
          </w:rPr>
          <w:t xml:space="preserve">Prystauka et al., 2024</w:t>
        </w:r>
      </w:hyperlink>
      <w:r>
        <w:t xml:space="preserve">)</w:t>
      </w:r>
      <w:r>
        <w:t xml:space="preserve">.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39"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at our repo.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uses WebGazer.js</w:t>
      </w:r>
      <w:r>
        <w:t xml:space="preserve"> </w:t>
      </w:r>
      <w:r>
        <w:t xml:space="preserve">(</w:t>
      </w:r>
      <w:hyperlink w:anchor="ref-papoutsaki2016">
        <w:r>
          <w:rPr>
            <w:rStyle w:val="Hyperlink"/>
          </w:rPr>
          <w:t xml:space="preserve">Papoutsaki et al., 2016</w:t>
        </w:r>
      </w:hyperlink>
      <w:r>
        <w:t xml:space="preserve">)</w:t>
      </w:r>
      <w:r>
        <w:t xml:space="preserve"> </w:t>
      </w:r>
      <w:r>
        <w:t xml:space="preserve">to perform it’s eye tracking. It is unclear if poor calibration results from the noise introduced by participants’ environments/equipments or if it is a function of the method itself, or both. We have listed some equipment and environmental factors that may contribute to the poor performance; however it could be the algorithm itself that is poor. There are other experimental platforms out there that use different eye-tracking ML algorithms to perform webcam eye-tracking (e.g., labvanced;</w:t>
      </w:r>
      <w:r>
        <w:t xml:space="preserve"> </w:t>
      </w:r>
      <w:r>
        <w:t xml:space="preserve">(</w:t>
      </w:r>
      <w:hyperlink w:anchor="ref-kaduk2024">
        <w:r>
          <w:rPr>
            <w:rStyle w:val="Hyperlink"/>
          </w:rPr>
          <w:t xml:space="preserve">Kaduk et al., 2024</w:t>
        </w:r>
      </w:hyperlink>
      <w:r>
        <w:t xml:space="preserve">)</w:t>
      </w:r>
      <w:r>
        <w:t xml:space="preserve">). In labvanced, comapred to Gorilla they use head motion tracking that measures the distance of the participant in front the screen to ensure head movement is restricted to an acceptable range. Together this might make for a better eye-tracking experience with less data thrown out. This should be investigated further. </w:t>
      </w:r>
    </w:p>
    <w:bookmarkStart w:id="134" w:name="tbl-question"/>
    <w:p>
      <w:pPr>
        <w:pStyle w:val="FigureTitle"/>
      </w:pPr>
      <w:r>
        <w:t xml:space="preserve">Table 8</w:t>
      </w:r>
    </w:p>
    <w:p>
      <w:pPr>
        <w:pStyle w:val="Caption"/>
      </w:pPr>
      <w:r>
        <w:t xml:space="preserve">Eye-tracking questionaire items</w:t>
      </w:r>
    </w:p>
    <w:p>
      <w:pPr>
        <w:pStyle w:val="FigureWithoutNote"/>
      </w:pPr>
      <w:r>
        <w:drawing>
          <wp:inline>
            <wp:extent cx="5943600" cy="2003529"/>
            <wp:effectExtent b="0" l="0" r="0" t="0"/>
            <wp:docPr descr="" title="" id="132" name="Picture"/>
            <a:graphic>
              <a:graphicData uri="http://schemas.openxmlformats.org/drawingml/2006/picture">
                <pic:pic>
                  <pic:nvPicPr>
                    <pic:cNvPr descr="Figures/Quest.png" id="133" name="Picture"/>
                    <pic:cNvPicPr>
                      <a:picLocks noChangeArrowheads="1" noChangeAspect="1"/>
                    </pic:cNvPicPr>
                  </pic:nvPicPr>
                  <pic:blipFill>
                    <a:blip r:embed="rId131"/>
                    <a:stretch>
                      <a:fillRect/>
                    </a:stretch>
                  </pic:blipFill>
                  <pic:spPr bwMode="auto">
                    <a:xfrm>
                      <a:off x="0" y="0"/>
                      <a:ext cx="5943600" cy="2003529"/>
                    </a:xfrm>
                    <a:prstGeom prst="rect">
                      <a:avLst/>
                    </a:prstGeom>
                    <a:noFill/>
                    <a:ln w="9525">
                      <a:noFill/>
                      <a:headEnd/>
                      <a:tailEnd/>
                    </a:ln>
                  </pic:spPr>
                </pic:pic>
              </a:graphicData>
            </a:graphic>
          </wp:inline>
        </w:drawing>
      </w:r>
    </w:p>
    <w:bookmarkEnd w:id="134"/>
    <w:bookmarkStart w:id="138"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524797"/>
            <wp:effectExtent b="0" l="0" r="0" t="0"/>
            <wp:docPr descr="" title="" id="136" name="Picture"/>
            <a:graphic>
              <a:graphicData uri="http://schemas.openxmlformats.org/drawingml/2006/picture">
                <pic:pic>
                  <pic:nvPicPr>
                    <pic:cNvPr descr="Figures/poor_good_table.png" id="137" name="Picture"/>
                    <pic:cNvPicPr>
                      <a:picLocks noChangeArrowheads="1" noChangeAspect="1"/>
                    </pic:cNvPicPr>
                  </pic:nvPicPr>
                  <pic:blipFill>
                    <a:blip r:embed="rId135"/>
                    <a:stretch>
                      <a:fillRect/>
                    </a:stretch>
                  </pic:blipFill>
                  <pic:spPr bwMode="auto">
                    <a:xfrm>
                      <a:off x="0" y="0"/>
                      <a:ext cx="5943600" cy="1524797"/>
                    </a:xfrm>
                    <a:prstGeom prst="rect">
                      <a:avLst/>
                    </a:prstGeom>
                    <a:noFill/>
                    <a:ln w="9525">
                      <a:noFill/>
                      <a:headEnd/>
                      <a:tailEnd/>
                    </a:ln>
                  </pic:spPr>
                </pic:pic>
              </a:graphicData>
            </a:graphic>
          </wp:inline>
        </w:drawing>
      </w:r>
    </w:p>
    <w:bookmarkEnd w:id="138"/>
    <w:bookmarkEnd w:id="139"/>
    <w:bookmarkStart w:id="140" w:name="generalizability-to-other-platforms"/>
    <w:p>
      <w:pPr>
        <w:pStyle w:val="Heading3"/>
      </w:pPr>
      <w:r>
        <w:rPr>
          <w:b/>
          <w:bCs/>
        </w:rPr>
        <w:t xml:space="preserve">Generalizability to Other Platforms</w:t>
      </w:r>
    </w:p>
    <w:p>
      <w:pPr>
        <w:pStyle w:val="FirstParagraph"/>
      </w:pPr>
      <w:r>
        <w:t xml:space="preserve">We demonstrated how to analyze webcam eye-tracking data from a Gorilla experiment using WebGazer.js. While we were unable to validate this pipeline on other experimental platforms using WebGazer.js, such as PCIbex (Zehr &amp; Schwarz, 2014) or jsPsych</w:t>
      </w:r>
      <w:r>
        <w:t xml:space="preserve"> </w:t>
      </w:r>
      <w:r>
        <w:t xml:space="preserve">(</w:t>
      </w:r>
      <w:hyperlink w:anchor="ref-deleeuw2015">
        <w:r>
          <w:rPr>
            <w:rStyle w:val="Hyperlink"/>
          </w:rPr>
          <w:t xml:space="preserve">Leeuw, 2015</w:t>
        </w:r>
      </w:hyperlink>
      <w:r>
        <w:t xml:space="preserve">)</w:t>
      </w:r>
      <w:r>
        <w:t xml:space="preserve">,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rStyle w:val="VerbatimChar"/>
        </w:rPr>
        <w:t xml:space="preserve">webgazeR</w:t>
      </w:r>
      <w:r>
        <w:t xml:space="preserve">, ensuring that users can effectively analyze webcam eye-tracking data with our package.</w:t>
      </w:r>
    </w:p>
    <w:bookmarkEnd w:id="140"/>
    <w:bookmarkStart w:id="141" w:name="power"/>
    <w:p>
      <w:pPr>
        <w:pStyle w:val="Heading3"/>
      </w:pPr>
      <w:r>
        <w:rPr>
          <w:b/>
          <w:bCs/>
        </w:rPr>
        <w:t xml:space="preserve">Power</w:t>
      </w:r>
    </w:p>
    <w:p>
      <w:pPr>
        <w:pStyle w:val="FirstParagraph"/>
      </w:pPr>
      <w:r>
        <w:t xml:space="preserve">While we successfully demonstrated competition effects similar to Sarrett’s study, we did not conduct an a priori power analysis. With webcam eye-tracking, it has been recommended running twice the number of participants from the original sample, or powering the study to detect an effect size half as large as the original</w:t>
      </w:r>
      <w:r>
        <w:t xml:space="preserve"> </w:t>
      </w:r>
      <w:r>
        <w:t xml:space="preserve">(</w:t>
      </w:r>
      <w:hyperlink w:anchor="ref-slim2023">
        <w:r>
          <w:rPr>
            <w:rStyle w:val="Hyperlink"/>
          </w:rPr>
          <w:t xml:space="preserve">Slim &amp; Hartsuiker, 2023</w:t>
        </w:r>
      </w:hyperlink>
      <w:r>
        <w:t xml:space="preserve">; also see</w:t>
      </w:r>
      <w:r>
        <w:t xml:space="preserve"> </w:t>
      </w:r>
      <w:hyperlink w:anchor="ref-simonsohn2015">
        <w:r>
          <w:rPr>
            <w:rStyle w:val="Hyperlink"/>
          </w:rPr>
          <w:t xml:space="preserve">Simonsohn, 2015</w:t>
        </w:r>
      </w:hyperlink>
      <w:r>
        <w:t xml:space="preserve">)</w:t>
      </w:r>
      <w:r>
        <w:t xml:space="preserve"> </w:t>
      </w:r>
      <w:r>
        <w:t xml:space="preserve">. We did attempt to increae our sample size 2x, but were unable to recruit enough participants through Prolific. However, our sample size is similar to the lab based studies.</w:t>
      </w:r>
    </w:p>
    <w:p>
      <w:pPr>
        <w:pStyle w:val="BodyText"/>
      </w:pPr>
      <w:r>
        <w:t xml:space="preserve">We strongly urge researchers to perform power analyses and justify their sample sizes</w:t>
      </w:r>
      <w:r>
        <w:t xml:space="preserve"> </w:t>
      </w:r>
      <w:r>
        <w:t xml:space="preserve">(</w:t>
      </w:r>
      <w:hyperlink w:anchor="ref-lakens">
        <w:r>
          <w:rPr>
            <w:rStyle w:val="Hyperlink"/>
          </w:rPr>
          <w:t xml:space="preserve">Lakens, n.d.</w:t>
        </w:r>
      </w:hyperlink>
      <w:r>
        <w:t xml:space="preserve">)</w:t>
      </w:r>
      <w:r>
        <w:t xml:space="preserve">. While tools like G*Power</w:t>
      </w:r>
      <w:r>
        <w:t xml:space="preserve"> </w:t>
      </w:r>
      <w:r>
        <w:t xml:space="preserve">(</w:t>
      </w:r>
      <w:hyperlink w:anchor="ref-faul2007">
        <w:r>
          <w:rPr>
            <w:rStyle w:val="Hyperlink"/>
          </w:rPr>
          <w:t xml:space="preserve">Faul et al., 2007</w:t>
        </w:r>
      </w:hyperlink>
      <w:r>
        <w:t xml:space="preserve">)</w:t>
      </w:r>
      <w:r>
        <w:t xml:space="preserve"> </w:t>
      </w:r>
      <w:r>
        <w:t xml:space="preserve">are available for this purpose, we recommend power simulations using Monte Carlo or resampling methods on pilot or sample data</w:t>
      </w:r>
      <w:r>
        <w:t xml:space="preserve"> </w:t>
      </w:r>
      <w:r>
        <w:t xml:space="preserve">(</w:t>
      </w:r>
      <w:hyperlink w:anchor="ref-prystauka2024">
        <w:r>
          <w:rPr>
            <w:rStyle w:val="Hyperlink"/>
          </w:rPr>
          <w:t xml:space="preserve">Prystauka et al., 2024</w:t>
        </w:r>
      </w:hyperlink>
      <w:r>
        <w:t xml:space="preserve">; see</w:t>
      </w:r>
      <w:r>
        <w:t xml:space="preserve"> </w:t>
      </w:r>
      <w:hyperlink w:anchor="ref-slim2023">
        <w:r>
          <w:rPr>
            <w:rStyle w:val="Hyperlink"/>
          </w:rPr>
          <w:t xml:space="preserve">Slim &amp; Hartsuiker, 2023</w:t>
        </w:r>
      </w:hyperlink>
      <w:r>
        <w:t xml:space="preserve">)</w:t>
      </w:r>
      <w:r>
        <w:t xml:space="preserve">. Several excellent R packages, such as</w:t>
      </w:r>
      <w:r>
        <w:t xml:space="preserve"> </w:t>
      </w:r>
      <w:r>
        <w:rPr>
          <w:rStyle w:val="VerbatimChar"/>
        </w:rPr>
        <w:t xml:space="preserve">mixedpower</w:t>
      </w:r>
      <w:r>
        <w:t xml:space="preserve"> </w:t>
      </w:r>
      <w:r>
        <w:t xml:space="preserve">(</w:t>
      </w:r>
      <w:hyperlink w:anchor="ref-kumle2021">
        <w:r>
          <w:rPr>
            <w:rStyle w:val="Hyperlink"/>
          </w:rPr>
          <w:t xml:space="preserve">Kumle et al., 2021</w:t>
        </w:r>
      </w:hyperlink>
      <w:r>
        <w:t xml:space="preserve">)</w:t>
      </w:r>
      <w:r>
        <w:t xml:space="preserve"> </w:t>
      </w:r>
      <w:r>
        <w:t xml:space="preserve">and SIMR</w:t>
      </w:r>
      <w:r>
        <w:t xml:space="preserve"> </w:t>
      </w:r>
      <w:r>
        <w:t xml:space="preserve">(</w:t>
      </w:r>
      <w:hyperlink w:anchor="ref-green2016">
        <w:r>
          <w:rPr>
            <w:rStyle w:val="Hyperlink"/>
          </w:rPr>
          <w:t xml:space="preserve">Green &amp; MacLeod, 2016</w:t>
        </w:r>
      </w:hyperlink>
      <w:r>
        <w:t xml:space="preserve">)</w:t>
      </w:r>
      <w:r>
        <w:t xml:space="preserve"> </w:t>
      </w:r>
      <w:r>
        <w:t xml:space="preserve">make such simulations straightforward and accessible.</w:t>
      </w:r>
    </w:p>
    <w:bookmarkEnd w:id="141"/>
    <w:bookmarkEnd w:id="142"/>
    <w:bookmarkStart w:id="143" w:name="recommendations"/>
    <w:p>
      <w:pPr>
        <w:pStyle w:val="Heading2"/>
      </w:pPr>
      <w:r>
        <w:t xml:space="preserve">Recommendations</w:t>
      </w:r>
    </w:p>
    <w:p>
      <w:pPr>
        <w:pStyle w:val="FirstParagraph"/>
      </w:pPr>
      <w:r>
        <w:t xml:space="preserve">Based on our findings and limitations, we propose the following recommendations for researchers conducting visual world webcam eye-tracking experiments.</w:t>
      </w:r>
    </w:p>
    <w:p>
      <w:pPr>
        <w:numPr>
          <w:ilvl w:val="0"/>
          <w:numId w:val="1003"/>
        </w:numPr>
      </w:pPr>
      <w:r>
        <w:rPr>
          <w:b/>
          <w:bCs/>
        </w:rPr>
        <w:t xml:space="preserve">Prioritize External Webcams</w:t>
      </w:r>
      <w:r>
        <w:br/>
      </w:r>
      <w:r>
        <w:t xml:space="preserve">Our questionnaire suggested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 and Simulations</w:t>
      </w:r>
      <w:r>
        <w:br/>
      </w:r>
      <w:r>
        <w:t xml:space="preserve">To ensure adequate statistical power, researchers should conduct a priori power analyses either via GUI like GPower or use perform Monte Carlo simulations on pilot data. This step is particularly important for online studies, where sample variability can be higher than in controlled lab environments. Tools like</w:t>
      </w:r>
      <w:r>
        <w:t xml:space="preserve"> </w:t>
      </w:r>
      <w:r>
        <w:rPr>
          <w:b/>
          <w:bCs/>
        </w:rPr>
        <w:t xml:space="preserve">G*Power</w:t>
      </w:r>
      <w:r>
        <w:t xml:space="preserve"> </w:t>
      </w:r>
      <w:r>
        <w:t xml:space="preserve">and R packages such as</w:t>
      </w:r>
      <w:r>
        <w:t xml:space="preserve"> </w:t>
      </w:r>
      <w:r>
        <w:rPr>
          <w:b/>
          <w:bCs/>
        </w:rPr>
        <w:t xml:space="preserve">mixedPower</w:t>
      </w:r>
      <w:r>
        <w:t xml:space="preserve"> </w:t>
      </w:r>
      <w:r>
        <w:t xml:space="preserve">can simplify these calculations.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43"/>
    <w:bookmarkStart w:id="144"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standarized pipeline for processing eye-tracking data we hope we have given researchers a clear path forward when collecting and analyzing visual word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44"/>
    <w:bookmarkEnd w:id="145"/>
    <w:bookmarkStart w:id="251" w:name="references"/>
    <w:p>
      <w:pPr>
        <w:pStyle w:val="Heading1"/>
      </w:pPr>
      <w:r>
        <w:t xml:space="preserve">References</w:t>
      </w:r>
    </w:p>
    <w:bookmarkStart w:id="250" w:name="refs"/>
    <w:bookmarkStart w:id="147"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46">
        <w:r>
          <w:rPr>
            <w:rStyle w:val="Hyperlink"/>
          </w:rPr>
          <w:t xml:space="preserve">https://www.tobii.com/products/eye-trackers/screen-based/tobii-pro-spectrum</w:t>
        </w:r>
      </w:hyperlink>
    </w:p>
    <w:bookmarkEnd w:id="147"/>
    <w:bookmarkStart w:id="148"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48"/>
    <w:bookmarkStart w:id="150"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49">
        <w:r>
          <w:rPr>
            <w:rStyle w:val="Hyperlink"/>
          </w:rPr>
          <w:t xml:space="preserve">https://doi.org/10.1177/0146167218798821</w:t>
        </w:r>
      </w:hyperlink>
    </w:p>
    <w:bookmarkEnd w:id="150"/>
    <w:bookmarkStart w:id="152"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51">
        <w:r>
          <w:rPr>
            <w:rStyle w:val="Hyperlink"/>
          </w:rPr>
          <w:t xml:space="preserve">https://doi.org/10.3758/s13428-019-01237-x</w:t>
        </w:r>
      </w:hyperlink>
    </w:p>
    <w:bookmarkEnd w:id="152"/>
    <w:bookmarkStart w:id="154"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53">
        <w:r>
          <w:rPr>
            <w:rStyle w:val="Hyperlink"/>
          </w:rPr>
          <w:t xml:space="preserve">https://CRAN.R-project.org/package=ggokabeito</w:t>
        </w:r>
      </w:hyperlink>
    </w:p>
    <w:bookmarkEnd w:id="154"/>
    <w:bookmarkStart w:id="156"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55">
        <w:r>
          <w:rPr>
            <w:rStyle w:val="Hyperlink"/>
          </w:rPr>
          <w:t xml:space="preserve">https://doi.org/10.1016/j.tics.2022.09.015</w:t>
        </w:r>
      </w:hyperlink>
    </w:p>
    <w:bookmarkEnd w:id="156"/>
    <w:bookmarkStart w:id="158"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57">
        <w:r>
          <w:rPr>
            <w:rStyle w:val="Hyperlink"/>
          </w:rPr>
          <w:t xml:space="preserve">https://doi.org/10.1075/lab.23071.bra</w:t>
        </w:r>
      </w:hyperlink>
    </w:p>
    <w:bookmarkEnd w:id="158"/>
    <w:bookmarkStart w:id="160"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59">
        <w:r>
          <w:rPr>
            <w:rStyle w:val="Hyperlink"/>
          </w:rPr>
          <w:t xml:space="preserve">https://doi.org/10.1093/applin/amad022</w:t>
        </w:r>
      </w:hyperlink>
    </w:p>
    <w:bookmarkEnd w:id="160"/>
    <w:bookmarkStart w:id="162"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61">
        <w:r>
          <w:rPr>
            <w:rStyle w:val="Hyperlink"/>
          </w:rPr>
          <w:t xml:space="preserve">https://doi.org/10.1016/j.ijpsycho.2020.05.010</w:t>
        </w:r>
      </w:hyperlink>
    </w:p>
    <w:bookmarkEnd w:id="162"/>
    <w:bookmarkStart w:id="164"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63">
        <w:r>
          <w:rPr>
            <w:rStyle w:val="Hyperlink"/>
          </w:rPr>
          <w:t xml:space="preserve">https://doi.org/10.1016/0010-0285(74)90005-X</w:t>
        </w:r>
      </w:hyperlink>
    </w:p>
    <w:bookmarkEnd w:id="164"/>
    <w:bookmarkStart w:id="165"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65"/>
    <w:bookmarkStart w:id="167"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66">
        <w:r>
          <w:rPr>
            <w:rStyle w:val="Hyperlink"/>
          </w:rPr>
          <w:t xml:space="preserve">https://doi.org/10.1007/BF02143160</w:t>
        </w:r>
      </w:hyperlink>
    </w:p>
    <w:bookmarkEnd w:id="167"/>
    <w:bookmarkStart w:id="169" w:name="ref-faul2007"/>
    <w:p>
      <w:pPr>
        <w:pStyle w:val="Bibliography"/>
      </w:pPr>
      <w:r>
        <w:t xml:space="preserve">Faul, F., Erdfelder, E., Lang, A.-G., &amp; Buchner, A. (2007). G*Power 3: A flexible statistical power analysis program for the social, behavioral, and biomedical sciences.</w:t>
      </w:r>
      <w:r>
        <w:t xml:space="preserve"> </w:t>
      </w:r>
      <w:r>
        <w:rPr>
          <w:i/>
          <w:iCs/>
        </w:rPr>
        <w:t xml:space="preserve">Behavior Research Methods</w:t>
      </w:r>
      <w:r>
        <w:t xml:space="preserve">,</w:t>
      </w:r>
      <w:r>
        <w:t xml:space="preserve"> </w:t>
      </w:r>
      <w:r>
        <w:rPr>
          <w:i/>
          <w:iCs/>
        </w:rPr>
        <w:t xml:space="preserve">39</w:t>
      </w:r>
      <w:r>
        <w:t xml:space="preserve">(2), 175–191.</w:t>
      </w:r>
      <w:r>
        <w:t xml:space="preserve"> </w:t>
      </w:r>
      <w:hyperlink r:id="rId168">
        <w:r>
          <w:rPr>
            <w:rStyle w:val="Hyperlink"/>
          </w:rPr>
          <w:t xml:space="preserve">https://doi.org/10.3758/BF03193146</w:t>
        </w:r>
      </w:hyperlink>
    </w:p>
    <w:bookmarkEnd w:id="169"/>
    <w:bookmarkStart w:id="171" w:name="ref-fields2019"/>
    <w:p>
      <w:pPr>
        <w:pStyle w:val="Bibliography"/>
      </w:pPr>
      <w:r>
        <w:t xml:space="preserve">Fields, E. C., &amp; Kuperberg, G. R. (2019). Having your cake and eating it too: Flexibility and power with mass univariate statistics for ERP data.</w:t>
      </w:r>
      <w:r>
        <w:t xml:space="preserve"> </w:t>
      </w:r>
      <w:r>
        <w:rPr>
          <w:i/>
          <w:iCs/>
        </w:rPr>
        <w:t xml:space="preserve">Psychophysiology</w:t>
      </w:r>
      <w:r>
        <w:t xml:space="preserve">.</w:t>
      </w:r>
      <w:r>
        <w:t xml:space="preserve"> </w:t>
      </w:r>
      <w:hyperlink r:id="rId170">
        <w:r>
          <w:rPr>
            <w:rStyle w:val="Hyperlink"/>
          </w:rPr>
          <w:t xml:space="preserve">https://doi.org/10.1111/psyp.13468</w:t>
        </w:r>
      </w:hyperlink>
    </w:p>
    <w:bookmarkEnd w:id="171"/>
    <w:bookmarkStart w:id="173"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72">
        <w:r>
          <w:rPr>
            <w:rStyle w:val="Hyperlink"/>
          </w:rPr>
          <w:t xml:space="preserve">https://CRAN.R-project.org/package=janitor</w:t>
        </w:r>
      </w:hyperlink>
    </w:p>
    <w:bookmarkEnd w:id="173"/>
    <w:bookmarkStart w:id="175"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74">
        <w:r>
          <w:rPr>
            <w:rStyle w:val="Hyperlink"/>
          </w:rPr>
          <w:t xml:space="preserve">https://doi.org/10.18637/jss.v099.i15</w:t>
        </w:r>
      </w:hyperlink>
    </w:p>
    <w:bookmarkEnd w:id="175"/>
    <w:bookmarkStart w:id="177"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76">
        <w:r>
          <w:rPr>
            <w:rStyle w:val="Hyperlink"/>
          </w:rPr>
          <w:t xml:space="preserve">https://github.com/jgeller112/webgazeR</w:t>
        </w:r>
      </w:hyperlink>
    </w:p>
    <w:bookmarkEnd w:id="177"/>
    <w:bookmarkStart w:id="179" w:name="ref-godfroid"/>
    <w:p>
      <w:pPr>
        <w:pStyle w:val="Bibliography"/>
      </w:pPr>
      <w:r>
        <w:t xml:space="preserve">Godfroid, A., Finch, B., &amp; Koh, J. (2024).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78">
        <w:r>
          <w:rPr>
            <w:rStyle w:val="Hyperlink"/>
          </w:rPr>
          <w:t xml:space="preserve">https://doi.org/10.1111/lang.12664</w:t>
        </w:r>
      </w:hyperlink>
    </w:p>
    <w:bookmarkEnd w:id="179"/>
    <w:bookmarkStart w:id="181"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80">
        <w:r>
          <w:rPr>
            <w:rStyle w:val="Hyperlink"/>
          </w:rPr>
          <w:t xml:space="preserve">https://doi.org/10.1017/S0140525X10000300</w:t>
        </w:r>
      </w:hyperlink>
    </w:p>
    <w:bookmarkEnd w:id="181"/>
    <w:bookmarkStart w:id="183" w:name="ref-green2016"/>
    <w:p>
      <w:pPr>
        <w:pStyle w:val="Bibliography"/>
      </w:pPr>
      <w:r>
        <w:t xml:space="preserve">Green, P., &amp; MacLeod, C. J. (2016). SIMR: an R package for power analysis of generalized linear mixed models by simulation.</w:t>
      </w:r>
      <w:r>
        <w:t xml:space="preserve"> </w:t>
      </w:r>
      <w:r>
        <w:rPr>
          <w:i/>
          <w:iCs/>
        </w:rPr>
        <w:t xml:space="preserve">Methods in Ecology and Evolution</w:t>
      </w:r>
      <w:r>
        <w:t xml:space="preserve">,</w:t>
      </w:r>
      <w:r>
        <w:t xml:space="preserve"> </w:t>
      </w:r>
      <w:r>
        <w:rPr>
          <w:i/>
          <w:iCs/>
        </w:rPr>
        <w:t xml:space="preserve">7</w:t>
      </w:r>
      <w:r>
        <w:t xml:space="preserve">(4), 493–498.</w:t>
      </w:r>
      <w:r>
        <w:t xml:space="preserve"> </w:t>
      </w:r>
      <w:hyperlink r:id="rId182">
        <w:r>
          <w:rPr>
            <w:rStyle w:val="Hyperlink"/>
          </w:rPr>
          <w:t xml:space="preserve">https://doi.org/10.1111/2041-210X.12504</w:t>
        </w:r>
      </w:hyperlink>
    </w:p>
    <w:bookmarkEnd w:id="183"/>
    <w:bookmarkStart w:id="185"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84">
        <w:r>
          <w:rPr>
            <w:rStyle w:val="Hyperlink"/>
          </w:rPr>
          <w:t xml:space="preserve">https://doi.org/10.1016/j.cognition.2020.104251</w:t>
        </w:r>
      </w:hyperlink>
    </w:p>
    <w:bookmarkEnd w:id="185"/>
    <w:bookmarkStart w:id="187"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86">
        <w:r>
          <w:rPr>
            <w:rStyle w:val="Hyperlink"/>
          </w:rPr>
          <w:t xml:space="preserve">https://doi.org/10.3758/s13428-022-01969-3</w:t>
        </w:r>
      </w:hyperlink>
    </w:p>
    <w:bookmarkEnd w:id="187"/>
    <w:bookmarkStart w:id="189"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88">
        <w:r>
          <w:rPr>
            <w:rStyle w:val="Hyperlink"/>
          </w:rPr>
          <w:t xml:space="preserve">https://doi.org/10.1016/j.jml.2017.09.002</w:t>
        </w:r>
      </w:hyperlink>
    </w:p>
    <w:bookmarkEnd w:id="189"/>
    <w:bookmarkStart w:id="191"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90">
        <w:r>
          <w:rPr>
            <w:rStyle w:val="Hyperlink"/>
          </w:rPr>
          <w:t xml:space="preserve">http://hdl.handle.net/1854/LU-5774107</w:t>
        </w:r>
      </w:hyperlink>
    </w:p>
    <w:bookmarkEnd w:id="191"/>
    <w:bookmarkStart w:id="193"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92">
        <w:r>
          <w:rPr>
            <w:rStyle w:val="Hyperlink"/>
          </w:rPr>
          <w:t xml:space="preserve">https://doi.org/10.3758/s13428-023-02237-8</w:t>
        </w:r>
      </w:hyperlink>
    </w:p>
    <w:bookmarkEnd w:id="193"/>
    <w:bookmarkStart w:id="195" w:name="ref-kumle2021"/>
    <w:p>
      <w:pPr>
        <w:pStyle w:val="Bibliography"/>
      </w:pPr>
      <w:r>
        <w:t xml:space="preserve">Kumle, L., Võ, M. L.-H., &amp; Draschkow, D. (2021). Estimating power in (generalized) linear mixed models: An open introduction and tutorial in R.</w:t>
      </w:r>
      <w:r>
        <w:t xml:space="preserve"> </w:t>
      </w:r>
      <w:r>
        <w:rPr>
          <w:i/>
          <w:iCs/>
        </w:rPr>
        <w:t xml:space="preserve">Behavior Research Methods</w:t>
      </w:r>
      <w:r>
        <w:t xml:space="preserve">,</w:t>
      </w:r>
      <w:r>
        <w:t xml:space="preserve"> </w:t>
      </w:r>
      <w:r>
        <w:rPr>
          <w:i/>
          <w:iCs/>
        </w:rPr>
        <w:t xml:space="preserve">53</w:t>
      </w:r>
      <w:r>
        <w:t xml:space="preserve">(6), 2528–2543.</w:t>
      </w:r>
      <w:r>
        <w:t xml:space="preserve"> </w:t>
      </w:r>
      <w:hyperlink r:id="rId194">
        <w:r>
          <w:rPr>
            <w:rStyle w:val="Hyperlink"/>
          </w:rPr>
          <w:t xml:space="preserve">https://doi.org/10.3758/s13428-021-01546-0</w:t>
        </w:r>
      </w:hyperlink>
    </w:p>
    <w:bookmarkEnd w:id="195"/>
    <w:bookmarkStart w:id="197" w:name="ref-lakens"/>
    <w:p>
      <w:pPr>
        <w:pStyle w:val="Bibliography"/>
      </w:pPr>
      <w:r>
        <w:t xml:space="preserve">Lakens, D. (n.d.).</w:t>
      </w:r>
      <w:r>
        <w:t xml:space="preserve"> </w:t>
      </w:r>
      <w:r>
        <w:rPr>
          <w:i/>
          <w:iCs/>
        </w:rPr>
        <w:t xml:space="preserve">Sample Size Justification</w:t>
      </w:r>
      <w:r>
        <w:t xml:space="preserve">.</w:t>
      </w:r>
      <w:r>
        <w:t xml:space="preserve"> </w:t>
      </w:r>
      <w:hyperlink r:id="rId196">
        <w:r>
          <w:rPr>
            <w:rStyle w:val="Hyperlink"/>
          </w:rPr>
          <w:t xml:space="preserve">https://online.ucpress.edu/collabra/article/8/1/33267/120491/Sample-Size-Justification</w:t>
        </w:r>
      </w:hyperlink>
    </w:p>
    <w:bookmarkEnd w:id="197"/>
    <w:bookmarkStart w:id="199"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98">
        <w:r>
          <w:rPr>
            <w:rStyle w:val="Hyperlink"/>
          </w:rPr>
          <w:t xml:space="preserve">https://doi.org/10.3758/s13428-014-0458-y</w:t>
        </w:r>
      </w:hyperlink>
    </w:p>
    <w:bookmarkEnd w:id="199"/>
    <w:bookmarkStart w:id="201"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200">
        <w:r>
          <w:rPr>
            <w:rStyle w:val="Hyperlink"/>
          </w:rPr>
          <w:t xml:space="preserve">https://doi.org/10.1080/03640210709336987</w:t>
        </w:r>
      </w:hyperlink>
    </w:p>
    <w:bookmarkEnd w:id="201"/>
    <w:bookmarkStart w:id="203"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202">
        <w:r>
          <w:rPr>
            <w:rStyle w:val="Hyperlink"/>
          </w:rPr>
          <w:t xml:space="preserve">https://doi.org/10.1016/j.jneumeth.2007.03.024</w:t>
        </w:r>
      </w:hyperlink>
    </w:p>
    <w:bookmarkEnd w:id="203"/>
    <w:bookmarkStart w:id="205"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204">
        <w:r>
          <w:rPr>
            <w:rStyle w:val="Hyperlink"/>
          </w:rPr>
          <w:t xml:space="preserve">https://doi.org/10.31234/osf.io/2c5b6</w:t>
        </w:r>
      </w:hyperlink>
    </w:p>
    <w:bookmarkEnd w:id="205"/>
    <w:bookmarkStart w:id="207" w:name="ref-mcmurray2010"/>
    <w:p>
      <w:pPr>
        <w:pStyle w:val="Bibliography"/>
      </w:pPr>
      <w:r>
        <w:t xml:space="preserve">McMurray, B., Samelson, V. M., Lee, S. H., &amp; Tomblin, J. B. (2010). Individual differences in online spoken word recognition: Implications for SLI.</w:t>
      </w:r>
      <w:r>
        <w:t xml:space="preserve"> </w:t>
      </w:r>
      <w:r>
        <w:rPr>
          <w:i/>
          <w:iCs/>
        </w:rPr>
        <w:t xml:space="preserve">Cognitive Psychology</w:t>
      </w:r>
      <w:r>
        <w:t xml:space="preserve">,</w:t>
      </w:r>
      <w:r>
        <w:t xml:space="preserve"> </w:t>
      </w:r>
      <w:r>
        <w:rPr>
          <w:i/>
          <w:iCs/>
        </w:rPr>
        <w:t xml:space="preserve">60</w:t>
      </w:r>
      <w:r>
        <w:t xml:space="preserve">(1), 1–39.</w:t>
      </w:r>
      <w:r>
        <w:t xml:space="preserve"> </w:t>
      </w:r>
      <w:hyperlink r:id="rId206">
        <w:r>
          <w:rPr>
            <w:rStyle w:val="Hyperlink"/>
          </w:rPr>
          <w:t xml:space="preserve">https://doi.org/10.1016/j.cogpsych.2009.06.003</w:t>
        </w:r>
      </w:hyperlink>
    </w:p>
    <w:bookmarkEnd w:id="207"/>
    <w:bookmarkStart w:id="209"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208">
        <w:r>
          <w:rPr>
            <w:rStyle w:val="Hyperlink"/>
          </w:rPr>
          <w:t xml:space="preserve">https://CRAN.R-project.org/package=foreach</w:t>
        </w:r>
      </w:hyperlink>
    </w:p>
    <w:bookmarkEnd w:id="209"/>
    <w:bookmarkStart w:id="211"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210">
        <w:r>
          <w:rPr>
            <w:rStyle w:val="Hyperlink"/>
          </w:rPr>
          <w:t xml:space="preserve">https://doi.org/10.1037/a0026451</w:t>
        </w:r>
      </w:hyperlink>
    </w:p>
    <w:bookmarkEnd w:id="211"/>
    <w:bookmarkStart w:id="213"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212">
        <w:r>
          <w:rPr>
            <w:rStyle w:val="Hyperlink"/>
          </w:rPr>
          <w:t xml:space="preserve">https://doi.org/10.3758/s13428-020-01430-3</w:t>
        </w:r>
      </w:hyperlink>
    </w:p>
    <w:bookmarkEnd w:id="213"/>
    <w:bookmarkStart w:id="214"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14"/>
    <w:bookmarkStart w:id="216"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15">
        <w:r>
          <w:rPr>
            <w:rStyle w:val="Hyperlink"/>
          </w:rPr>
          <w:t xml:space="preserve">https://doi.org/10.3758/s13428-018-01193-y</w:t>
        </w:r>
      </w:hyperlink>
    </w:p>
    <w:bookmarkEnd w:id="216"/>
    <w:bookmarkStart w:id="218"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17">
        <w:r>
          <w:rPr>
            <w:rStyle w:val="Hyperlink"/>
          </w:rPr>
          <w:t xml:space="preserve">http://cejsh.icm.edu.pl/cejsh/element/bwmeta1.element.desklight-98576d43-39e3-4981-8c1c-717962cf29da</w:t>
        </w:r>
      </w:hyperlink>
    </w:p>
    <w:bookmarkEnd w:id="218"/>
    <w:bookmarkStart w:id="220"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19">
        <w:r>
          <w:rPr>
            <w:rStyle w:val="Hyperlink"/>
          </w:rPr>
          <w:t xml:space="preserve">https://doi.org/10.3758/s13428-023-02176-4</w:t>
        </w:r>
      </w:hyperlink>
    </w:p>
    <w:bookmarkEnd w:id="220"/>
    <w:bookmarkStart w:id="222"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21">
        <w:r>
          <w:rPr>
            <w:rStyle w:val="Hyperlink"/>
          </w:rPr>
          <w:t xml:space="preserve">https://doi.org/10.1016/j.jml.2023.104472</w:t>
        </w:r>
      </w:hyperlink>
    </w:p>
    <w:bookmarkEnd w:id="222"/>
    <w:bookmarkStart w:id="224"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23">
        <w:r>
          <w:rPr>
            <w:rStyle w:val="Hyperlink"/>
          </w:rPr>
          <w:t xml:space="preserve">https://doi.org/10.1080/23273798.2021.1952283</w:t>
        </w:r>
      </w:hyperlink>
    </w:p>
    <w:bookmarkEnd w:id="224"/>
    <w:bookmarkStart w:id="226"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25">
        <w:r>
          <w:rPr>
            <w:rStyle w:val="Hyperlink"/>
          </w:rPr>
          <w:t xml:space="preserve">https://doi.org/10.3758/s13428-017-0913-7</w:t>
        </w:r>
      </w:hyperlink>
    </w:p>
    <w:bookmarkEnd w:id="226"/>
    <w:bookmarkStart w:id="228" w:name="ref-simonsohn2015"/>
    <w:p>
      <w:pPr>
        <w:pStyle w:val="Bibliography"/>
      </w:pPr>
      <w:r>
        <w:t xml:space="preserve">Simonsohn, U. (2015). Small telescopes.</w:t>
      </w:r>
      <w:r>
        <w:t xml:space="preserve"> </w:t>
      </w:r>
      <w:r>
        <w:rPr>
          <w:i/>
          <w:iCs/>
        </w:rPr>
        <w:t xml:space="preserve">Psychological Science</w:t>
      </w:r>
      <w:r>
        <w:t xml:space="preserve">,</w:t>
      </w:r>
      <w:r>
        <w:t xml:space="preserve"> </w:t>
      </w:r>
      <w:r>
        <w:rPr>
          <w:i/>
          <w:iCs/>
        </w:rPr>
        <w:t xml:space="preserve">26</w:t>
      </w:r>
      <w:r>
        <w:t xml:space="preserve">(5), 559–569.</w:t>
      </w:r>
      <w:r>
        <w:t xml:space="preserve"> </w:t>
      </w:r>
      <w:hyperlink r:id="rId227">
        <w:r>
          <w:rPr>
            <w:rStyle w:val="Hyperlink"/>
          </w:rPr>
          <w:t xml:space="preserve">https://doi.org/10.1177/0956797614567341</w:t>
        </w:r>
      </w:hyperlink>
    </w:p>
    <w:bookmarkEnd w:id="228"/>
    <w:bookmarkStart w:id="230"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29">
        <w:r>
          <w:rPr>
            <w:rStyle w:val="Hyperlink"/>
          </w:rPr>
          <w:t xml:space="preserve">https://doi.org/10.3758/s13428-022-01989-z</w:t>
        </w:r>
      </w:hyperlink>
    </w:p>
    <w:bookmarkEnd w:id="230"/>
    <w:bookmarkStart w:id="232"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31">
        <w:r>
          <w:rPr>
            <w:rStyle w:val="Hyperlink"/>
          </w:rPr>
          <w:t xml:space="preserve">https://doi.org/10.1162/opmi_a_00171</w:t>
        </w:r>
      </w:hyperlink>
    </w:p>
    <w:bookmarkEnd w:id="232"/>
    <w:bookmarkStart w:id="234"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33">
        <w:r>
          <w:rPr>
            <w:rStyle w:val="Hyperlink"/>
          </w:rPr>
          <w:t xml:space="preserve">https://doi.org/10.1017/S1366728920000607</w:t>
        </w:r>
      </w:hyperlink>
    </w:p>
    <w:bookmarkEnd w:id="234"/>
    <w:bookmarkStart w:id="236" w:name="ref-sun2020"/>
    <w:p>
      <w:pPr>
        <w:pStyle w:val="Bibliography"/>
      </w:pPr>
      <w:r>
        <w:t xml:space="preserve">Sun, C., &amp; Breheny, R. (2020). Another look at the online processing of scalar inferences: an investigation of conflicting findings from visual-world eye-tracking studies.</w:t>
      </w:r>
      <w:r>
        <w:t xml:space="preserve"> </w:t>
      </w:r>
      <w:r>
        <w:rPr>
          <w:i/>
          <w:iCs/>
        </w:rPr>
        <w:t xml:space="preserve">Language, Cognition and Neuroscience</w:t>
      </w:r>
      <w:r>
        <w:t xml:space="preserve">.</w:t>
      </w:r>
      <w:r>
        <w:t xml:space="preserve"> </w:t>
      </w:r>
      <w:hyperlink r:id="rId235">
        <w:r>
          <w:rPr>
            <w:rStyle w:val="Hyperlink"/>
          </w:rPr>
          <w:t xml:space="preserve">https://www.tandfonline.com/doi/abs/10.1080/23273798.2019.1678759</w:t>
        </w:r>
      </w:hyperlink>
    </w:p>
    <w:bookmarkEnd w:id="236"/>
    <w:bookmarkStart w:id="238"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37">
        <w:r>
          <w:rPr>
            <w:rStyle w:val="Hyperlink"/>
          </w:rPr>
          <w:t xml:space="preserve">http://www.ncbi.nlm.nih.gov/pubmed/7777863</w:t>
        </w:r>
      </w:hyperlink>
    </w:p>
    <w:bookmarkEnd w:id="238"/>
    <w:bookmarkStart w:id="240"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39">
        <w:r>
          <w:rPr>
            <w:rStyle w:val="Hyperlink"/>
          </w:rPr>
          <w:t xml:space="preserve">https://doi.org/10.1075/lald.44.05tru</w:t>
        </w:r>
      </w:hyperlink>
    </w:p>
    <w:bookmarkEnd w:id="240"/>
    <w:bookmarkStart w:id="241"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41"/>
    <w:bookmarkStart w:id="243"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42">
        <w:r>
          <w:rPr>
            <w:rStyle w:val="Hyperlink"/>
          </w:rPr>
          <w:t xml:space="preserve">https://CRAN.R-project.org/package=permutes</w:t>
        </w:r>
      </w:hyperlink>
    </w:p>
    <w:bookmarkEnd w:id="243"/>
    <w:bookmarkStart w:id="245"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44">
        <w:r>
          <w:rPr>
            <w:rStyle w:val="Hyperlink"/>
          </w:rPr>
          <w:t xml:space="preserve">https://doi.org/10.5070/G6011131</w:t>
        </w:r>
      </w:hyperlink>
    </w:p>
    <w:bookmarkEnd w:id="245"/>
    <w:bookmarkStart w:id="247"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46">
        <w:r>
          <w:rPr>
            <w:rStyle w:val="Hyperlink"/>
          </w:rPr>
          <w:t xml:space="preserve">https://doi.org/10.3758/s13414-017-1361-2</w:t>
        </w:r>
      </w:hyperlink>
    </w:p>
    <w:bookmarkEnd w:id="247"/>
    <w:bookmarkStart w:id="249" w:name="ref-zehr2018penncontroller"/>
    <w:p>
      <w:pPr>
        <w:pStyle w:val="Bibliography"/>
      </w:pPr>
      <w:r>
        <w:t xml:space="preserve">Zehr, J., &amp; Schwarz, F. (2018).</w:t>
      </w:r>
      <w:r>
        <w:t xml:space="preserve"> </w:t>
      </w:r>
      <w:r>
        <w:rPr>
          <w:i/>
          <w:iCs/>
        </w:rPr>
        <w:t xml:space="preserve">PennController for internet based experiments (IBEX)</w:t>
      </w:r>
      <w:r>
        <w:t xml:space="preserve">.</w:t>
      </w:r>
      <w:r>
        <w:t xml:space="preserve"> </w:t>
      </w:r>
      <w:hyperlink r:id="rId248">
        <w:r>
          <w:rPr>
            <w:rStyle w:val="Hyperlink"/>
          </w:rPr>
          <w:t xml:space="preserve">https://doi.org/10.17605/OSF.IO/MD832</w:t>
        </w:r>
      </w:hyperlink>
    </w:p>
    <w:bookmarkEnd w:id="249"/>
    <w:bookmarkEnd w:id="250"/>
    <w:sectPr>
      <w:lnNumType w:countBy="1" w:restart="continuous"/>
    </w:sectPr>
    <w:bookmarkEnd w:id="25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84" Target="media/rId84.png" /><Relationship Type="http://schemas.openxmlformats.org/officeDocument/2006/relationships/image" Id="rId61" Target="media/rId61.jpg" /><Relationship Type="http://schemas.openxmlformats.org/officeDocument/2006/relationships/image" Id="rId98" Target="media/rId98.png" /><Relationship Type="http://schemas.openxmlformats.org/officeDocument/2006/relationships/image" Id="rId109" Target="media/rId10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35" Target="media/rId135.png" /><Relationship Type="http://schemas.openxmlformats.org/officeDocument/2006/relationships/image" Id="rId42" Target="media/rId42.png" /><Relationship Type="http://schemas.openxmlformats.org/officeDocument/2006/relationships/image" Id="rId53" Target="media/rId53.svg" /><Relationship Type="http://schemas.openxmlformats.org/officeDocument/2006/relationships/image" Id="rId104" Target="media/rId104.png" /><Relationship Type="http://schemas.openxmlformats.org/officeDocument/2006/relationships/image" Id="rId118" Target="media/rId118.png" /><Relationship Type="http://schemas.openxmlformats.org/officeDocument/2006/relationships/image" Id="rId124" Target="media/rId124.png" /><Relationship Type="http://schemas.openxmlformats.org/officeDocument/2006/relationships/image" Id="rId92" Target="media/rId92.png" /><Relationship Type="http://schemas.openxmlformats.org/officeDocument/2006/relationships/image" Id="rId113" Target="media/rId113.png" /><Relationship Type="http://schemas.openxmlformats.org/officeDocument/2006/relationships/image" Id="rId88" Target="media/rId88.png" /><Relationship Type="http://schemas.openxmlformats.org/officeDocument/2006/relationships/image" Id="rId70" Target="media/rId70.png" /><Relationship Type="http://schemas.openxmlformats.org/officeDocument/2006/relationships/image" Id="rId21" Target="media/rId21.svg" /><Relationship Type="http://schemas.openxmlformats.org/officeDocument/2006/relationships/hyperlink" Id="rId217" Target="http://cejsh.icm.edu.pl/cejsh/element/bwmeta1.element.desklight-98576d43-39e3-4981-8c1c-717962cf29da" TargetMode="External" /><Relationship Type="http://schemas.openxmlformats.org/officeDocument/2006/relationships/hyperlink" Id="rId190" Target="http://hdl.handle.net/1854/LU-5774107" TargetMode="External" /><Relationship Type="http://schemas.openxmlformats.org/officeDocument/2006/relationships/hyperlink" Id="rId237" Target="http://www.ncbi.nlm.nih.gov/pubmed/7777863" TargetMode="External" /><Relationship Type="http://schemas.openxmlformats.org/officeDocument/2006/relationships/hyperlink" Id="rId208" Target="https://CRAN.R-project.org/package=foreach" TargetMode="External" /><Relationship Type="http://schemas.openxmlformats.org/officeDocument/2006/relationships/hyperlink" Id="rId153" Target="https://CRAN.R-project.org/package=ggokabeito" TargetMode="External" /><Relationship Type="http://schemas.openxmlformats.org/officeDocument/2006/relationships/hyperlink" Id="rId172" Target="https://CRAN.R-project.org/package=janitor" TargetMode="External" /><Relationship Type="http://schemas.openxmlformats.org/officeDocument/2006/relationships/hyperlink" Id="rId242" Target="https://CRAN.R-project.org/package=permutes" TargetMode="External" /><Relationship Type="http://schemas.openxmlformats.org/officeDocument/2006/relationships/hyperlink" Id="rId40" Target="https://app.gorilla.sc/openmaterials/953693" TargetMode="External" /><Relationship Type="http://schemas.openxmlformats.org/officeDocument/2006/relationships/hyperlink" Id="rId166" Target="https://doi.org/10.1007/BF02143160" TargetMode="External" /><Relationship Type="http://schemas.openxmlformats.org/officeDocument/2006/relationships/hyperlink" Id="rId163" Target="https://doi.org/10.1016/0010-0285(74)90005-X" TargetMode="External" /><Relationship Type="http://schemas.openxmlformats.org/officeDocument/2006/relationships/hyperlink" Id="rId184" Target="https://doi.org/10.1016/j.cognition.2020.104251" TargetMode="External" /><Relationship Type="http://schemas.openxmlformats.org/officeDocument/2006/relationships/hyperlink" Id="rId206" Target="https://doi.org/10.1016/j.cogpsych.2009.06.003" TargetMode="External" /><Relationship Type="http://schemas.openxmlformats.org/officeDocument/2006/relationships/hyperlink" Id="rId161" Target="https://doi.org/10.1016/j.ijpsycho.2020.05.010" TargetMode="External" /><Relationship Type="http://schemas.openxmlformats.org/officeDocument/2006/relationships/hyperlink" Id="rId188" Target="https://doi.org/10.1016/j.jml.2017.09.002" TargetMode="External" /><Relationship Type="http://schemas.openxmlformats.org/officeDocument/2006/relationships/hyperlink" Id="rId221" Target="https://doi.org/10.1016/j.jml.2023.104472" TargetMode="External" /><Relationship Type="http://schemas.openxmlformats.org/officeDocument/2006/relationships/hyperlink" Id="rId202" Target="https://doi.org/10.1016/j.jneumeth.2007.03.024" TargetMode="External" /><Relationship Type="http://schemas.openxmlformats.org/officeDocument/2006/relationships/hyperlink" Id="rId155" Target="https://doi.org/10.1016/j.tics.2022.09.015" TargetMode="External" /><Relationship Type="http://schemas.openxmlformats.org/officeDocument/2006/relationships/hyperlink" Id="rId180" Target="https://doi.org/10.1017/S0140525X10000300" TargetMode="External" /><Relationship Type="http://schemas.openxmlformats.org/officeDocument/2006/relationships/hyperlink" Id="rId233" Target="https://doi.org/10.1017/S1366728920000607" TargetMode="External" /><Relationship Type="http://schemas.openxmlformats.org/officeDocument/2006/relationships/hyperlink" Id="rId210" Target="https://doi.org/10.1037/a0026451" TargetMode="External" /><Relationship Type="http://schemas.openxmlformats.org/officeDocument/2006/relationships/hyperlink" Id="rId157" Target="https://doi.org/10.1075/lab.23071.bra" TargetMode="External" /><Relationship Type="http://schemas.openxmlformats.org/officeDocument/2006/relationships/hyperlink" Id="rId239" Target="https://doi.org/10.1075/lald.44.05tru" TargetMode="External" /><Relationship Type="http://schemas.openxmlformats.org/officeDocument/2006/relationships/hyperlink" Id="rId200" Target="https://doi.org/10.1080/03640210709336987" TargetMode="External" /><Relationship Type="http://schemas.openxmlformats.org/officeDocument/2006/relationships/hyperlink" Id="rId223" Target="https://doi.org/10.1080/23273798.2021.1952283" TargetMode="External" /><Relationship Type="http://schemas.openxmlformats.org/officeDocument/2006/relationships/hyperlink" Id="rId159" Target="https://doi.org/10.1093/applin/amad022" TargetMode="External" /><Relationship Type="http://schemas.openxmlformats.org/officeDocument/2006/relationships/hyperlink" Id="rId182" Target="https://doi.org/10.1111/2041-210X.12504" TargetMode="External" /><Relationship Type="http://schemas.openxmlformats.org/officeDocument/2006/relationships/hyperlink" Id="rId178" Target="https://doi.org/10.1111/lang.12664" TargetMode="External" /><Relationship Type="http://schemas.openxmlformats.org/officeDocument/2006/relationships/hyperlink" Id="rId170" Target="https://doi.org/10.1111/psyp.13468" TargetMode="External" /><Relationship Type="http://schemas.openxmlformats.org/officeDocument/2006/relationships/hyperlink" Id="rId231" Target="https://doi.org/10.1162/opmi_a_00171" TargetMode="External" /><Relationship Type="http://schemas.openxmlformats.org/officeDocument/2006/relationships/hyperlink" Id="rId149" Target="https://doi.org/10.1177/0146167218798821" TargetMode="External" /><Relationship Type="http://schemas.openxmlformats.org/officeDocument/2006/relationships/hyperlink" Id="rId227" Target="https://doi.org/10.1177/0956797614567341" TargetMode="External" /><Relationship Type="http://schemas.openxmlformats.org/officeDocument/2006/relationships/hyperlink" Id="rId248" Target="https://doi.org/10.17605/OSF.IO/MD832" TargetMode="External" /><Relationship Type="http://schemas.openxmlformats.org/officeDocument/2006/relationships/hyperlink" Id="rId174" Target="https://doi.org/10.18637/jss.v099.i15" TargetMode="External" /><Relationship Type="http://schemas.openxmlformats.org/officeDocument/2006/relationships/hyperlink" Id="rId204" Target="https://doi.org/10.31234/osf.io/2c5b6" TargetMode="External" /><Relationship Type="http://schemas.openxmlformats.org/officeDocument/2006/relationships/hyperlink" Id="rId168" Target="https://doi.org/10.3758/BF03193146" TargetMode="External" /><Relationship Type="http://schemas.openxmlformats.org/officeDocument/2006/relationships/hyperlink" Id="rId246" Target="https://doi.org/10.3758/s13414-017-1361-2" TargetMode="External" /><Relationship Type="http://schemas.openxmlformats.org/officeDocument/2006/relationships/hyperlink" Id="rId198" Target="https://doi.org/10.3758/s13428-014-0458-y" TargetMode="External" /><Relationship Type="http://schemas.openxmlformats.org/officeDocument/2006/relationships/hyperlink" Id="rId225" Target="https://doi.org/10.3758/s13428-017-0913-7" TargetMode="External" /><Relationship Type="http://schemas.openxmlformats.org/officeDocument/2006/relationships/hyperlink" Id="rId215" Target="https://doi.org/10.3758/s13428-018-01193-y" TargetMode="External" /><Relationship Type="http://schemas.openxmlformats.org/officeDocument/2006/relationships/hyperlink" Id="rId151" Target="https://doi.org/10.3758/s13428-019-01237-x" TargetMode="External" /><Relationship Type="http://schemas.openxmlformats.org/officeDocument/2006/relationships/hyperlink" Id="rId212" Target="https://doi.org/10.3758/s13428-020-01430-3" TargetMode="External" /><Relationship Type="http://schemas.openxmlformats.org/officeDocument/2006/relationships/hyperlink" Id="rId194" Target="https://doi.org/10.3758/s13428-021-01546-0" TargetMode="External" /><Relationship Type="http://schemas.openxmlformats.org/officeDocument/2006/relationships/hyperlink" Id="rId186" Target="https://doi.org/10.3758/s13428-022-01969-3" TargetMode="External" /><Relationship Type="http://schemas.openxmlformats.org/officeDocument/2006/relationships/hyperlink" Id="rId229" Target="https://doi.org/10.3758/s13428-022-01989-z" TargetMode="External" /><Relationship Type="http://schemas.openxmlformats.org/officeDocument/2006/relationships/hyperlink" Id="rId219" Target="https://doi.org/10.3758/s13428-023-02176-4" TargetMode="External" /><Relationship Type="http://schemas.openxmlformats.org/officeDocument/2006/relationships/hyperlink" Id="rId192" Target="https://doi.org/10.3758/s13428-023-02237-8" TargetMode="External" /><Relationship Type="http://schemas.openxmlformats.org/officeDocument/2006/relationships/hyperlink" Id="rId244" Target="https://doi.org/10.5070/G6011131" TargetMode="External" /><Relationship Type="http://schemas.openxmlformats.org/officeDocument/2006/relationships/hyperlink" Id="rId41" Target="https://github.com/jgeller112/webcam_gazeR_VWP" TargetMode="External" /><Relationship Type="http://schemas.openxmlformats.org/officeDocument/2006/relationships/hyperlink" Id="rId176" Target="https://github.com/jgeller112/webgazeR" TargetMode="External" /><Relationship Type="http://schemas.openxmlformats.org/officeDocument/2006/relationships/hyperlink" Id="rId196" Target="https://online.ucpress.edu/collabra/article/8/1/33267/120491/Sample-Size-Justification" TargetMode="External" /><Relationship Type="http://schemas.openxmlformats.org/officeDocument/2006/relationships/hyperlink" Id="rId51" Target="https://osf.io/mgkd2/" TargetMode="External" /><Relationship Type="http://schemas.openxmlformats.org/officeDocument/2006/relationships/hyperlink" Id="rId235" Target="https://www.tandfonline.com/doi/abs/10.1080/23273798.2019.1678759" TargetMode="External" /><Relationship Type="http://schemas.openxmlformats.org/officeDocument/2006/relationships/hyperlink" Id="rId146"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17" Target="http://cejsh.icm.edu.pl/cejsh/element/bwmeta1.element.desklight-98576d43-39e3-4981-8c1c-717962cf29da" TargetMode="External" /><Relationship Type="http://schemas.openxmlformats.org/officeDocument/2006/relationships/hyperlink" Id="rId190" Target="http://hdl.handle.net/1854/LU-5774107" TargetMode="External" /><Relationship Type="http://schemas.openxmlformats.org/officeDocument/2006/relationships/hyperlink" Id="rId237" Target="http://www.ncbi.nlm.nih.gov/pubmed/7777863" TargetMode="External" /><Relationship Type="http://schemas.openxmlformats.org/officeDocument/2006/relationships/hyperlink" Id="rId208" Target="https://CRAN.R-project.org/package=foreach" TargetMode="External" /><Relationship Type="http://schemas.openxmlformats.org/officeDocument/2006/relationships/hyperlink" Id="rId153" Target="https://CRAN.R-project.org/package=ggokabeito" TargetMode="External" /><Relationship Type="http://schemas.openxmlformats.org/officeDocument/2006/relationships/hyperlink" Id="rId172" Target="https://CRAN.R-project.org/package=janitor" TargetMode="External" /><Relationship Type="http://schemas.openxmlformats.org/officeDocument/2006/relationships/hyperlink" Id="rId242" Target="https://CRAN.R-project.org/package=permutes" TargetMode="External" /><Relationship Type="http://schemas.openxmlformats.org/officeDocument/2006/relationships/hyperlink" Id="rId40" Target="https://app.gorilla.sc/openmaterials/953693" TargetMode="External" /><Relationship Type="http://schemas.openxmlformats.org/officeDocument/2006/relationships/hyperlink" Id="rId166" Target="https://doi.org/10.1007/BF02143160" TargetMode="External" /><Relationship Type="http://schemas.openxmlformats.org/officeDocument/2006/relationships/hyperlink" Id="rId163" Target="https://doi.org/10.1016/0010-0285(74)90005-X" TargetMode="External" /><Relationship Type="http://schemas.openxmlformats.org/officeDocument/2006/relationships/hyperlink" Id="rId184" Target="https://doi.org/10.1016/j.cognition.2020.104251" TargetMode="External" /><Relationship Type="http://schemas.openxmlformats.org/officeDocument/2006/relationships/hyperlink" Id="rId206" Target="https://doi.org/10.1016/j.cogpsych.2009.06.003" TargetMode="External" /><Relationship Type="http://schemas.openxmlformats.org/officeDocument/2006/relationships/hyperlink" Id="rId161" Target="https://doi.org/10.1016/j.ijpsycho.2020.05.010" TargetMode="External" /><Relationship Type="http://schemas.openxmlformats.org/officeDocument/2006/relationships/hyperlink" Id="rId188" Target="https://doi.org/10.1016/j.jml.2017.09.002" TargetMode="External" /><Relationship Type="http://schemas.openxmlformats.org/officeDocument/2006/relationships/hyperlink" Id="rId221" Target="https://doi.org/10.1016/j.jml.2023.104472" TargetMode="External" /><Relationship Type="http://schemas.openxmlformats.org/officeDocument/2006/relationships/hyperlink" Id="rId202" Target="https://doi.org/10.1016/j.jneumeth.2007.03.024" TargetMode="External" /><Relationship Type="http://schemas.openxmlformats.org/officeDocument/2006/relationships/hyperlink" Id="rId155" Target="https://doi.org/10.1016/j.tics.2022.09.015" TargetMode="External" /><Relationship Type="http://schemas.openxmlformats.org/officeDocument/2006/relationships/hyperlink" Id="rId180" Target="https://doi.org/10.1017/S0140525X10000300" TargetMode="External" /><Relationship Type="http://schemas.openxmlformats.org/officeDocument/2006/relationships/hyperlink" Id="rId233" Target="https://doi.org/10.1017/S1366728920000607" TargetMode="External" /><Relationship Type="http://schemas.openxmlformats.org/officeDocument/2006/relationships/hyperlink" Id="rId210" Target="https://doi.org/10.1037/a0026451" TargetMode="External" /><Relationship Type="http://schemas.openxmlformats.org/officeDocument/2006/relationships/hyperlink" Id="rId157" Target="https://doi.org/10.1075/lab.23071.bra" TargetMode="External" /><Relationship Type="http://schemas.openxmlformats.org/officeDocument/2006/relationships/hyperlink" Id="rId239" Target="https://doi.org/10.1075/lald.44.05tru" TargetMode="External" /><Relationship Type="http://schemas.openxmlformats.org/officeDocument/2006/relationships/hyperlink" Id="rId200" Target="https://doi.org/10.1080/03640210709336987" TargetMode="External" /><Relationship Type="http://schemas.openxmlformats.org/officeDocument/2006/relationships/hyperlink" Id="rId223" Target="https://doi.org/10.1080/23273798.2021.1952283" TargetMode="External" /><Relationship Type="http://schemas.openxmlformats.org/officeDocument/2006/relationships/hyperlink" Id="rId159" Target="https://doi.org/10.1093/applin/amad022" TargetMode="External" /><Relationship Type="http://schemas.openxmlformats.org/officeDocument/2006/relationships/hyperlink" Id="rId182" Target="https://doi.org/10.1111/2041-210X.12504" TargetMode="External" /><Relationship Type="http://schemas.openxmlformats.org/officeDocument/2006/relationships/hyperlink" Id="rId178" Target="https://doi.org/10.1111/lang.12664" TargetMode="External" /><Relationship Type="http://schemas.openxmlformats.org/officeDocument/2006/relationships/hyperlink" Id="rId170" Target="https://doi.org/10.1111/psyp.13468" TargetMode="External" /><Relationship Type="http://schemas.openxmlformats.org/officeDocument/2006/relationships/hyperlink" Id="rId231" Target="https://doi.org/10.1162/opmi_a_00171" TargetMode="External" /><Relationship Type="http://schemas.openxmlformats.org/officeDocument/2006/relationships/hyperlink" Id="rId149" Target="https://doi.org/10.1177/0146167218798821" TargetMode="External" /><Relationship Type="http://schemas.openxmlformats.org/officeDocument/2006/relationships/hyperlink" Id="rId227" Target="https://doi.org/10.1177/0956797614567341" TargetMode="External" /><Relationship Type="http://schemas.openxmlformats.org/officeDocument/2006/relationships/hyperlink" Id="rId248" Target="https://doi.org/10.17605/OSF.IO/MD832" TargetMode="External" /><Relationship Type="http://schemas.openxmlformats.org/officeDocument/2006/relationships/hyperlink" Id="rId174" Target="https://doi.org/10.18637/jss.v099.i15" TargetMode="External" /><Relationship Type="http://schemas.openxmlformats.org/officeDocument/2006/relationships/hyperlink" Id="rId204" Target="https://doi.org/10.31234/osf.io/2c5b6" TargetMode="External" /><Relationship Type="http://schemas.openxmlformats.org/officeDocument/2006/relationships/hyperlink" Id="rId168" Target="https://doi.org/10.3758/BF03193146" TargetMode="External" /><Relationship Type="http://schemas.openxmlformats.org/officeDocument/2006/relationships/hyperlink" Id="rId246" Target="https://doi.org/10.3758/s13414-017-1361-2" TargetMode="External" /><Relationship Type="http://schemas.openxmlformats.org/officeDocument/2006/relationships/hyperlink" Id="rId198" Target="https://doi.org/10.3758/s13428-014-0458-y" TargetMode="External" /><Relationship Type="http://schemas.openxmlformats.org/officeDocument/2006/relationships/hyperlink" Id="rId225" Target="https://doi.org/10.3758/s13428-017-0913-7" TargetMode="External" /><Relationship Type="http://schemas.openxmlformats.org/officeDocument/2006/relationships/hyperlink" Id="rId215" Target="https://doi.org/10.3758/s13428-018-01193-y" TargetMode="External" /><Relationship Type="http://schemas.openxmlformats.org/officeDocument/2006/relationships/hyperlink" Id="rId151" Target="https://doi.org/10.3758/s13428-019-01237-x" TargetMode="External" /><Relationship Type="http://schemas.openxmlformats.org/officeDocument/2006/relationships/hyperlink" Id="rId212" Target="https://doi.org/10.3758/s13428-020-01430-3" TargetMode="External" /><Relationship Type="http://schemas.openxmlformats.org/officeDocument/2006/relationships/hyperlink" Id="rId194" Target="https://doi.org/10.3758/s13428-021-01546-0" TargetMode="External" /><Relationship Type="http://schemas.openxmlformats.org/officeDocument/2006/relationships/hyperlink" Id="rId186" Target="https://doi.org/10.3758/s13428-022-01969-3" TargetMode="External" /><Relationship Type="http://schemas.openxmlformats.org/officeDocument/2006/relationships/hyperlink" Id="rId229" Target="https://doi.org/10.3758/s13428-022-01989-z" TargetMode="External" /><Relationship Type="http://schemas.openxmlformats.org/officeDocument/2006/relationships/hyperlink" Id="rId219" Target="https://doi.org/10.3758/s13428-023-02176-4" TargetMode="External" /><Relationship Type="http://schemas.openxmlformats.org/officeDocument/2006/relationships/hyperlink" Id="rId192" Target="https://doi.org/10.3758/s13428-023-02237-8" TargetMode="External" /><Relationship Type="http://schemas.openxmlformats.org/officeDocument/2006/relationships/hyperlink" Id="rId244" Target="https://doi.org/10.5070/G6011131" TargetMode="External" /><Relationship Type="http://schemas.openxmlformats.org/officeDocument/2006/relationships/hyperlink" Id="rId41" Target="https://github.com/jgeller112/webcam_gazeR_VWP" TargetMode="External" /><Relationship Type="http://schemas.openxmlformats.org/officeDocument/2006/relationships/hyperlink" Id="rId176" Target="https://github.com/jgeller112/webgazeR" TargetMode="External" /><Relationship Type="http://schemas.openxmlformats.org/officeDocument/2006/relationships/hyperlink" Id="rId196" Target="https://online.ucpress.edu/collabra/article/8/1/33267/120491/Sample-Size-Justification" TargetMode="External" /><Relationship Type="http://schemas.openxmlformats.org/officeDocument/2006/relationships/hyperlink" Id="rId51" Target="https://osf.io/mgkd2/" TargetMode="External" /><Relationship Type="http://schemas.openxmlformats.org/officeDocument/2006/relationships/hyperlink" Id="rId235" Target="https://www.tandfonline.com/doi/abs/10.1080/23273798.2019.1678759" TargetMode="External" /><Relationship Type="http://schemas.openxmlformats.org/officeDocument/2006/relationships/hyperlink" Id="rId146"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2024-12-30T17:48:01Z</dcterms:created>
  <dcterms:modified xsi:type="dcterms:W3CDTF">2024-12-30T17:48:01Z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vt:lpwstr>
  </property>
  <property fmtid="{D5CDD505-2E9C-101B-9397-08002B2CF9AE}" pid="5" name="apaauthor">
    <vt:lpwstr/>
  </property>
  <property fmtid="{D5CDD505-2E9C-101B-9397-08002B2CF9AE}" pid="6" name="apatitle">
    <vt:lpwstr>Language Without Borders: A Step-by-Step Guide to Analyzing Webcam Eye-Tracking Data for L2 Research</vt:lpwstr>
  </property>
  <property fmtid="{D5CDD505-2E9C-101B-9397-08002B2CF9AE}" pid="7" name="apatitledisplay">
    <vt:lpwstr>Language Without Borders: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