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5.png" ContentType="image/png"/>
  <Override PartName="/word/media/rId78.png" ContentType="image/png"/>
  <Override PartName="/word/media/rId62.jpg" ContentType="image/jpeg"/>
  <Override PartName="/word/media/rId92.png" ContentType="image/png"/>
  <Override PartName="/word/media/rId103.png" ContentType="image/png"/>
  <Override PartName="/word/media/rId47.png" ContentType="image/png"/>
  <Override PartName="/word/media/rId71.png" ContentType="image/png"/>
  <Override PartName="/word/media/rId129.png" ContentType="image/png"/>
  <Override PartName="/word/media/rId43.svg" ContentType="image/svg+xml"/>
  <Override PartName="/word/media/rId54.svg" ContentType="image/svg+xml"/>
  <Override PartName="/word/media/rId98.png" ContentType="image/png"/>
  <Override PartName="/word/media/rId112.png" ContentType="image/png"/>
  <Override PartName="/word/media/rId118.png" ContentType="image/png"/>
  <Override PartName="/word/media/rId86.png" ContentType="image/png"/>
  <Override PartName="/word/media/rId107.png" ContentType="image/png"/>
  <Override PartName="/word/media/rId82.png" ContentType="image/png"/>
  <Override PartName="/word/media/rId67.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Language Without Borders: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http://orcid.org/0000-0002-7459-4505</w:t>
      </w:r>
    </w:p>
    <w:p>
      <w:pPr>
        <w:pStyle w:val="BodyText"/>
      </w:pPr>
      <w:r>
        <w:t xml:space="preserve">Yanina Prystauka</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http://orcid.org/0000-0000-0000-0002</w:t>
      </w:r>
    </w:p>
    <w:p>
      <w:pPr>
        <w:pStyle w:val="BodyText"/>
      </w:pPr>
      <w:r>
        <w:t xml:space="preserve">Sarah Colby</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http://orcid.org/0000-0000-0000-0003</w:t>
      </w:r>
    </w:p>
    <w:p>
      <w:pPr>
        <w:pStyle w:val="BodyText"/>
      </w:pPr>
      <w:r>
        <w:t xml:space="preserve">Julia Droulin</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original draft, writing – review &amp; editing, and formal analysis. </w:t>
      </w:r>
      <w:r>
        <w:rPr>
          <w:i/>
          <w:iCs/>
        </w:rPr>
        <w:t xml:space="preserve">Sarah Colby</w:t>
      </w:r>
      <w:r>
        <w:rPr>
          <w:b/>
          <w:bCs/>
        </w:rPr>
        <w:t xml:space="preserve">: </w:t>
      </w:r>
      <w:r>
        <w:t xml:space="preserve">writing – original draft and writing – review &amp; editing. </w:t>
      </w:r>
      <w:r>
        <w:rPr>
          <w:i/>
          <w:iCs/>
        </w:rPr>
        <w:t xml:space="preserve">Julia Droulin</w:t>
      </w:r>
      <w:r>
        <w:rPr>
          <w:b/>
          <w:bCs/>
        </w:rPr>
        <w:t xml:space="preserve">: </w:t>
      </w:r>
      <w:r>
        <w:t xml:space="preserve">conceptualziation, writing – original draft,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4"/>
    <w:bookmarkStart w:id="35"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w:t>
      </w:r>
    </w:p>
    <w:p>
      <w:pPr>
        <w:pStyle w:val="BodyText"/>
      </w:pPr>
      <w:r>
        <w:rPr>
          <w:i/>
          <w:iCs/>
        </w:rPr>
        <w:t xml:space="preserve">Keywords</w:t>
      </w:r>
      <w:r>
        <w:t xml:space="preserve">: VWP, Tutorial, Webcam eye-tracking, R, Gorilla</w:t>
      </w:r>
    </w:p>
    <w:p>
      <w:r>
        <w:br w:type="page"/>
      </w:r>
    </w:p>
    <w:bookmarkEnd w:id="35"/>
    <w:bookmarkStart w:id="40" w:name="firstheader"/>
    <w:p>
      <w:pPr>
        <w:pStyle w:val="Heading1"/>
      </w:pPr>
      <w:r>
        <w:t xml:space="preserve">Language Without Borders: A Step-by-Step Guide to Analyzing Webcam Eye-Tracking Data for L2 Research</w:t>
      </w:r>
    </w:p>
    <w:p>
      <w:pPr>
        <w:pStyle w:val="FirstParagraph"/>
      </w:pPr>
      <w:r>
        <w:t xml:space="preserve">Eye-tracking technology, which has a history spanning over a century, has seen remarkable advancements. In the early days, eye-tracking sometimes required the use of contact lenses fitted with search coils, often requiring anesthesia, or the attachment of suction cups to the sclera of the eyes</w:t>
      </w:r>
      <w:r>
        <w:t xml:space="preserve"> </w:t>
      </w:r>
      <w:r>
        <w:t xml:space="preserve">(</w:t>
      </w:r>
      <w:hyperlink w:anchor="ref-pluzyczka2018">
        <w:r>
          <w:rPr>
            <w:rStyle w:val="Hyperlink"/>
          </w:rPr>
          <w:t xml:space="preserve">Płużyczka, 2018</w:t>
        </w:r>
      </w:hyperlink>
      <w:r>
        <w:t xml:space="preserve">)</w:t>
      </w:r>
      <w:r>
        <w:t xml:space="preserve">.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et al., 2024</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normal developing language abilities</w:t>
      </w:r>
      <w:r>
        <w:t xml:space="preserve"> </w:t>
      </w:r>
      <w:r>
        <w:t xml:space="preserve">(</w:t>
      </w:r>
      <w:hyperlink w:anchor="ref-mcmurray2010">
        <w:r>
          <w:rPr>
            <w:rStyle w:val="Hyperlink"/>
          </w:rPr>
          <w:t xml:space="preserve">McMurray et al., 2010</w:t>
        </w:r>
      </w:hyperlink>
      <w:r>
        <w:t xml:space="preserve">)</w:t>
      </w:r>
      <w:r>
        <w:t xml:space="preserve">. These limitations not only narrow the populations available for study but also compromise the generalizability and applicability of research findings.</w:t>
      </w:r>
    </w:p>
    <w:bookmarkStart w:id="36"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w:t>
      </w:r>
    </w:p>
    <w:p>
      <w:pPr>
        <w:pStyle w:val="BodyText"/>
      </w:pPr>
      <w:r>
        <w:t xml:space="preserve">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Here eye gaze (direction) is manually analyzed post-hoc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browser. One common method to perform webcam eye-tracking is through an open source, free, and actively maintained JavaScript library plugin called WebGazer.js</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w:t>
      </w:r>
      <w:r>
        <w:t xml:space="preserve"> </w:t>
      </w:r>
      <w:r>
        <w:t xml:space="preserve">Anwyl-Irvine et al. (</w:t>
      </w:r>
      <w:hyperlink w:anchor="ref-anwyl-irvine2020">
        <w:r>
          <w:rPr>
            <w:rStyle w:val="Hyperlink"/>
          </w:rPr>
          <w:t xml:space="preserve">2020</w:t>
        </w:r>
      </w:hyperlink>
      <w:r>
        <w:t xml:space="preserve">)</w:t>
      </w:r>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w:t>
      </w:r>
      <w:r>
        <w:t xml:space="preserve"> </w:t>
      </w:r>
      <w:r>
        <w:t xml:space="preserve">Zehr and Schwarz (</w:t>
      </w:r>
      <w:hyperlink w:anchor="ref-zehr2018penncontroller">
        <w:r>
          <w:rPr>
            <w:rStyle w:val="Hyperlink"/>
          </w:rPr>
          <w:t xml:space="preserve">2018</w:t>
        </w:r>
      </w:hyperlink>
      <w:r>
        <w:t xml:space="preserve">)</w:t>
      </w:r>
      <w:r>
        <w:t xml:space="preserve">]. A benefit of WebGazer.js is that it does not require users to download any software, and is fully integrated in the browser, making it extremely easy to start webcam eye-tracking.</w:t>
      </w:r>
    </w:p>
    <w:p>
      <w:pPr>
        <w:pStyle w:val="BodyText"/>
      </w:pPr>
      <w:r>
        <w:t xml:space="preserve">WebGazer.js uses facial feature detection to dynamically estimate gaze positions in real time via webcam. For every time point (based on sampling rate), x and y coordinates are recorded. WebGazer.js leverages machine learning to analyze the relative movement of the eyes and infer gaze location on a screen. To imporve accuracy, a calibration process is used in which users interaction with visual stimuli, such as looking at and clicking random dots or tracking a moving dot. This mapping process enhances the precision of the gaze-to-screen-coordinate relationship</w:t>
      </w:r>
    </w:p>
    <w:p>
      <w:pPr>
        <w:pStyle w:val="BodyText"/>
      </w:pPr>
      <w:r>
        <w:t xml:space="preserve">It is important to note that WebGazer.js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36"/>
    <w:bookmarkStart w:id="38"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on visual world eye-tracking has been conducted in laboratory settings using research-grade eye-trackers. However, several attempts have been made to conduct these experiments online using webcam-based eye-tracking. Most online VWP replications have focused on sentence-based language processing. These studies have looked at effects of set size and determiners</w:t>
      </w:r>
      <w:r>
        <w:t xml:space="preserve"> </w:t>
      </w:r>
      <w:r>
        <w:t xml:space="preserve">(</w:t>
      </w:r>
      <w:hyperlink w:anchor="ref-degen2021">
        <w:r>
          <w:rPr>
            <w:rStyle w:val="Hyperlink"/>
          </w:rPr>
          <w:t xml:space="preserve">Degen et al., 2021</w:t>
        </w:r>
      </w:hyperlink>
      <w:r>
        <w:t xml:space="preserve">)</w:t>
      </w:r>
      <w:r>
        <w:t xml:space="preserve">, verb semantic constraint</w:t>
      </w:r>
      <w:r>
        <w:t xml:space="preserve"> </w:t>
      </w:r>
      <w:r>
        <w:t xml:space="preserve">(</w:t>
      </w:r>
      <w:hyperlink w:anchor="ref-prystauka2024">
        <w:r>
          <w:rPr>
            <w:rStyle w:val="Hyperlink"/>
          </w:rPr>
          <w:t xml:space="preserve">Prystauka et al., 2024</w:t>
        </w:r>
      </w:hyperlink>
      <w:r>
        <w:t xml:space="preserve">;</w:t>
      </w:r>
      <w:r>
        <w:t xml:space="preserve"> </w:t>
      </w:r>
      <w:hyperlink w:anchor="ref-slim2023">
        <w:r>
          <w:rPr>
            <w:rStyle w:val="Hyperlink"/>
          </w:rPr>
          <w:t xml:space="preserve">Slim &amp; Hartsuiker, 2023</w:t>
        </w:r>
      </w:hyperlink>
      <w:r>
        <w:t xml:space="preserve">)</w:t>
      </w:r>
      <w:r>
        <w:t xml:space="preserve">, grammatical aspect and event comprehension</w:t>
      </w:r>
      <w:r>
        <w:t xml:space="preserve"> </w:t>
      </w:r>
      <w:r>
        <w:t xml:space="preserve">(</w:t>
      </w:r>
      <w:hyperlink w:anchor="ref-vos2022">
        <w:r>
          <w:rPr>
            <w:rStyle w:val="Hyperlink"/>
          </w:rPr>
          <w:t xml:space="preserve">Vos et al., 2022</w:t>
        </w:r>
      </w:hyperlink>
      <w:r>
        <w:t xml:space="preserve">)</w:t>
      </w:r>
      <w:r>
        <w:t xml:space="preserve">, and lexical interference</w:t>
      </w:r>
      <w:r>
        <w:t xml:space="preserve"> </w:t>
      </w:r>
      <w:r>
        <w:t xml:space="preserve">(</w:t>
      </w:r>
      <w:hyperlink w:anchor="ref-prystauka2024">
        <w:r>
          <w:rPr>
            <w:rStyle w:val="Hyperlink"/>
          </w:rPr>
          <w:t xml:space="preserve">Prystauka et al., 2024</w:t>
        </w:r>
      </w:hyperlink>
      <w:r>
        <w:t xml:space="preserve">)</w:t>
      </w:r>
      <w:r>
        <w:t xml:space="preserve">.</w:t>
      </w:r>
    </w:p>
    <w:p>
      <w:pPr>
        <w:pStyle w:val="BodyText"/>
      </w:pPr>
      <w:r>
        <w:t xml:space="preserve">More relevant to the current paper are findings from single-word VWP studies conducted online. To date, only one study has investigated visual world webcam eye-tracking with single words.</w:t>
      </w:r>
      <w:r>
        <w:t xml:space="preserve"> </w:t>
      </w:r>
      <w:r>
        <w:t xml:space="preserve">Slim et al. (</w:t>
      </w:r>
      <w:hyperlink w:anchor="ref-slim2024">
        <w:r>
          <w:rPr>
            <w:rStyle w:val="Hyperlink"/>
          </w:rPr>
          <w:t xml:space="preserve">2024</w:t>
        </w:r>
      </w:hyperlink>
      <w:r>
        <w:t xml:space="preserve">)</w:t>
      </w:r>
      <w:r>
        <w:t xml:space="preserve"> </w:t>
      </w:r>
      <w:r>
        <w:t xml:space="preserve">examined a phonemic cohort task. In the cohort task, pictures were displayed randomly in one of four quadrants, and participants were instructed to fixate on the target based on the auditory cue. On each trial, one of the pictures was phonemically similar to the target in onset (e.g.,</w:t>
      </w:r>
      <w:r>
        <w:t xml:space="preserve"> </w:t>
      </w:r>
      <w:r>
        <w:rPr>
          <w:i/>
          <w:iCs/>
        </w:rPr>
        <w:t xml:space="preserve">MILK</w:t>
      </w:r>
      <w:r>
        <w:t xml:space="preserve"> </w:t>
      </w:r>
      <w:r>
        <w:t xml:space="preserve">–</w:t>
      </w:r>
      <w:r>
        <w:t xml:space="preserve"> </w:t>
      </w:r>
      <w:r>
        <w:rPr>
          <w:i/>
          <w:iCs/>
        </w:rPr>
        <w:t xml:space="preserve">MITTEN</w:t>
      </w:r>
      <w:r>
        <w:t xml:space="preserve">).</w:t>
      </w:r>
    </w:p>
    <w:p>
      <w:pPr>
        <w:pStyle w:val="BodyText"/>
      </w:pPr>
      <w:r>
        <w:t xml:space="preserve">They were able to observe significant fixations to the cohort compared to the control condition, replicating lab-based single word VWP experiments with research grade eye-trackers</w:t>
      </w:r>
      <w:r>
        <w:t xml:space="preserve"> </w:t>
      </w:r>
      <w:r>
        <w:t xml:space="preserve">(e.g.,</w:t>
      </w:r>
      <w:r>
        <w:t xml:space="preserve"> </w:t>
      </w:r>
      <w:hyperlink w:anchor="ref-allopenna1998">
        <w:r>
          <w:rPr>
            <w:rStyle w:val="Hyperlink"/>
          </w:rPr>
          <w:t xml:space="preserve">Allopenna et al., 1998</w:t>
        </w:r>
      </w:hyperlink>
      <w:r>
        <w:t xml:space="preserve">)</w:t>
      </w:r>
      <w:r>
        <w:t xml:space="preserve">. However,</w:t>
      </w:r>
      <w:r>
        <w:t xml:space="preserve"> </w:t>
      </w:r>
      <w:r>
        <w:t xml:space="preserve">Slim et al. (</w:t>
      </w:r>
      <w:hyperlink w:anchor="ref-slim2024">
        <w:r>
          <w:rPr>
            <w:rStyle w:val="Hyperlink"/>
          </w:rPr>
          <w:t xml:space="preserve">2024</w:t>
        </w:r>
      </w:hyperlink>
      <w:r>
        <w:t xml:space="preserve">)</w:t>
      </w:r>
      <w:r>
        <w:t xml:space="preserve"> </w:t>
      </w:r>
      <w:r>
        <w:t xml:space="preserve">only observed these competition effects in a later time window compared to remote eye-tracking.</w:t>
      </w:r>
    </w:p>
    <w:p>
      <w:pPr>
        <w:pStyle w:val="BodyText"/>
      </w:pPr>
      <w:r>
        <w:t xml:space="preserve">It is important to note, however, that while these studies represent successful replication attempts, there is an important caveat. Most notably, some studies</w:t>
      </w:r>
      <w:r>
        <w:t xml:space="preserve"> </w:t>
      </w:r>
      <w:r>
        <w:t xml:space="preserve">(</w:t>
      </w:r>
      <w:hyperlink w:anchor="ref-degen2021">
        <w:r>
          <w:rPr>
            <w:rStyle w:val="Hyperlink"/>
          </w:rPr>
          <w:t xml:space="preserve">Degen et al., 2021</w:t>
        </w:r>
      </w:hyperlink>
      <w:r>
        <w:t xml:space="preserve">;</w:t>
      </w:r>
      <w:r>
        <w:t xml:space="preserve"> </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w:t>
      </w:r>
      <w:r>
        <w:t xml:space="preserve">reported considerable delays in the temporal onset of effects. Several factors likely contribute to these delays, including reduced spatial precision, computational demands, the size of areas of interest (AOIs), and the number of calibrations performed</w:t>
      </w:r>
      <w:r>
        <w:t xml:space="preserve"> </w:t>
      </w:r>
      <w:r>
        <w:t xml:space="preserve">(</w:t>
      </w:r>
      <w:hyperlink w:anchor="ref-degen2021">
        <w:r>
          <w:rPr>
            <w:rStyle w:val="Hyperlink"/>
          </w:rPr>
          <w:t xml:space="preserve">Degen et al., 2021</w:t>
        </w:r>
      </w:hyperlink>
      <w:r>
        <w:t xml:space="preserve">)</w:t>
      </w:r>
      <w:r>
        <w:t xml:space="preserve">.</w:t>
      </w:r>
    </w:p>
    <w:p>
      <w:pPr>
        <w:pStyle w:val="BodyText"/>
      </w:pPr>
      <w:r>
        <w:t xml:space="preserve">More recent work has addressed these limitations by utilizing am updated version of WebGazer.js and using different experimental platforms.</w:t>
      </w:r>
      <w:r>
        <w:t xml:space="preserve"> </w:t>
      </w:r>
      <w:r>
        <w:rPr>
          <w:rStyle w:val="FootnoteReference"/>
        </w:rPr>
        <w:footnoteReference w:id="37"/>
      </w:r>
      <w:r>
        <w:t xml:space="preserve">For instance,</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delays—approximately 50 ms—when comparing lab-based and online versions of the VWP using an updated version of WebGazer within the jsPsych framework</w:t>
      </w:r>
      <w:r>
        <w:t xml:space="preserve"> </w:t>
      </w:r>
      <w:r>
        <w:t xml:space="preserve">(</w:t>
      </w:r>
      <w:hyperlink w:anchor="ref-deleeuw2015">
        <w:r>
          <w:rPr>
            <w:rStyle w:val="Hyperlink"/>
          </w:rPr>
          <w:t xml:space="preserve">Leeuw, 2015</w:t>
        </w:r>
      </w:hyperlink>
      <w:r>
        <w:t xml:space="preserve">)</w:t>
      </w:r>
      <w:r>
        <w:t xml:space="preserve">. Furthermore,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which leveraged the Gorilla platform alongside the improved WebGazer algorithm, reported effects comparable to those observed in traditional lab-based VWP studies.</w:t>
      </w:r>
    </w:p>
    <w:p>
      <w:pPr>
        <w:pStyle w:val="BodyText"/>
      </w:pPr>
      <w:r>
        <w:t xml:space="preserve">These findings underscore the potential of the online version of the VWP, powered by webcam eye-tracking, to achieve results similar to those of traditional lab-based methods. Importantly, they demonstrate that this approach can effectively be used to study competition effects in single-word speech perception</w:t>
      </w:r>
    </w:p>
    <w:bookmarkEnd w:id="38"/>
    <w:bookmarkStart w:id="39" w:name="tutorial"/>
    <w:p>
      <w:pPr>
        <w:pStyle w:val="Heading2"/>
      </w:pPr>
      <w:r>
        <w:t xml:space="preserve">Tutorial</w:t>
      </w:r>
    </w:p>
    <w:p>
      <w:pPr>
        <w:pStyle w:val="FirstParagraph"/>
      </w:pPr>
      <w:r>
        <w:t xml:space="preserve">Taken together, it seems that webcam eye-tracking is viable alternative to lab-based eye-tracking. 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39"/>
    <w:bookmarkEnd w:id="40"/>
    <w:bookmarkStart w:id="124"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“cielo”</w:t>
      </w:r>
      <w:r>
        <w:t xml:space="preserve"> </w:t>
      </w:r>
      <w:r>
        <w:t xml:space="preserve">(sky), the Spanish competitor was</w:t>
      </w:r>
      <w:r>
        <w:t xml:space="preserve"> </w:t>
      </w:r>
      <w:r>
        <w:t xml:space="preserve">“ciencia”</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“botas”</w:t>
      </w:r>
      <w:r>
        <w:t xml:space="preserve"> </w:t>
      </w:r>
      <w:r>
        <w:t xml:space="preserve">(boots), the English competitor was</w:t>
      </w:r>
      <w:r>
        <w:t xml:space="preserve"> </w:t>
      </w:r>
      <w:r>
        <w:t xml:space="preserve">“border.”</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59" w:name="method"/>
    <w:p>
      <w:pPr>
        <w:pStyle w:val="Heading2"/>
      </w:pPr>
      <w:r>
        <w:t xml:space="preserve">Method</w:t>
      </w:r>
    </w:p>
    <w:p>
      <w:pPr>
        <w:pStyle w:val="FirstParagraph"/>
      </w:pPr>
      <w:r>
        <w:t xml:space="preserve">All tasks herein can be previewed here (</w:t>
      </w:r>
      <w:hyperlink r:id="rId41">
        <w:r>
          <w:rPr>
            <w:rStyle w:val="Hyperlink"/>
          </w:rPr>
          <w:t xml:space="preserve">https://app.gorilla.sc/openmaterials/953693</w:t>
        </w:r>
      </w:hyperlink>
      <w:r>
        <w:t xml:space="preserve">). The manuscript, data, and R code can be found on Github (</w:t>
      </w:r>
      <w:hyperlink r:id="rId42">
        <w:r>
          <w:rPr>
            <w:rStyle w:val="Hyperlink"/>
          </w:rPr>
          <w:t xml:space="preserve">https://github.com/jgeller112/webcam_gazeR_VWP</w:t>
        </w:r>
      </w:hyperlink>
      <w:r>
        <w:t xml:space="preserve">).</w:t>
      </w:r>
    </w:p>
    <w:bookmarkStart w:id="51"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46" w:name="fig-sankey"/>
    <w:p>
      <w:pPr>
        <w:pStyle w:val="FigureTitle"/>
      </w:pPr>
      <w:r>
        <w:t xml:space="preserve">Figure 1</w:t>
      </w:r>
    </w:p>
    <w:p>
      <w:pPr>
        <w:pStyle w:val="Caption"/>
      </w:pPr>
      <w:r>
        <w:t xml:space="preserve">Participant flow through the experiment</w:t>
      </w:r>
    </w:p>
    <w:p>
      <w:pPr>
        <w:pStyle w:val="FigureWithoutNote"/>
      </w:pPr>
      <w:r>
        <w:drawing>
          <wp:inline>
            <wp:extent cx="5943600" cy="4754880"/>
            <wp:effectExtent b="0" l="0" r="0" t="0"/>
            <wp:docPr descr="" title="" id="44" name="Picture"/>
            <a:graphic>
              <a:graphicData uri="http://schemas.openxmlformats.org/drawingml/2006/picture">
                <pic:pic>
                  <pic:nvPicPr>
                    <pic:cNvPr descr="Figures/sankey_plot.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5943600" cy="4754880"/>
                    </a:xfrm>
                    <a:prstGeom prst="rect">
                      <a:avLst/>
                    </a:prstGeom>
                    <a:noFill/>
                    <a:ln w="9525">
                      <a:noFill/>
                      <a:headEnd/>
                      <a:tailEnd/>
                    </a:ln>
                  </pic:spPr>
                </pic:pic>
              </a:graphicData>
            </a:graphic>
          </wp:inline>
        </w:drawing>
      </w:r>
    </w:p>
    <w:bookmarkEnd w:id="46"/>
    <w:bookmarkStart w:id="50" w:name="tbl-demo2"/>
    <w:p>
      <w:pPr>
        <w:pStyle w:val="FigureTitle"/>
      </w:pPr>
      <w:r>
        <w:t xml:space="preserve">Table 1</w:t>
      </w:r>
    </w:p>
    <w:p>
      <w:pPr>
        <w:pStyle w:val="Caption"/>
      </w:pPr>
      <w:r>
        <w:t xml:space="preserve">Participant demographic variables</w:t>
      </w:r>
    </w:p>
    <w:p>
      <w:pPr>
        <w:pStyle w:val="FigureWithoutNote"/>
      </w:pPr>
      <w:r>
        <w:drawing>
          <wp:inline>
            <wp:extent cx="2971800" cy="5847112"/>
            <wp:effectExtent b="0" l="0" r="0" t="0"/>
            <wp:docPr descr="" title="" id="48" name="Picture"/>
            <a:graphic>
              <a:graphicData uri="http://schemas.openxmlformats.org/drawingml/2006/picture">
                <pic:pic>
                  <pic:nvPicPr>
                    <pic:cNvPr descr="Figures/my_demo.png" id="49" name="Picture"/>
                    <pic:cNvPicPr>
                      <a:picLocks noChangeArrowheads="1" noChangeAspect="1"/>
                    </pic:cNvPicPr>
                  </pic:nvPicPr>
                  <pic:blipFill>
                    <a:blip r:embed="rId47"/>
                    <a:stretch>
                      <a:fillRect/>
                    </a:stretch>
                  </pic:blipFill>
                  <pic:spPr bwMode="auto">
                    <a:xfrm>
                      <a:off x="0" y="0"/>
                      <a:ext cx="2971800" cy="5847112"/>
                    </a:xfrm>
                    <a:prstGeom prst="rect">
                      <a:avLst/>
                    </a:prstGeom>
                    <a:noFill/>
                    <a:ln w="9525">
                      <a:noFill/>
                      <a:headEnd/>
                      <a:tailEnd/>
                    </a:ln>
                  </pic:spPr>
                </pic:pic>
              </a:graphicData>
            </a:graphic>
          </wp:inline>
        </w:drawing>
      </w:r>
    </w:p>
    <w:bookmarkEnd w:id="50"/>
    <w:bookmarkEnd w:id="51"/>
    <w:bookmarkStart w:id="53"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2">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ensure this,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3"/>
    <w:bookmarkStart w:id="58"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A 9 point calibration procedure was used.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57"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55" name="Picture"/>
            <a:graphic>
              <a:graphicData uri="http://schemas.openxmlformats.org/drawingml/2006/picture">
                <pic:pic>
                  <pic:nvPicPr>
                    <pic:cNvPr descr="Figures/trial_descrip.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57"/>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58"/>
    <w:bookmarkEnd w:id="59"/>
    <w:bookmarkStart w:id="77" w:name="preprocessing-data"/>
    <w:p>
      <w:pPr>
        <w:pStyle w:val="Heading2"/>
      </w:pPr>
      <w:r>
        <w:t xml:space="preserve">Preprocessing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visual world webcam eye data, we follow six general steps:</w:t>
      </w:r>
    </w:p>
    <w:p>
      <w:pPr>
        <w:pStyle w:val="Compact"/>
        <w:numPr>
          <w:ilvl w:val="0"/>
          <w:numId w:val="1002"/>
        </w:numPr>
      </w:pPr>
      <w:r>
        <w:t xml:space="preserve">Reading in data</w:t>
      </w:r>
    </w:p>
    <w:p>
      <w:pPr>
        <w:pStyle w:val="Compact"/>
        <w:numPr>
          <w:ilvl w:val="0"/>
          <w:numId w:val="1002"/>
        </w:numPr>
      </w:pPr>
      <w:r>
        <w:t xml:space="preserve">Data Exclusion</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w:t>
      </w:r>
      <w:hyperlink w:anchor="ref-webgazeR">
        <w:r>
          <w:rPr>
            <w:rStyle w:val="Hyperlink"/>
          </w:rPr>
          <w:t xml:space="preserve">Geller &amp; Prystauka, 2024</w:t>
        </w:r>
      </w:hyperlink>
      <w:r>
        <w:t xml:space="preserve">)</w:t>
      </w:r>
      <w:r>
        <w:t xml:space="preserve"> </w:t>
      </w:r>
      <w:r>
        <w:t xml:space="preserve">package in R.</w:t>
      </w:r>
    </w:p>
    <w:bookmarkStart w:id="60" w:name="load-packages"/>
    <w:p>
      <w:pPr>
        <w:pStyle w:val="Heading3"/>
      </w:pPr>
      <w:r>
        <w:t xml:space="preserve">Load packages</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from the Github repository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 The following code will load the required packages or install them if you do not have them on your system.</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w:t>
      </w:r>
      <w:r>
        <w:rPr>
          <w:rStyle w:val="ConstantTok"/>
        </w:rPr>
        <w:t xml:space="preserve">FALSE</w:t>
      </w:r>
      <w:r>
        <w:rPr>
          <w:rStyle w:val="NormalTok"/>
        </w:rPr>
        <w:t xml:space="preserve">)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br/>
      </w:r>
      <w:r>
        <w:rPr>
          <w:rStyle w:val="CommentTok"/>
        </w:rPr>
        <w:t xml:space="preserve"># List of required packages</w:t>
      </w:r>
      <w:r>
        <w:br/>
      </w:r>
      <w:r>
        <w:rPr>
          <w:rStyle w:val="NormalTok"/>
        </w:rPr>
        <w:t xml:space="preserve">required_packages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CommentTok"/>
        </w:rPr>
        <w:t xml:space="preserve"># data wrangling</w:t>
      </w:r>
      <w:r>
        <w:br/>
      </w:r>
      <w:r>
        <w:rPr>
          <w:rStyle w:val="NormalTok"/>
        </w:rPr>
        <w:t xml:space="preserve">  </w:t>
      </w:r>
      <w:r>
        <w:rPr>
          <w:rStyle w:val="StringTok"/>
        </w:rPr>
        <w:t xml:space="preserve">"here"</w:t>
      </w:r>
      <w:r>
        <w:rPr>
          <w:rStyle w:val="NormalTok"/>
        </w:rPr>
        <w:t xml:space="preserve">,           </w:t>
      </w:r>
      <w:r>
        <w:rPr>
          <w:rStyle w:val="CommentTok"/>
        </w:rPr>
        <w:t xml:space="preserve"># relative paths instead of absolute aids in reproducibility</w:t>
      </w:r>
      <w:r>
        <w:br/>
      </w:r>
      <w:r>
        <w:rPr>
          <w:rStyle w:val="NormalTok"/>
        </w:rPr>
        <w:t xml:space="preserve">  </w:t>
      </w:r>
      <w:r>
        <w:rPr>
          <w:rStyle w:val="StringTok"/>
        </w:rPr>
        <w:t xml:space="preserve">"tinytable"</w:t>
      </w:r>
      <w:r>
        <w:rPr>
          <w:rStyle w:val="NormalTok"/>
        </w:rPr>
        <w:t xml:space="preserve">,      </w:t>
      </w:r>
      <w:r>
        <w:rPr>
          <w:rStyle w:val="CommentTok"/>
        </w:rPr>
        <w:t xml:space="preserve"># nice tables</w:t>
      </w:r>
      <w:r>
        <w:br/>
      </w:r>
      <w:r>
        <w:rPr>
          <w:rStyle w:val="NormalTok"/>
        </w:rPr>
        <w:t xml:space="preserve">  </w:t>
      </w:r>
      <w:r>
        <w:rPr>
          <w:rStyle w:val="StringTok"/>
        </w:rPr>
        <w:t xml:space="preserve">"janitor"</w:t>
      </w:r>
      <w:r>
        <w:rPr>
          <w:rStyle w:val="NormalTok"/>
        </w:rPr>
        <w:t xml:space="preserve">,        </w:t>
      </w:r>
      <w:r>
        <w:rPr>
          <w:rStyle w:val="CommentTok"/>
        </w:rPr>
        <w:t xml:space="preserve"># functions for cleaning up your column names</w:t>
      </w:r>
      <w:r>
        <w:br/>
      </w:r>
      <w:r>
        <w:rPr>
          <w:rStyle w:val="NormalTok"/>
        </w:rPr>
        <w:t xml:space="preserve">  </w:t>
      </w:r>
      <w:r>
        <w:rPr>
          <w:rStyle w:val="StringTok"/>
        </w:rPr>
        <w:t xml:space="preserve">"webgazeR"</w:t>
      </w:r>
      <w:r>
        <w:rPr>
          <w:rStyle w:val="NormalTok"/>
        </w:rPr>
        <w:t xml:space="preserve">,       </w:t>
      </w:r>
      <w:r>
        <w:rPr>
          <w:rStyle w:val="CommentTok"/>
        </w:rPr>
        <w:t xml:space="preserve"># has webcam functions</w:t>
      </w:r>
      <w:r>
        <w:br/>
      </w:r>
      <w:r>
        <w:rPr>
          <w:rStyle w:val="NormalTok"/>
        </w:rPr>
        <w:t xml:space="preserve">  </w:t>
      </w:r>
      <w:r>
        <w:rPr>
          <w:rStyle w:val="StringTok"/>
        </w:rPr>
        <w:t xml:space="preserve">"readxl"</w:t>
      </w:r>
      <w:r>
        <w:rPr>
          <w:rStyle w:val="NormalTok"/>
        </w:rPr>
        <w:t xml:space="preserve">,         </w:t>
      </w:r>
      <w:r>
        <w:rPr>
          <w:rStyle w:val="CommentTok"/>
        </w:rPr>
        <w:t xml:space="preserve"># read in Excel files</w:t>
      </w:r>
      <w:r>
        <w:br/>
      </w:r>
      <w:r>
        <w:rPr>
          <w:rStyle w:val="NormalTok"/>
        </w:rPr>
        <w:t xml:space="preserve">  </w:t>
      </w:r>
      <w:r>
        <w:rPr>
          <w:rStyle w:val="StringTok"/>
        </w:rPr>
        <w:t xml:space="preserve">"ggokabeito"</w:t>
      </w:r>
      <w:r>
        <w:rPr>
          <w:rStyle w:val="NormalTok"/>
        </w:rPr>
        <w:t xml:space="preserve">,     </w:t>
      </w:r>
      <w:r>
        <w:rPr>
          <w:rStyle w:val="CommentTok"/>
        </w:rPr>
        <w:t xml:space="preserve"># color-blind friendly palettes</w:t>
      </w:r>
      <w:r>
        <w:br/>
      </w:r>
      <w:r>
        <w:rPr>
          <w:rStyle w:val="NormalTok"/>
        </w:rPr>
        <w:t xml:space="preserve">  </w:t>
      </w:r>
      <w:r>
        <w:rPr>
          <w:rStyle w:val="StringTok"/>
        </w:rPr>
        <w:t xml:space="preserve">"flextable"</w:t>
      </w:r>
      <w:r>
        <w:rPr>
          <w:rStyle w:val="NormalTok"/>
        </w:rPr>
        <w:t xml:space="preserve">,      </w:t>
      </w:r>
      <w:r>
        <w:rPr>
          <w:rStyle w:val="CommentTok"/>
        </w:rPr>
        <w:t xml:space="preserve"># Word tables</w:t>
      </w:r>
      <w:r>
        <w:br/>
      </w:r>
      <w:r>
        <w:rPr>
          <w:rStyle w:val="NormalTok"/>
        </w:rPr>
        <w:t xml:space="preserve">  </w:t>
      </w:r>
      <w:r>
        <w:rPr>
          <w:rStyle w:val="StringTok"/>
        </w:rPr>
        <w:t xml:space="preserve">"permuco"</w:t>
      </w:r>
      <w:r>
        <w:rPr>
          <w:rStyle w:val="NormalTok"/>
        </w:rPr>
        <w:t xml:space="preserve">,        </w:t>
      </w:r>
      <w:r>
        <w:rPr>
          <w:rStyle w:val="CommentTok"/>
        </w:rPr>
        <w:t xml:space="preserve"># permutation analysis</w:t>
      </w:r>
      <w:r>
        <w:br/>
      </w:r>
      <w:r>
        <w:rPr>
          <w:rStyle w:val="NormalTok"/>
        </w:rPr>
        <w:t xml:space="preserve">  </w:t>
      </w:r>
      <w:r>
        <w:rPr>
          <w:rStyle w:val="StringTok"/>
        </w:rPr>
        <w:t xml:space="preserve">"foreach"</w:t>
      </w:r>
      <w:r>
        <w:rPr>
          <w:rStyle w:val="NormalTok"/>
        </w:rPr>
        <w:t xml:space="preserve">,        </w:t>
      </w:r>
      <w:r>
        <w:rPr>
          <w:rStyle w:val="CommentTok"/>
        </w:rPr>
        <w:t xml:space="preserve"># permutation analysis</w:t>
      </w:r>
      <w:r>
        <w:br/>
      </w:r>
      <w:r>
        <w:rPr>
          <w:rStyle w:val="NormalTok"/>
        </w:rPr>
        <w:t xml:space="preserve">  </w:t>
      </w:r>
      <w:r>
        <w:rPr>
          <w:rStyle w:val="StringTok"/>
        </w:rPr>
        <w:t xml:space="preserve">"geomtextpath"</w:t>
      </w:r>
      <w:r>
        <w:rPr>
          <w:rStyle w:val="NormalTok"/>
        </w:rPr>
        <w:t xml:space="preserve">,   </w:t>
      </w:r>
      <w:r>
        <w:rPr>
          <w:rStyle w:val="CommentTok"/>
        </w:rPr>
        <w:t xml:space="preserve"># for plotting labels on lines of ggplot figures</w:t>
      </w:r>
      <w:r>
        <w:br/>
      </w:r>
      <w:r>
        <w:rPr>
          <w:rStyle w:val="NormalTok"/>
        </w:rPr>
        <w:t xml:space="preserve">  </w:t>
      </w:r>
      <w:r>
        <w:rPr>
          <w:rStyle w:val="StringTok"/>
        </w:rPr>
        <w:t xml:space="preserve">"cowplot"</w:t>
      </w:r>
      <w:r>
        <w:rPr>
          <w:rStyle w:val="NormalTok"/>
        </w:rPr>
        <w:t xml:space="preserve">         </w:t>
      </w:r>
      <w:r>
        <w:rPr>
          <w:rStyle w:val="CommentTok"/>
        </w:rPr>
        <w:t xml:space="preserve"># combine ggplot figures</w:t>
      </w:r>
      <w:r>
        <w:br/>
      </w:r>
      <w:r>
        <w:rPr>
          <w:rStyle w:val="NormalTok"/>
        </w:rPr>
        <w:t xml:space="preserve">)</w:t>
      </w:r>
      <w:r>
        <w:br/>
      </w:r>
      <w:r>
        <w:br/>
      </w:r>
      <w:r>
        <w:rPr>
          <w:rStyle w:val="CommentTok"/>
        </w:rPr>
        <w:t xml:space="preserve"># Install and load each package</w:t>
      </w:r>
      <w:r>
        <w:br/>
      </w:r>
      <w:r>
        <w:rPr>
          <w:rStyle w:val="ControlFlowTok"/>
        </w:rPr>
        <w:t xml:space="preserve">for</w:t>
      </w:r>
      <w:r>
        <w:rPr>
          <w:rStyle w:val="NormalTok"/>
        </w:rPr>
        <w:t xml:space="preserve"> (pkg </w:t>
      </w:r>
      <w:r>
        <w:rPr>
          <w:rStyle w:val="ControlFlowTok"/>
        </w:rPr>
        <w:t xml:space="preserve">in</w:t>
      </w:r>
      <w:r>
        <w:rPr>
          <w:rStyle w:val="NormalTok"/>
        </w:rPr>
        <w:t xml:space="preserve"> required_packages)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(pkg, </w:t>
      </w:r>
      <w:r>
        <w:rPr>
          <w:rStyle w:val="AttributeTok"/>
        </w:rPr>
        <w:t xml:space="preserve">dependencies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library</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60"/>
    <w:bookmarkStart w:id="61" w:name="reading-in-data"/>
    <w:p>
      <w:pPr>
        <w:pStyle w:val="Heading3"/>
      </w:pPr>
      <w:r>
        <w:t xml:space="preserve">Reading in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“prediction”</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bookmarkEnd w:id="61"/>
    <w:bookmarkStart w:id="75" w:name="subject-and-trial-level-data-removal"/>
    <w:p>
      <w:pPr>
        <w:pStyle w:val="Heading3"/>
      </w:pPr>
      <w:r>
        <w:t xml:space="preserve">Subject and trial level data removal</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“response_button_image”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CommentTok"/>
        </w:rPr>
        <w:t xml:space="preserve">#|message: false</w:t>
      </w:r>
      <w:r>
        <w:br/>
      </w:r>
      <w:r>
        <w:rPr>
          <w:rStyle w:val="CommentTok"/>
        </w:rPr>
        <w:t xml:space="preserve">#|echo: true</w:t>
      </w:r>
      <w:r>
        <w:br/>
      </w: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eng_targetword, targetword, typetl, typetr, typebl, typebr, zone_name, zone_type,reaction_time,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StringTok"/>
        </w:rPr>
        <w:t xml:space="preserve">"TL"</w:t>
      </w:r>
      <w:r>
        <w:rPr>
          <w:rStyle w:val="NormalTok"/>
        </w:rPr>
        <w:t xml:space="preserve"> </w:t>
      </w:r>
      <w:r>
        <w:rPr>
          <w:rStyle w:val="OtherTok"/>
        </w:rPr>
        <w:t xml:space="preserve">=</w:t>
      </w:r>
      <w:r>
        <w:rPr>
          <w:rStyle w:val="NormalTok"/>
        </w:rPr>
        <w:t xml:space="preserve"> </w:t>
      </w:r>
      <w:r>
        <w:rPr>
          <w:rStyle w:val="StringTok"/>
        </w:rPr>
        <w:t xml:space="preserve">"tlpic"</w:t>
      </w:r>
      <w:r>
        <w:rPr>
          <w:rStyle w:val="NormalTok"/>
        </w:rPr>
        <w:t xml:space="preserve">,              </w:t>
      </w:r>
      <w:r>
        <w:rPr>
          <w:rStyle w:val="CommentTok"/>
        </w:rPr>
        <w:t xml:space="preserve"># Rename 'tlpic' to 'TL'</w:t>
      </w:r>
      <w:r>
        <w:br/>
      </w:r>
      <w:r>
        <w:rPr>
          <w:rStyle w:val="NormalTok"/>
        </w:rPr>
        <w:t xml:space="preserve">    </w:t>
      </w:r>
      <w:r>
        <w:rPr>
          <w:rStyle w:val="StringTok"/>
        </w:rPr>
        <w:t xml:space="preserve">"TR"</w:t>
      </w:r>
      <w:r>
        <w:rPr>
          <w:rStyle w:val="NormalTok"/>
        </w:rPr>
        <w:t xml:space="preserve"> </w:t>
      </w:r>
      <w:r>
        <w:rPr>
          <w:rStyle w:val="OtherTok"/>
        </w:rPr>
        <w:t xml:space="preserve">=</w:t>
      </w:r>
      <w:r>
        <w:rPr>
          <w:rStyle w:val="NormalTok"/>
        </w:rPr>
        <w:t xml:space="preserve"> </w:t>
      </w:r>
      <w:r>
        <w:rPr>
          <w:rStyle w:val="StringTok"/>
        </w:rPr>
        <w:t xml:space="preserve">"trpic"</w:t>
      </w:r>
      <w:r>
        <w:rPr>
          <w:rStyle w:val="NormalTok"/>
        </w:rPr>
        <w:t xml:space="preserve">,             </w:t>
      </w:r>
      <w:r>
        <w:rPr>
          <w:rStyle w:val="CommentTok"/>
        </w:rPr>
        <w:t xml:space="preserve"># Rename 'trpic' to 'TR'</w:t>
      </w:r>
      <w:r>
        <w:br/>
      </w:r>
      <w:r>
        <w:rPr>
          <w:rStyle w:val="NormalTok"/>
        </w:rPr>
        <w:t xml:space="preserve">    </w:t>
      </w:r>
      <w:r>
        <w:rPr>
          <w:rStyle w:val="StringTok"/>
        </w:rPr>
        <w:t xml:space="preserve">"BL"</w:t>
      </w:r>
      <w:r>
        <w:rPr>
          <w:rStyle w:val="NormalTok"/>
        </w:rPr>
        <w:t xml:space="preserve"> </w:t>
      </w:r>
      <w:r>
        <w:rPr>
          <w:rStyle w:val="OtherTok"/>
        </w:rPr>
        <w:t xml:space="preserve">=</w:t>
      </w:r>
      <w:r>
        <w:rPr>
          <w:rStyle w:val="NormalTok"/>
        </w:rPr>
        <w:t xml:space="preserve"> </w:t>
      </w:r>
      <w:r>
        <w:rPr>
          <w:rStyle w:val="StringTok"/>
        </w:rPr>
        <w:t xml:space="preserve">"blpic"</w:t>
      </w:r>
      <w:r>
        <w:rPr>
          <w:rStyle w:val="NormalTok"/>
        </w:rPr>
        <w:t xml:space="preserve">,            </w:t>
      </w:r>
      <w:r>
        <w:rPr>
          <w:rStyle w:val="CommentTok"/>
        </w:rPr>
        <w:t xml:space="preserve"># Rename 'blpic' to 'BL'</w:t>
      </w:r>
      <w:r>
        <w:br/>
      </w:r>
      <w:r>
        <w:rPr>
          <w:rStyle w:val="NormalTok"/>
        </w:rPr>
        <w:t xml:space="preserve">    </w:t>
      </w:r>
      <w:r>
        <w:rPr>
          <w:rStyle w:val="StringTok"/>
        </w:rPr>
        <w:t xml:space="preserve">"BR"</w:t>
      </w:r>
      <w:r>
        <w:rPr>
          <w:rStyle w:val="NormalTok"/>
        </w:rPr>
        <w:t xml:space="preserve"> </w:t>
      </w:r>
      <w:r>
        <w:rPr>
          <w:rStyle w:val="OtherTok"/>
        </w:rPr>
        <w:t xml:space="preserve">=</w:t>
      </w:r>
      <w:r>
        <w:rPr>
          <w:rStyle w:val="NormalTok"/>
        </w:rPr>
        <w:t xml:space="preserve"> </w:t>
      </w:r>
      <w:r>
        <w:rPr>
          <w:rStyle w:val="StringTok"/>
        </w:rPr>
        <w:t xml:space="preserve">"brpic"</w:t>
      </w:r>
      <w:r>
        <w:rPr>
          <w:rStyle w:val="NormalTok"/>
        </w:rPr>
        <w:t xml:space="preserve">,                </w:t>
      </w:r>
      <w:r>
        <w:rPr>
          <w:rStyle w:val="CommentTok"/>
        </w:rPr>
        <w:t xml:space="preserve"># Rename 'brpic' to 'BR'</w:t>
      </w:r>
      <w:r>
        <w:br/>
      </w:r>
      <w:r>
        <w:rPr>
          <w:rStyle w:val="NormalTok"/>
        </w:rPr>
        <w:t xml:space="preserve">    </w:t>
      </w:r>
      <w:r>
        <w:rPr>
          <w:rStyle w:val="StringTok"/>
        </w:rPr>
        <w:t xml:space="preserve">"targ_loc"</w:t>
      </w:r>
      <w:r>
        <w:rPr>
          <w:rStyle w:val="NormalTok"/>
        </w:rPr>
        <w:t xml:space="preserve"> </w:t>
      </w:r>
      <w:r>
        <w:rPr>
          <w:rStyle w:val="OtherTok"/>
        </w:rPr>
        <w:t xml:space="preserve">=</w:t>
      </w:r>
      <w:r>
        <w:rPr>
          <w:rStyle w:val="NormalTok"/>
        </w:rPr>
        <w:t xml:space="preserve"> </w:t>
      </w:r>
      <w:r>
        <w:rPr>
          <w:rStyle w:val="StringTok"/>
        </w:rPr>
        <w:t xml:space="preserve">"zone_name"</w:t>
      </w:r>
      <w:r>
        <w:rPr>
          <w:rStyle w:val="NormalTok"/>
        </w:rPr>
        <w:t xml:space="preserve">,       </w:t>
      </w:r>
      <w:r>
        <w:rPr>
          <w:rStyle w:val="CommentTok"/>
        </w:rPr>
        <w:t xml:space="preserve"># Rename 'Zone.Name' to 'targ_loc'</w:t>
      </w:r>
      <w:r>
        <w:br/>
      </w:r>
      <w:r>
        <w:rPr>
          <w:rStyle w:val="NormalTok"/>
        </w:rPr>
        <w:t xml:space="preserve">    </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  </w:t>
      </w:r>
      <w:r>
        <w:rPr>
          <w:rStyle w:val="CommentTok"/>
        </w:rPr>
        <w:t xml:space="preserve"># Rename 'Participant.Private.ID' to 'subject'</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NormalTok"/>
        </w:rPr>
        <w:t xml:space="preserve"> </w:t>
      </w:r>
      <w:r>
        <w:rPr>
          <w:rStyle w:val="StringTok"/>
        </w:rPr>
        <w:t xml:space="preserve">"spreadsheet_row"</w:t>
      </w:r>
      <w:r>
        <w:rPr>
          <w:rStyle w:val="NormalTok"/>
        </w:rPr>
        <w:t xml:space="preserve">,    </w:t>
      </w:r>
      <w:r>
        <w:rPr>
          <w:rStyle w:val="CommentTok"/>
        </w:rPr>
        <w:t xml:space="preserve"># Rename 'spreadsheet_row' to 'trial'</w:t>
      </w:r>
      <w:r>
        <w:br/>
      </w:r>
      <w:r>
        <w:rPr>
          <w:rStyle w:val="NormalTok"/>
        </w:rPr>
        <w:t xml:space="preserve">    </w:t>
      </w:r>
      <w:r>
        <w:rPr>
          <w:rStyle w:val="StringTok"/>
        </w:rPr>
        <w:t xml:space="preserve">"acc"</w:t>
      </w:r>
      <w:r>
        <w:rPr>
          <w:rStyle w:val="NormalTok"/>
        </w:rPr>
        <w:t xml:space="preserve"> </w:t>
      </w:r>
      <w:r>
        <w:rPr>
          <w:rStyle w:val="OtherTok"/>
        </w:rPr>
        <w:t xml:space="preserve">=</w:t>
      </w:r>
      <w:r>
        <w:rPr>
          <w:rStyle w:val="NormalTok"/>
        </w:rPr>
        <w:t xml:space="preserve"> </w:t>
      </w:r>
      <w:r>
        <w:rPr>
          <w:rStyle w:val="StringTok"/>
        </w:rPr>
        <w:t xml:space="preserve">"correct"</w:t>
      </w:r>
      <w:r>
        <w:rPr>
          <w:rStyle w:val="NormalTok"/>
        </w:rPr>
        <w:t xml:space="preserve">,              </w:t>
      </w:r>
      <w:r>
        <w:rPr>
          <w:rStyle w:val="CommentTok"/>
        </w:rPr>
        <w:t xml:space="preserve"># Rename 'Correct' to 'acc' (accuracy)</w:t>
      </w:r>
      <w:r>
        <w:br/>
      </w:r>
      <w:r>
        <w:rPr>
          <w:rStyle w:val="NormalTok"/>
        </w:rPr>
        <w:t xml:space="preserve">    </w:t>
      </w:r>
      <w:r>
        <w:rPr>
          <w:rStyle w:val="StringTok"/>
        </w:rPr>
        <w:t xml:space="preserve">"RT"</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CommentTok"/>
        </w:rPr>
        <w:t xml:space="preserve"># Rename 'Reaction.Time'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w:t>
      </w:r>
      <w:r>
        <w:rPr>
          <w:rStyle w:val="FunctionTok"/>
        </w:rPr>
        <w:t xml:space="preserve">as.factor</w:t>
      </w:r>
      <w:r>
        <w:rPr>
          <w:rStyle w:val="NormalTok"/>
        </w:rPr>
        <w:t xml:space="preserve">(subject),</w:t>
      </w:r>
      <w:r>
        <w:br/>
      </w:r>
      <w:r>
        <w:rPr>
          <w:rStyle w:val="NormalTok"/>
        </w:rPr>
        <w:t xml:space="preserve">         </w:t>
      </w:r>
      <w:r>
        <w:rPr>
          <w:rStyle w:val="AttributeTok"/>
        </w:rPr>
        <w:t xml:space="preserve">trial=</w:t>
      </w:r>
      <w:r>
        <w:rPr>
          <w:rStyle w:val="FunctionTok"/>
        </w:rPr>
        <w:t xml:space="preserve">as.factor</w:t>
      </w:r>
      <w:r>
        <w:rPr>
          <w:rStyle w:val="NormalTok"/>
        </w:rPr>
        <w:t xml:space="preserve">(trial))</w:t>
      </w:r>
    </w:p>
    <w:p>
      <w:pPr>
        <w:pStyle w:val="Heading4"/>
        <w:rPr>
          <w:vanish/>
          <w:specVanish/>
        </w:rPr>
      </w:pPr>
      <w:r>
        <w:t>Audio onset.</w:t>
      </w:r>
      <w:r>
        <w:t xml:space="preserve"> </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“AUDIO PLAY EVENT FIRED”</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65"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3" name="Picture"/>
            <a:graphic>
              <a:graphicData uri="http://schemas.openxmlformats.org/drawingml/2006/picture">
                <pic:pic>
                  <pic:nvPicPr>
                    <pic:cNvPr descr="Figures/audio_settings.jpg" id="64" name="Picture"/>
                    <pic:cNvPicPr>
                      <a:picLocks noChangeArrowheads="1" noChangeAspect="1"/>
                    </pic:cNvPicPr>
                  </pic:nvPicPr>
                  <pic:blipFill>
                    <a:blip r:embed="rId62"/>
                    <a:stretch>
                      <a:fillRect/>
                    </a:stretch>
                  </pic:blipFill>
                  <pic:spPr bwMode="auto">
                    <a:xfrm>
                      <a:off x="0" y="0"/>
                      <a:ext cx="5943600" cy="5810839"/>
                    </a:xfrm>
                    <a:prstGeom prst="rect">
                      <a:avLst/>
                    </a:prstGeom>
                    <a:noFill/>
                    <a:ln w="9525">
                      <a:noFill/>
                      <a:headEnd/>
                      <a:tailEnd/>
                    </a:ln>
                  </pic:spPr>
                </pic:pic>
              </a:graphicData>
            </a:graphic>
          </wp:inline>
        </w:drawing>
      </w:r>
    </w:p>
    <w:bookmarkEnd w:id="65"/>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Heading4"/>
        <w:rPr>
          <w:vanish/>
          <w:specVanish/>
        </w:rPr>
      </w:pPr>
      <w:r>
        <w:t>Trial removal.</w:t>
      </w:r>
      <w:r>
        <w:t xml:space="preserve"> </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66"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89"/>
        <w:gridCol w:w="998"/>
      </w:tblGrid>
      <w:tr>
        <w:trPr>
          <w:trHeight w:val="615"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569"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57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56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6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6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6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6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6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6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6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6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57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569"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66"/>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p>
      <w:pPr>
        <w:pStyle w:val="Heading4"/>
        <w:rPr>
          <w:vanish/>
          <w:specVanish/>
        </w:rPr>
      </w:pPr>
      <w:r>
        <w:t>Low accuracy.</w:t>
      </w:r>
      <w:r>
        <w:t xml:space="preserve"> </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p>
      <w:pPr>
        <w:pStyle w:val="Heading4"/>
        <w:rPr>
          <w:vanish/>
          <w:specVanish/>
        </w:rPr>
      </w:pPr>
      <w:r>
        <w:t>RTs.</w:t>
      </w:r>
      <w:r>
        <w:t xml:space="preserve"> </w:t>
      </w:r>
    </w:p>
    <w:p>
      <w:pPr>
        <w:pStyle w:val="FirstParagraph"/>
      </w:pPr>
      <w:r>
        <w:t xml:space="preserve">There is much debate on how to handle RT data</w:t>
      </w:r>
      <w:r>
        <w:t xml:space="preserve"> </w:t>
      </w:r>
      <w:r>
        <w:t xml:space="preserve">(see</w:t>
      </w:r>
      <w:r>
        <w:t xml:space="preserve"> </w:t>
      </w:r>
      <w:hyperlink w:anchor="ref-miller2023">
        <w:r>
          <w:rPr>
            <w:rStyle w:val="Hyperlink"/>
          </w:rPr>
          <w:t xml:space="preserve">Miller, 2023</w:t>
        </w:r>
      </w:hyperlink>
      <w:r>
        <w:t xml:space="preserve">)</w:t>
      </w:r>
      <w:r>
        <w:t xml:space="preserve">. Because of this. we leave it up to the reader and researcher to decide what to do with RTs. In the current example we ignore RTs.</w:t>
      </w:r>
    </w:p>
    <w:p>
      <w:pPr>
        <w:pStyle w:val="Heading4"/>
        <w:rPr>
          <w:vanish/>
          <w:specVanish/>
        </w:rPr>
      </w:pPr>
      <w:r>
        <w:t>Sampling rate.</w:t>
      </w:r>
      <w:r>
        <w:t xml:space="preserve"> </w:t>
      </w:r>
    </w:p>
    <w:p>
      <w:pPr>
        <w:pStyle w:val="BodyText"/>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0"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3219450"/>
            <wp:effectExtent b="0" l="0" r="0" t="0"/>
            <wp:docPr descr="" title="" id="68" name="Picture"/>
            <a:graphic>
              <a:graphicData uri="http://schemas.openxmlformats.org/drawingml/2006/picture">
                <pic:pic>
                  <pic:nvPicPr>
                    <pic:cNvPr descr="L2_VWP_webcam_ET_files/figure-docx/fig-samprate-L2-1.png" id="69" name="Picture"/>
                    <pic:cNvPicPr>
                      <a:picLocks noChangeArrowheads="1" noChangeAspect="1"/>
                    </pic:cNvPicPr>
                  </pic:nvPicPr>
                  <pic:blipFill>
                    <a:blip r:embed="rId67"/>
                    <a:stretch>
                      <a:fillRect/>
                    </a:stretch>
                  </pic:blipFill>
                  <pic:spPr bwMode="auto">
                    <a:xfrm>
                      <a:off x="0" y="0"/>
                      <a:ext cx="5943600" cy="3219450"/>
                    </a:xfrm>
                    <a:prstGeom prst="rect">
                      <a:avLst/>
                    </a:prstGeom>
                    <a:noFill/>
                    <a:ln w="9525">
                      <a:noFill/>
                      <a:headEnd/>
                      <a:tailEnd/>
                    </a:ln>
                  </pic:spPr>
                </pic:pic>
              </a:graphicData>
            </a:graphic>
          </wp:inline>
        </w:drawing>
      </w:r>
    </w:p>
    <w:bookmarkEnd w:id="70"/>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“both”</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“bad”</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p>
      <w:pPr>
        <w:pStyle w:val="Heading4"/>
        <w:rPr>
          <w:vanish/>
          <w:specVanish/>
        </w:rPr>
      </w:pPr>
      <w:r>
        <w:t>Out-of-bounds (outside of screen).</w:t>
      </w:r>
      <w:r>
        <w:t xml:space="preserve"> </w:t>
      </w:r>
    </w:p>
    <w:p>
      <w:pPr>
        <w:pStyle w:val="BodyText"/>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p>
      <w:pPr>
        <w:pStyle w:val="SourceCode"/>
      </w:pPr>
      <w:r>
        <w:rPr>
          <w:rStyle w:val="VerbatimChar"/>
        </w:rPr>
        <w:t xml:space="preserve">[1] "/Users/jasongeller/Documents/L2_VWP_Project/_manuscript/Figures/oob_data_L2.png"</w:t>
      </w:r>
    </w:p>
    <w:bookmarkStart w:id="74" w:name="tbl-oob-L2"/>
    <w:p>
      <w:pPr>
        <w:pStyle w:val="FigureTitle"/>
      </w:pPr>
      <w:r>
        <w:t xml:space="preserve">Table 3</w:t>
      </w:r>
    </w:p>
    <w:p>
      <w:pPr>
        <w:pStyle w:val="Caption"/>
      </w:pPr>
      <w:r>
        <w:t xml:space="preserve">Out of bounds gaze statistics</w:t>
      </w:r>
    </w:p>
    <w:p>
      <w:pPr>
        <w:pStyle w:val="FigureWithoutNote"/>
      </w:pPr>
      <w:r>
        <w:drawing>
          <wp:inline>
            <wp:extent cx="5943600" cy="12180939"/>
            <wp:effectExtent b="0" l="0" r="0" t="0"/>
            <wp:docPr descr="" title="" id="72" name="Picture"/>
            <a:graphic>
              <a:graphicData uri="http://schemas.openxmlformats.org/drawingml/2006/picture">
                <pic:pic>
                  <pic:nvPicPr>
                    <pic:cNvPr descr="Figures/oob_data_L2.png" id="73" name="Picture"/>
                    <pic:cNvPicPr>
                      <a:picLocks noChangeArrowheads="1" noChangeAspect="1"/>
                    </pic:cNvPicPr>
                  </pic:nvPicPr>
                  <pic:blipFill>
                    <a:blip r:embed="rId71"/>
                    <a:stretch>
                      <a:fillRect/>
                    </a:stretch>
                  </pic:blipFill>
                  <pic:spPr bwMode="auto">
                    <a:xfrm>
                      <a:off x="0" y="0"/>
                      <a:ext cx="5943600" cy="12180939"/>
                    </a:xfrm>
                    <a:prstGeom prst="rect">
                      <a:avLst/>
                    </a:prstGeom>
                    <a:noFill/>
                    <a:ln w="9525">
                      <a:noFill/>
                      <a:headEnd/>
                      <a:tailEnd/>
                    </a:ln>
                  </pic:spPr>
                </pic:pic>
              </a:graphicData>
            </a:graphic>
          </wp:inline>
        </w:drawing>
      </w:r>
    </w:p>
    <w:bookmarkEnd w:id="74"/>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75"/>
    <w:bookmarkStart w:id="76" w:name="eye-tracking-data-1"/>
    <w:p>
      <w:pPr>
        <w:pStyle w:val="Heading3"/>
      </w:pPr>
      <w:r>
        <w:t xml:space="preserve">Eye-tracking data</w:t>
      </w:r>
    </w:p>
    <w:p>
      <w:pPr>
        <w:pStyle w:val="Heading4"/>
        <w:rPr>
          <w:vanish/>
          <w:specVanish/>
        </w:rPr>
      </w:pPr>
      <w:r>
        <w:t>Convergence and confidence.</w:t>
      </w:r>
      <w:r>
        <w:t xml:space="preserve"> </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p>
      <w:pPr>
        <w:pStyle w:val="Heading4"/>
        <w:rPr>
          <w:vanish/>
          <w:specVanish/>
        </w:rPr>
      </w:pPr>
      <w:r>
        <w:t>Combining eye and trial-level data.</w:t>
      </w:r>
      <w:r>
        <w:t xml:space="preserve"> </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76"/>
    <w:bookmarkEnd w:id="77"/>
    <w:bookmarkStart w:id="91" w:name="areas-of-interest"/>
    <w:p>
      <w:pPr>
        <w:pStyle w:val="Heading2"/>
      </w:pPr>
      <w:r>
        <w:t xml:space="preserve">Areas of Interest</w:t>
      </w:r>
    </w:p>
    <w:bookmarkStart w:id="90"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p>
      <w:pPr>
        <w:pStyle w:val="SourceCode"/>
      </w:pPr>
      <w:r>
        <w:rPr>
          <w:rStyle w:val="VerbatimChar"/>
        </w:rPr>
        <w:t xml:space="preserve">[1] "/Users/jasongeller/Documents/L2_VWP_Project/_manuscript/Figures/aoi-quad.png"</w:t>
      </w:r>
    </w:p>
    <w:bookmarkStart w:id="81" w:name="tbl-quadcor"/>
    <w:p>
      <w:pPr>
        <w:pStyle w:val="FigureTitle"/>
      </w:pPr>
      <w:r>
        <w:t xml:space="preserve">Table 4</w:t>
      </w:r>
    </w:p>
    <w:p>
      <w:pPr>
        <w:pStyle w:val="Caption"/>
      </w:pPr>
      <w:r>
        <w:t xml:space="preserve">Quandrant coordinates in standardized space</w:t>
      </w:r>
    </w:p>
    <w:p>
      <w:pPr>
        <w:pStyle w:val="FigureWithoutNote"/>
      </w:pPr>
      <w:r>
        <w:drawing>
          <wp:inline>
            <wp:extent cx="5943600" cy="965920"/>
            <wp:effectExtent b="0" l="0" r="0" t="0"/>
            <wp:docPr descr="" title="" id="79" name="Picture"/>
            <a:graphic>
              <a:graphicData uri="http://schemas.openxmlformats.org/drawingml/2006/picture">
                <pic:pic>
                  <pic:nvPicPr>
                    <pic:cNvPr descr="Figures/aoi-quad.png" id="80" name="Picture"/>
                    <pic:cNvPicPr>
                      <a:picLocks noChangeArrowheads="1" noChangeAspect="1"/>
                    </pic:cNvPicPr>
                  </pic:nvPicPr>
                  <pic:blipFill>
                    <a:blip r:embed="rId78"/>
                    <a:stretch>
                      <a:fillRect/>
                    </a:stretch>
                  </pic:blipFill>
                  <pic:spPr bwMode="auto">
                    <a:xfrm>
                      <a:off x="0" y="0"/>
                      <a:ext cx="5943600" cy="965920"/>
                    </a:xfrm>
                    <a:prstGeom prst="rect">
                      <a:avLst/>
                    </a:prstGeom>
                    <a:noFill/>
                    <a:ln w="9525">
                      <a:noFill/>
                      <a:headEnd/>
                      <a:tailEnd/>
                    </a:ln>
                  </pic:spPr>
                </pic:pic>
              </a:graphicData>
            </a:graphic>
          </wp:inline>
        </w:drawing>
      </w:r>
    </w:p>
    <w:bookmarkEnd w:id="81"/>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85"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83" name="Picture"/>
            <a:graphic>
              <a:graphicData uri="http://schemas.openxmlformats.org/drawingml/2006/picture">
                <pic:pic>
                  <pic:nvPicPr>
                    <pic:cNvPr descr="L2_VWP_webcam_ET_files/figure-docx/fig-quads-1.png" id="84" name="Picture"/>
                    <pic:cNvPicPr>
                      <a:picLocks noChangeArrowheads="1" noChangeAspect="1"/>
                    </pic:cNvPicPr>
                  </pic:nvPicPr>
                  <pic:blipFill>
                    <a:blip r:embed="rId82"/>
                    <a:stretch>
                      <a:fillRect/>
                    </a:stretch>
                  </pic:blipFill>
                  <pic:spPr bwMode="auto">
                    <a:xfrm>
                      <a:off x="0" y="0"/>
                      <a:ext cx="5943600" cy="5943600"/>
                    </a:xfrm>
                    <a:prstGeom prst="rect">
                      <a:avLst/>
                    </a:prstGeom>
                    <a:noFill/>
                    <a:ln w="9525">
                      <a:noFill/>
                      <a:headEnd/>
                      <a:tailEnd/>
                    </a:ln>
                  </pic:spPr>
                </pic:pic>
              </a:graphicData>
            </a:graphic>
          </wp:inline>
        </w:drawing>
      </w:r>
    </w:p>
    <w:bookmarkEnd w:id="85"/>
    <w:bookmarkStart w:id="89"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87" name="Picture"/>
            <a:graphic>
              <a:graphicData uri="http://schemas.openxmlformats.org/drawingml/2006/picture">
                <pic:pic>
                  <pic:nvPicPr>
                    <pic:cNvPr descr="L2_VWP_webcam_ET_files/figure-docx/fig-fixquads-1.png" id="88" name="Picture"/>
                    <pic:cNvPicPr>
                      <a:picLocks noChangeArrowheads="1" noChangeAspect="1"/>
                    </pic:cNvPicPr>
                  </pic:nvPicPr>
                  <pic:blipFill>
                    <a:blip r:embed="rId86"/>
                    <a:stretch>
                      <a:fillRect/>
                    </a:stretch>
                  </pic:blipFill>
                  <pic:spPr bwMode="auto">
                    <a:xfrm>
                      <a:off x="0" y="0"/>
                      <a:ext cx="5943600" cy="5943600"/>
                    </a:xfrm>
                    <a:prstGeom prst="rect">
                      <a:avLst/>
                    </a:prstGeom>
                    <a:noFill/>
                    <a:ln w="9525">
                      <a:noFill/>
                      <a:headEnd/>
                      <a:tailEnd/>
                    </a:ln>
                  </pic:spPr>
                </pic:pic>
              </a:graphicData>
            </a:graphic>
          </wp:inline>
        </w:drawing>
      </w:r>
    </w:p>
    <w:bookmarkEnd w:id="89"/>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“gathered”</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further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90"/>
    <w:bookmarkEnd w:id="91"/>
    <w:bookmarkStart w:id="97" w:name="samples-to-bins"/>
    <w:p>
      <w:pPr>
        <w:pStyle w:val="Heading2"/>
      </w:pPr>
      <w:r>
        <w:t xml:space="preserve">Samples to bins</w:t>
      </w:r>
    </w:p>
    <w:bookmarkStart w:id="96"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downsampling is often not needed.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the</w:t>
      </w:r>
      <w:r>
        <w:t xml:space="preserve"> </w:t>
      </w:r>
      <w:r>
        <w:rPr>
          <w:rStyle w:val="VerbatimChar"/>
        </w:rPr>
        <w:t xml:space="preserve">downsample_gaze()</w:t>
      </w:r>
      <w:r>
        <w:t xml:space="preserve"> </w:t>
      </w:r>
      <w:r>
        <w:t xml:space="preserve">allows you to aggregate across other variables, such as condition, condition1,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SourceCode"/>
      </w:pPr>
      <w:r>
        <w:rPr>
          <w:rStyle w:val="VerbatimChar"/>
        </w:rPr>
        <w:t xml:space="preserve">[1] "/Users/jasongeller/Documents/L2_VWP_Project/_manuscript/Figures/downsample_table.png"</w:t>
      </w:r>
    </w:p>
    <w:bookmarkStart w:id="95" w:name="tbl-agg-sub"/>
    <w:p>
      <w:pPr>
        <w:pStyle w:val="FigureTitle"/>
      </w:pPr>
      <w:r>
        <w:t xml:space="preserve">Table 5</w:t>
      </w:r>
    </w:p>
    <w:p>
      <w:pPr>
        <w:pStyle w:val="Caption"/>
      </w:pPr>
      <w:r>
        <w:t xml:space="preserve">Aggregated proportion looks for each condition in each 100 ms time bin</w:t>
      </w:r>
    </w:p>
    <w:p>
      <w:pPr>
        <w:pStyle w:val="FigureWithoutNote"/>
      </w:pPr>
      <w:r>
        <w:drawing>
          <wp:inline>
            <wp:extent cx="3657600" cy="1773752"/>
            <wp:effectExtent b="0" l="0" r="0" t="0"/>
            <wp:docPr descr="" title="" id="93" name="Picture"/>
            <a:graphic>
              <a:graphicData uri="http://schemas.openxmlformats.org/drawingml/2006/picture">
                <pic:pic>
                  <pic:nvPicPr>
                    <pic:cNvPr descr="Figures/downsample_table.png" id="94" name="Picture"/>
                    <pic:cNvPicPr>
                      <a:picLocks noChangeArrowheads="1" noChangeAspect="1"/>
                    </pic:cNvPicPr>
                  </pic:nvPicPr>
                  <pic:blipFill>
                    <a:blip r:embed="rId92"/>
                    <a:stretch>
                      <a:fillRect/>
                    </a:stretch>
                  </pic:blipFill>
                  <pic:spPr bwMode="auto">
                    <a:xfrm>
                      <a:off x="0" y="0"/>
                      <a:ext cx="3657600" cy="1773752"/>
                    </a:xfrm>
                    <a:prstGeom prst="rect">
                      <a:avLst/>
                    </a:prstGeom>
                    <a:noFill/>
                    <a:ln w="9525">
                      <a:noFill/>
                      <a:headEnd/>
                      <a:tailEnd/>
                    </a:ln>
                  </pic:spPr>
                </pic:pic>
              </a:graphicData>
            </a:graphic>
          </wp:inline>
        </w:drawing>
      </w:r>
    </w:p>
    <w:bookmarkEnd w:id="95"/>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gaze_sub_L2_avg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“none.”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96"/>
    <w:bookmarkEnd w:id="97"/>
    <w:bookmarkStart w:id="102"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101"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99" name="Picture"/>
            <a:graphic>
              <a:graphicData uri="http://schemas.openxmlformats.org/drawingml/2006/picture">
                <pic:pic>
                  <pic:nvPicPr>
                    <pic:cNvPr descr="L2_VWP_webcam_ET_files/figure-docx/fig-L2comp-1.png" id="100" name="Picture"/>
                    <pic:cNvPicPr>
                      <a:picLocks noChangeArrowheads="1" noChangeAspect="1"/>
                    </pic:cNvPicPr>
                  </pic:nvPicPr>
                  <pic:blipFill>
                    <a:blip r:embed="rId98"/>
                    <a:stretch>
                      <a:fillRect/>
                    </a:stretch>
                  </pic:blipFill>
                  <pic:spPr bwMode="auto">
                    <a:xfrm>
                      <a:off x="0" y="0"/>
                      <a:ext cx="5943600" cy="3219450"/>
                    </a:xfrm>
                    <a:prstGeom prst="rect">
                      <a:avLst/>
                    </a:prstGeom>
                    <a:noFill/>
                    <a:ln w="9525">
                      <a:noFill/>
                      <a:headEnd/>
                      <a:tailEnd/>
                    </a:ln>
                  </pic:spPr>
                </pic:pic>
              </a:graphicData>
            </a:graphic>
          </wp:inline>
        </w:drawing>
      </w:r>
    </w:p>
    <w:bookmarkEnd w:id="101"/>
    <w:bookmarkEnd w:id="102"/>
    <w:bookmarkStart w:id="111"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106" w:name="tbl-gorgaze"/>
    <w:p>
      <w:pPr>
        <w:pStyle w:val="FigureTitle"/>
      </w:pPr>
      <w:r>
        <w:t xml:space="preserve">Table 6</w:t>
      </w:r>
    </w:p>
    <w:p>
      <w:pPr>
        <w:pStyle w:val="Caption"/>
      </w:pPr>
      <w:r>
        <w:t xml:space="preserve">Gorilla provided gaze coordinates</w:t>
      </w:r>
    </w:p>
    <w:p>
      <w:pPr>
        <w:pStyle w:val="FigureWithoutNote"/>
      </w:pPr>
      <w:r>
        <w:drawing>
          <wp:inline>
            <wp:extent cx="5943600" cy="1464155"/>
            <wp:effectExtent b="0" l="0" r="0" t="0"/>
            <wp:docPr descr="" title="" id="104" name="Picture"/>
            <a:graphic>
              <a:graphicData uri="http://schemas.openxmlformats.org/drawingml/2006/picture">
                <pic:pic>
                  <pic:nvPicPr>
                    <pic:cNvPr descr="Figures/gorilla_cords.png" id="105" name="Picture"/>
                    <pic:cNvPicPr>
                      <a:picLocks noChangeArrowheads="1" noChangeAspect="1"/>
                    </pic:cNvPicPr>
                  </pic:nvPicPr>
                  <pic:blipFill>
                    <a:blip r:embed="rId103"/>
                    <a:stretch>
                      <a:fillRect/>
                    </a:stretch>
                  </pic:blipFill>
                  <pic:spPr bwMode="auto">
                    <a:xfrm>
                      <a:off x="0" y="0"/>
                      <a:ext cx="5943600" cy="1464155"/>
                    </a:xfrm>
                    <a:prstGeom prst="rect">
                      <a:avLst/>
                    </a:prstGeom>
                    <a:noFill/>
                    <a:ln w="9525">
                      <a:noFill/>
                      <a:headEnd/>
                      <a:tailEnd/>
                    </a:ln>
                  </pic:spPr>
                </pic:pic>
              </a:graphicData>
            </a:graphic>
          </wp:inline>
        </w:drawing>
      </w:r>
    </w:p>
    <w:bookmarkEnd w:id="106"/>
    <w:bookmarkStart w:id="110"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108" name="Picture"/>
            <a:graphic>
              <a:graphicData uri="http://schemas.openxmlformats.org/drawingml/2006/picture">
                <pic:pic>
                  <pic:nvPicPr>
                    <pic:cNvPr descr="L2_VWP_webcam_ET_files/figure-docx/fig-gor-L2-1.png" id="109" name="Picture"/>
                    <pic:cNvPicPr>
                      <a:picLocks noChangeArrowheads="1" noChangeAspect="1"/>
                    </pic:cNvPicPr>
                  </pic:nvPicPr>
                  <pic:blipFill>
                    <a:blip r:embed="rId107"/>
                    <a:stretch>
                      <a:fillRect/>
                    </a:stretch>
                  </pic:blipFill>
                  <pic:spPr bwMode="auto">
                    <a:xfrm>
                      <a:off x="0" y="0"/>
                      <a:ext cx="5943600" cy="5943600"/>
                    </a:xfrm>
                    <a:prstGeom prst="rect">
                      <a:avLst/>
                    </a:prstGeom>
                    <a:noFill/>
                    <a:ln w="9525">
                      <a:noFill/>
                      <a:headEnd/>
                      <a:tailEnd/>
                    </a:ln>
                  </pic:spPr>
                </pic:pic>
              </a:graphicData>
            </a:graphic>
          </wp:inline>
        </w:drawing>
      </w:r>
    </w:p>
    <w:bookmarkEnd w:id="110"/>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11"/>
    <w:bookmarkStart w:id="116" w:name="Xe56f900ee9073cb08f248c58bc7413f5f8a275d"/>
    <w:p>
      <w:pPr>
        <w:pStyle w:val="Heading2"/>
      </w:pPr>
      <w:r>
        <w:t xml:space="preserve">Visualizing time course data with Gorilla coordinates</w:t>
      </w:r>
    </w:p>
    <w:bookmarkStart w:id="115"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13" name="Picture"/>
            <a:graphic>
              <a:graphicData uri="http://schemas.openxmlformats.org/drawingml/2006/picture">
                <pic:pic>
                  <pic:nvPicPr>
                    <pic:cNvPr descr="L2_VWP_webcam_ET_files/figure-docx/fig-L2comp-gor-1.png" id="114" name="Picture"/>
                    <pic:cNvPicPr>
                      <a:picLocks noChangeArrowheads="1" noChangeAspect="1"/>
                    </pic:cNvPicPr>
                  </pic:nvPicPr>
                  <pic:blipFill>
                    <a:blip r:embed="rId112"/>
                    <a:stretch>
                      <a:fillRect/>
                    </a:stretch>
                  </pic:blipFill>
                  <pic:spPr bwMode="auto">
                    <a:xfrm>
                      <a:off x="0" y="0"/>
                      <a:ext cx="5943600" cy="4953000"/>
                    </a:xfrm>
                    <a:prstGeom prst="rect">
                      <a:avLst/>
                    </a:prstGeom>
                    <a:noFill/>
                    <a:ln w="9525">
                      <a:noFill/>
                      <a:headEnd/>
                      <a:tailEnd/>
                    </a:ln>
                  </pic:spPr>
                </pic:pic>
              </a:graphicData>
            </a:graphic>
          </wp:inline>
        </w:drawing>
      </w:r>
    </w:p>
    <w:bookmarkEnd w:id="115"/>
    <w:p>
      <w:pPr>
        <w:pStyle w:val="AfterWithoutNote"/>
      </w:pPr>
      <w:r>
        <w:t xml:space="preserve">The Gorilla provided coordinates show a similar pattern to the quadrant approach. However, the time course looks a bit nosier given the smaller AOIs.</w:t>
      </w:r>
    </w:p>
    <w:bookmarkEnd w:id="116"/>
    <w:bookmarkStart w:id="123"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22"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br/>
      </w:r>
      <w:r>
        <w:rPr>
          <w:rStyle w:val="NormalTok"/>
        </w:rPr>
        <w:t xml:space="preserve">cpa.lme </w:t>
      </w:r>
      <w:r>
        <w:rPr>
          <w:rStyle w:val="OtherTok"/>
        </w:rPr>
        <w:t xml:space="preserve">=</w:t>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w:t>
      </w:r>
      <w:r>
        <w:rPr>
          <w:rStyle w:val="DecValTok"/>
        </w:rPr>
        <w:t xml:space="preserve">1000</w:t>
      </w:r>
      <w:r>
        <w:rPr>
          <w:rStyle w:val="NormalTok"/>
        </w:rPr>
        <w:t xml:space="preserve">, </w:t>
      </w:r>
      <w:r>
        <w:rPr>
          <w:rStyle w:val="AttributeTok"/>
        </w:rPr>
        <w:t xml:space="preserve">parallel=</w:t>
      </w:r>
      <w:r>
        <w:rPr>
          <w:rStyle w:val="ConstantTok"/>
        </w:rPr>
        <w:t xml:space="preserve">TRUE</w:t>
      </w:r>
      <w:r>
        <w:rPr>
          <w:rStyle w:val="NormalTok"/>
        </w:rPr>
        <w:t xml:space="preserve">)</w:t>
      </w:r>
    </w:p>
    <w:bookmarkStart w:id="117" w:name="tbl-clustermass"/>
    <w:p>
      <w:pPr>
        <w:pStyle w:val="FigureTitle"/>
      </w:pPr>
      <w:r>
        <w:t xml:space="preserve">Table 7</w:t>
      </w:r>
    </w:p>
    <w:p>
      <w:pPr>
        <w:pStyle w:val="Caption"/>
      </w:pPr>
      <w:r>
        <w:t xml:space="preserve">Clustermass statistics for the Spanish-Spanish condition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bin_end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time_end</w:t>
            </w:r>
          </w:p>
        </w:tc>
      </w:tr>
      <w:tr>
        <w:trPr>
          <w:trHeight w:val="360" w:hRule="auto"/>
        </w:trPr>
        body1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210.03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1,100.00</w:t>
            </w:r>
          </w:p>
        </w:tc>
      </w:tr>
    </w:tbl>
    <w:bookmarkEnd w:id="117"/>
    <w:p>
      <w:pPr>
        <w:pStyle w:val="AfterWithoutNote"/>
      </w:pPr>
      <w:r>
        <w:t xml:space="preserve">For the Spanish-Spanish condition, we observed one significant cluster from 500-1000 ms (see</w:t>
      </w:r>
      <w:r>
        <w:t xml:space="preserve"> </w:t>
      </w:r>
      <w:hyperlink w:anchor="tbl-clustermass">
        <w:r>
          <w:rPr>
            <w:rStyle w:val="Hyperlink"/>
          </w:rPr>
          <w:t xml:space="preserve">Table 7</w:t>
        </w:r>
      </w:hyperlink>
      <w:r>
        <w:t xml:space="preserve">).</w:t>
      </w:r>
      <w:r>
        <w:t xml:space="preserve"> </w:t>
      </w:r>
      <w:hyperlink w:anchor="fig-clustermass">
        <w:r>
          <w:rPr>
            <w:rStyle w:val="Hyperlink"/>
          </w:rPr>
          <w:t xml:space="preserve">Figure 10</w:t>
        </w:r>
      </w:hyperlink>
      <w:r>
        <w:t xml:space="preserve"> </w:t>
      </w:r>
      <w:r>
        <w:t xml:space="preserve">highlights the significant cluster (shaded) for both the Spanish-Spanish and Spanish-English conditions. We see there is one significant cluster in both conditions.</w:t>
      </w:r>
    </w:p>
    <w:bookmarkStart w:id="121"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19" name="Picture"/>
            <a:graphic>
              <a:graphicData uri="http://schemas.openxmlformats.org/drawingml/2006/picture">
                <pic:pic>
                  <pic:nvPicPr>
                    <pic:cNvPr descr="L2_VWP_webcam_ET_files/figure-docx/fig-clustermass-1.png" id="120" name="Picture"/>
                    <pic:cNvPicPr>
                      <a:picLocks noChangeArrowheads="1" noChangeAspect="1"/>
                    </pic:cNvPicPr>
                  </pic:nvPicPr>
                  <pic:blipFill>
                    <a:blip r:embed="rId118"/>
                    <a:stretch>
                      <a:fillRect/>
                    </a:stretch>
                  </pic:blipFill>
                  <pic:spPr bwMode="auto">
                    <a:xfrm>
                      <a:off x="0" y="0"/>
                      <a:ext cx="5943600" cy="8915400"/>
                    </a:xfrm>
                    <a:prstGeom prst="rect">
                      <a:avLst/>
                    </a:prstGeom>
                    <a:noFill/>
                    <a:ln w="9525">
                      <a:noFill/>
                      <a:headEnd/>
                      <a:tailEnd/>
                    </a:ln>
                  </pic:spPr>
                </pic:pic>
              </a:graphicData>
            </a:graphic>
          </wp:inline>
        </w:drawing>
      </w:r>
    </w:p>
    <w:bookmarkEnd w:id="121"/>
    <w:bookmarkEnd w:id="122"/>
    <w:bookmarkEnd w:id="123"/>
    <w:bookmarkEnd w:id="124"/>
    <w:bookmarkStart w:id="139"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available [e.g.,</w:t>
      </w:r>
      <w:r>
        <w:t xml:space="preserve">Bramlett and Wiener (</w:t>
      </w:r>
      <w:hyperlink w:anchor="ref-bramlett2024">
        <w:r>
          <w:rPr>
            <w:rStyle w:val="Hyperlink"/>
          </w:rPr>
          <w:t xml:space="preserve">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visual world webcam-based eye-tracking experiment.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to make temporal inferences about the onset/offset of effects</w:t>
      </w:r>
      <w:r>
        <w:t xml:space="preserve"> </w:t>
      </w:r>
      <w:r>
        <w:t xml:space="preserve">(</w:t>
      </w:r>
      <w:hyperlink w:anchor="ref-fields2019">
        <w:r>
          <w:rPr>
            <w:rStyle w:val="Hyperlink"/>
          </w:rPr>
          <w:t xml:space="preserve">Fields &amp; Kuperberg, 2019</w:t>
        </w:r>
      </w:hyperlink>
      <w:r>
        <w:t xml:space="preserve">;</w:t>
      </w:r>
      <w:r>
        <w:t xml:space="preserve"> </w:t>
      </w:r>
      <w:hyperlink w:anchor="ref-ito2023">
        <w:r>
          <w:rPr>
            <w:rStyle w:val="Hyperlink"/>
          </w:rPr>
          <w:t xml:space="preserve">Ito &amp; Knoeferle, 2023</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36"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73%;</w:t>
      </w:r>
      <w:r>
        <w:t xml:space="preserve"> </w:t>
      </w:r>
      <w:r>
        <w:t xml:space="preserve">Slim and Hartsuiker (</w:t>
      </w:r>
      <w:hyperlink w:anchor="ref-slim2023">
        <w:r>
          <w:rPr>
            <w:rStyle w:val="Hyperlink"/>
          </w:rPr>
          <w:t xml:space="preserve">2023</w:t>
        </w:r>
      </w:hyperlink>
      <w:r>
        <w:t xml:space="preserve">)</w:t>
      </w:r>
      <w:r>
        <w:t xml:space="preserve">] and lower [e.g., 20%;</w:t>
      </w:r>
      <w:r>
        <w:t xml:space="preserve"> </w:t>
      </w:r>
      <w:r>
        <w:t xml:space="preserve">Prystauka et al. (</w:t>
      </w:r>
      <w:hyperlink w:anchor="ref-prystauka2024">
        <w:r>
          <w:rPr>
            <w:rStyle w:val="Hyperlink"/>
          </w:rPr>
          <w:t xml:space="preserve">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33"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kaduk2024">
        <w:r>
          <w:rPr>
            <w:rStyle w:val="Hyperlink"/>
          </w:rPr>
          <w:t xml:space="preserve">Kaduk et al., 2024</w:t>
        </w:r>
      </w:hyperlink>
      <w:r>
        <w:t xml:space="preserve">)</w:t>
      </w:r>
      <w:r>
        <w:t xml:space="preserve">). In labvanced,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28" w:name="tbl-question"/>
    <w:p>
      <w:pPr>
        <w:pStyle w:val="FigureTitle"/>
      </w:pPr>
      <w:r>
        <w:t xml:space="preserve">Table 8</w:t>
      </w:r>
    </w:p>
    <w:p>
      <w:pPr>
        <w:pStyle w:val="Caption"/>
      </w:pPr>
      <w:r>
        <w:t xml:space="preserve">Eye-tracking questionaire items</w:t>
      </w:r>
    </w:p>
    <w:p>
      <w:pPr>
        <w:pStyle w:val="FigureWithoutNote"/>
      </w:pPr>
      <w:r>
        <w:drawing>
          <wp:inline>
            <wp:extent cx="5943600" cy="2015708"/>
            <wp:effectExtent b="0" l="0" r="0" t="0"/>
            <wp:docPr descr="" title="" id="126" name="Picture"/>
            <a:graphic>
              <a:graphicData uri="http://schemas.openxmlformats.org/drawingml/2006/picture">
                <pic:pic>
                  <pic:nvPicPr>
                    <pic:cNvPr descr="Figures/Quest.png" id="127" name="Picture"/>
                    <pic:cNvPicPr>
                      <a:picLocks noChangeArrowheads="1" noChangeAspect="1"/>
                    </pic:cNvPicPr>
                  </pic:nvPicPr>
                  <pic:blipFill>
                    <a:blip r:embed="rId125"/>
                    <a:stretch>
                      <a:fillRect/>
                    </a:stretch>
                  </pic:blipFill>
                  <pic:spPr bwMode="auto">
                    <a:xfrm>
                      <a:off x="0" y="0"/>
                      <a:ext cx="5943600" cy="2015708"/>
                    </a:xfrm>
                    <a:prstGeom prst="rect">
                      <a:avLst/>
                    </a:prstGeom>
                    <a:noFill/>
                    <a:ln w="9525">
                      <a:noFill/>
                      <a:headEnd/>
                      <a:tailEnd/>
                    </a:ln>
                  </pic:spPr>
                </pic:pic>
              </a:graphicData>
            </a:graphic>
          </wp:inline>
        </w:drawing>
      </w:r>
    </w:p>
    <w:bookmarkEnd w:id="128"/>
    <w:p>
      <w:pPr>
        <w:pStyle w:val="SourceCode"/>
      </w:pPr>
      <w:r>
        <w:rPr>
          <w:rStyle w:val="VerbatimChar"/>
        </w:rPr>
        <w:t xml:space="preserve">[1] "/Users/jasongeller/Documents/L2_VWP_Project/_manuscript/Figures/poor_good_table.png"</w:t>
      </w:r>
    </w:p>
    <w:bookmarkStart w:id="132"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673939"/>
            <wp:effectExtent b="0" l="0" r="0" t="0"/>
            <wp:docPr descr="" title="" id="130" name="Picture"/>
            <a:graphic>
              <a:graphicData uri="http://schemas.openxmlformats.org/drawingml/2006/picture">
                <pic:pic>
                  <pic:nvPicPr>
                    <pic:cNvPr descr="Figures/poor_good_table.png" id="131" name="Picture"/>
                    <pic:cNvPicPr>
                      <a:picLocks noChangeArrowheads="1" noChangeAspect="1"/>
                    </pic:cNvPicPr>
                  </pic:nvPicPr>
                  <pic:blipFill>
                    <a:blip r:embed="rId129"/>
                    <a:stretch>
                      <a:fillRect/>
                    </a:stretch>
                  </pic:blipFill>
                  <pic:spPr bwMode="auto">
                    <a:xfrm>
                      <a:off x="0" y="0"/>
                      <a:ext cx="5943600" cy="1673939"/>
                    </a:xfrm>
                    <a:prstGeom prst="rect">
                      <a:avLst/>
                    </a:prstGeom>
                    <a:noFill/>
                    <a:ln w="9525">
                      <a:noFill/>
                      <a:headEnd/>
                      <a:tailEnd/>
                    </a:ln>
                  </pic:spPr>
                </pic:pic>
              </a:graphicData>
            </a:graphic>
          </wp:inline>
        </w:drawing>
      </w:r>
    </w:p>
    <w:bookmarkEnd w:id="132"/>
    <w:bookmarkEnd w:id="133"/>
    <w:bookmarkStart w:id="134" w:name="generalizability-to-other-platforms"/>
    <w:p>
      <w:pPr>
        <w:pStyle w:val="Heading3"/>
      </w:pPr>
      <w:r>
        <w:rPr>
          <w:b/>
          <w:bCs/>
        </w:rPr>
        <w:t xml:space="preserve">Generalizability to other platforms</w:t>
      </w:r>
    </w:p>
    <w:p>
      <w:pPr>
        <w:pStyle w:val="FirstParagraph"/>
      </w:pPr>
      <w:r>
        <w:t xml:space="preserve">We demonstrated how to analyze webcam eye-tracking data from a Gorilla experiment using WebGazer.js. While we were unable to validate this pipeline on other experimental platforms using WebGazer.js, such as PCIbex</w:t>
      </w:r>
      <w:r>
        <w:t xml:space="preserve"> </w:t>
      </w:r>
      <w:r>
        <w:t xml:space="preserve">(</w:t>
      </w:r>
      <w:hyperlink w:anchor="ref-zehr2018penncontroller">
        <w:r>
          <w:rPr>
            <w:rStyle w:val="Hyperlink"/>
          </w:rPr>
          <w:t xml:space="preserve">Zehr &amp; Schwarz, 2018</w:t>
        </w:r>
      </w:hyperlink>
      <w:r>
        <w:t xml:space="preserve">)</w:t>
      </w:r>
      <w:r>
        <w:t xml:space="preserve"> </w:t>
      </w:r>
      <w:r>
        <w:t xml:space="preserve">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bookmarkEnd w:id="134"/>
    <w:bookmarkStart w:id="135" w:name="power"/>
    <w:p>
      <w:pPr>
        <w:pStyle w:val="Heading3"/>
      </w:pPr>
      <w:r>
        <w:rPr>
          <w:b/>
          <w:bCs/>
        </w:rPr>
        <w:t xml:space="preserve">Power</w:t>
      </w:r>
    </w:p>
    <w:p>
      <w:pPr>
        <w:pStyle w:val="FirstParagraph"/>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increae our sample size 2x, but were unable to recruit enough participants through Prolific. However, our sample size is similar to the lab based studies.</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35"/>
    <w:bookmarkEnd w:id="136"/>
    <w:bookmarkStart w:id="137"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w:t>
      </w:r>
      <w:r>
        <w:br/>
      </w:r>
      <w:r>
        <w:t xml:space="preserve">To ensure adequate statistical power, researchers should conduct a priori power analyses either via GUI like GPower or perform Monte Carlo simulations/resampling on pilot data. This step is particularly important for online studies, where sample variability can be higher than in controlled lab environments.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37"/>
    <w:bookmarkStart w:id="138"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standardized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38"/>
    <w:bookmarkEnd w:id="139"/>
    <w:bookmarkStart w:id="245" w:name="references"/>
    <w:p>
      <w:pPr>
        <w:pStyle w:val="Heading1"/>
      </w:pPr>
      <w:r>
        <w:t xml:space="preserve">References</w:t>
      </w:r>
    </w:p>
    <w:bookmarkStart w:id="244" w:name="refs"/>
    <w:bookmarkStart w:id="141"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40">
        <w:r>
          <w:rPr>
            <w:rStyle w:val="Hyperlink"/>
          </w:rPr>
          <w:t xml:space="preserve">https://www.tobii.com/products/eye-trackers/screen-based/tobii-pro-spectrum</w:t>
        </w:r>
      </w:hyperlink>
    </w:p>
    <w:bookmarkEnd w:id="141"/>
    <w:bookmarkStart w:id="142"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42"/>
    <w:bookmarkStart w:id="144"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43">
        <w:r>
          <w:rPr>
            <w:rStyle w:val="Hyperlink"/>
          </w:rPr>
          <w:t xml:space="preserve">https://doi.org/10.1177/0146167218798821</w:t>
        </w:r>
      </w:hyperlink>
    </w:p>
    <w:bookmarkEnd w:id="144"/>
    <w:bookmarkStart w:id="146"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45">
        <w:r>
          <w:rPr>
            <w:rStyle w:val="Hyperlink"/>
          </w:rPr>
          <w:t xml:space="preserve">https://doi.org/10.3758/s13428-019-01237-x</w:t>
        </w:r>
      </w:hyperlink>
    </w:p>
    <w:bookmarkEnd w:id="146"/>
    <w:bookmarkStart w:id="148"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47">
        <w:r>
          <w:rPr>
            <w:rStyle w:val="Hyperlink"/>
          </w:rPr>
          <w:t xml:space="preserve">https://CRAN.R-project.org/package=ggokabeito</w:t>
        </w:r>
      </w:hyperlink>
    </w:p>
    <w:bookmarkEnd w:id="148"/>
    <w:bookmarkStart w:id="150"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49">
        <w:r>
          <w:rPr>
            <w:rStyle w:val="Hyperlink"/>
          </w:rPr>
          <w:t xml:space="preserve">https://doi.org/10.1016/j.tics.2022.09.015</w:t>
        </w:r>
      </w:hyperlink>
    </w:p>
    <w:bookmarkEnd w:id="150"/>
    <w:bookmarkStart w:id="152"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51">
        <w:r>
          <w:rPr>
            <w:rStyle w:val="Hyperlink"/>
          </w:rPr>
          <w:t xml:space="preserve">https://doi.org/10.1075/lab.23071.bra</w:t>
        </w:r>
      </w:hyperlink>
    </w:p>
    <w:bookmarkEnd w:id="152"/>
    <w:bookmarkStart w:id="154"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53">
        <w:r>
          <w:rPr>
            <w:rStyle w:val="Hyperlink"/>
          </w:rPr>
          <w:t xml:space="preserve">https://doi.org/10.1093/applin/amad022</w:t>
        </w:r>
      </w:hyperlink>
    </w:p>
    <w:bookmarkEnd w:id="154"/>
    <w:bookmarkStart w:id="156"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55">
        <w:r>
          <w:rPr>
            <w:rStyle w:val="Hyperlink"/>
          </w:rPr>
          <w:t xml:space="preserve">https://doi.org/10.1016/j.ijpsycho.2020.05.010</w:t>
        </w:r>
      </w:hyperlink>
    </w:p>
    <w:bookmarkEnd w:id="156"/>
    <w:bookmarkStart w:id="158"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57">
        <w:r>
          <w:rPr>
            <w:rStyle w:val="Hyperlink"/>
          </w:rPr>
          <w:t xml:space="preserve">https://doi.org/10.1016/0010-0285(74)90005-X</w:t>
        </w:r>
      </w:hyperlink>
    </w:p>
    <w:bookmarkEnd w:id="158"/>
    <w:bookmarkStart w:id="159"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59"/>
    <w:bookmarkStart w:id="161"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60">
        <w:r>
          <w:rPr>
            <w:rStyle w:val="Hyperlink"/>
          </w:rPr>
          <w:t xml:space="preserve">https://doi.org/10.1007/BF02143160</w:t>
        </w:r>
      </w:hyperlink>
    </w:p>
    <w:bookmarkEnd w:id="161"/>
    <w:bookmarkStart w:id="163"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62">
        <w:r>
          <w:rPr>
            <w:rStyle w:val="Hyperlink"/>
          </w:rPr>
          <w:t xml:space="preserve">https://doi.org/10.3758/BF03193146</w:t>
        </w:r>
      </w:hyperlink>
    </w:p>
    <w:bookmarkEnd w:id="163"/>
    <w:bookmarkStart w:id="165"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64">
        <w:r>
          <w:rPr>
            <w:rStyle w:val="Hyperlink"/>
          </w:rPr>
          <w:t xml:space="preserve">https://doi.org/10.1111/psyp.13468</w:t>
        </w:r>
      </w:hyperlink>
    </w:p>
    <w:bookmarkEnd w:id="165"/>
    <w:bookmarkStart w:id="167"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66">
        <w:r>
          <w:rPr>
            <w:rStyle w:val="Hyperlink"/>
          </w:rPr>
          <w:t xml:space="preserve">https://CRAN.R-project.org/package=janitor</w:t>
        </w:r>
      </w:hyperlink>
    </w:p>
    <w:bookmarkEnd w:id="167"/>
    <w:bookmarkStart w:id="169"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68">
        <w:r>
          <w:rPr>
            <w:rStyle w:val="Hyperlink"/>
          </w:rPr>
          <w:t xml:space="preserve">https://doi.org/10.18637/jss.v099.i15</w:t>
        </w:r>
      </w:hyperlink>
    </w:p>
    <w:bookmarkEnd w:id="169"/>
    <w:bookmarkStart w:id="171"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70">
        <w:r>
          <w:rPr>
            <w:rStyle w:val="Hyperlink"/>
          </w:rPr>
          <w:t xml:space="preserve">https://github.com/jgeller112/webgazeR</w:t>
        </w:r>
      </w:hyperlink>
    </w:p>
    <w:bookmarkEnd w:id="171"/>
    <w:bookmarkStart w:id="173" w:name="ref-godfroid"/>
    <w:p>
      <w:pPr>
        <w:pStyle w:val="Bibliography"/>
      </w:pPr>
      <w:r>
        <w:t xml:space="preserve">Godfroid, A., Finch, B., &amp; Koh, J. (2024).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72">
        <w:r>
          <w:rPr>
            <w:rStyle w:val="Hyperlink"/>
          </w:rPr>
          <w:t xml:space="preserve">https://doi.org/10.1111/lang.12664</w:t>
        </w:r>
      </w:hyperlink>
    </w:p>
    <w:bookmarkEnd w:id="173"/>
    <w:bookmarkStart w:id="175"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74">
        <w:r>
          <w:rPr>
            <w:rStyle w:val="Hyperlink"/>
          </w:rPr>
          <w:t xml:space="preserve">https://doi.org/10.1017/S0140525X10000300</w:t>
        </w:r>
      </w:hyperlink>
    </w:p>
    <w:bookmarkEnd w:id="175"/>
    <w:bookmarkStart w:id="177"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76">
        <w:r>
          <w:rPr>
            <w:rStyle w:val="Hyperlink"/>
          </w:rPr>
          <w:t xml:space="preserve">https://doi.org/10.1111/2041-210X.12504</w:t>
        </w:r>
      </w:hyperlink>
    </w:p>
    <w:bookmarkEnd w:id="177"/>
    <w:bookmarkStart w:id="179"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78">
        <w:r>
          <w:rPr>
            <w:rStyle w:val="Hyperlink"/>
          </w:rPr>
          <w:t xml:space="preserve">https://doi.org/10.1016/j.cognition.2020.104251</w:t>
        </w:r>
      </w:hyperlink>
    </w:p>
    <w:bookmarkEnd w:id="179"/>
    <w:bookmarkStart w:id="181"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80">
        <w:r>
          <w:rPr>
            <w:rStyle w:val="Hyperlink"/>
          </w:rPr>
          <w:t xml:space="preserve">https://doi.org/10.3758/s13428-022-01969-3</w:t>
        </w:r>
      </w:hyperlink>
    </w:p>
    <w:bookmarkEnd w:id="181"/>
    <w:bookmarkStart w:id="183"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82">
        <w:r>
          <w:rPr>
            <w:rStyle w:val="Hyperlink"/>
          </w:rPr>
          <w:t xml:space="preserve">https://doi.org/10.1016/j.jml.2017.09.002</w:t>
        </w:r>
      </w:hyperlink>
    </w:p>
    <w:bookmarkEnd w:id="183"/>
    <w:bookmarkStart w:id="185"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84">
        <w:r>
          <w:rPr>
            <w:rStyle w:val="Hyperlink"/>
          </w:rPr>
          <w:t xml:space="preserve">http://hdl.handle.net/1854/LU-5774107</w:t>
        </w:r>
      </w:hyperlink>
    </w:p>
    <w:bookmarkEnd w:id="185"/>
    <w:bookmarkStart w:id="187"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86">
        <w:r>
          <w:rPr>
            <w:rStyle w:val="Hyperlink"/>
          </w:rPr>
          <w:t xml:space="preserve">https://doi.org/10.3758/s13428-023-02237-8</w:t>
        </w:r>
      </w:hyperlink>
    </w:p>
    <w:bookmarkEnd w:id="187"/>
    <w:bookmarkStart w:id="189"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88">
        <w:r>
          <w:rPr>
            <w:rStyle w:val="Hyperlink"/>
          </w:rPr>
          <w:t xml:space="preserve">https://doi.org/10.3758/s13428-021-01546-0</w:t>
        </w:r>
      </w:hyperlink>
    </w:p>
    <w:bookmarkEnd w:id="189"/>
    <w:bookmarkStart w:id="191" w:name="ref-lakens"/>
    <w:p>
      <w:pPr>
        <w:pStyle w:val="Bibliography"/>
      </w:pPr>
      <w:r>
        <w:t xml:space="preserve">Lakens, D. (n.d.).</w:t>
      </w:r>
      <w:r>
        <w:t xml:space="preserve"> </w:t>
      </w:r>
      <w:r>
        <w:rPr>
          <w:i/>
          <w:iCs/>
        </w:rPr>
        <w:t xml:space="preserve">Sample Size Justification</w:t>
      </w:r>
      <w:r>
        <w:t xml:space="preserve">.</w:t>
      </w:r>
      <w:r>
        <w:t xml:space="preserve"> </w:t>
      </w:r>
      <w:hyperlink r:id="rId190">
        <w:r>
          <w:rPr>
            <w:rStyle w:val="Hyperlink"/>
          </w:rPr>
          <w:t xml:space="preserve">https://online.ucpress.edu/collabra/article/8/1/33267/120491/Sample-Size-Justification</w:t>
        </w:r>
      </w:hyperlink>
    </w:p>
    <w:bookmarkEnd w:id="191"/>
    <w:bookmarkStart w:id="193"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92">
        <w:r>
          <w:rPr>
            <w:rStyle w:val="Hyperlink"/>
          </w:rPr>
          <w:t xml:space="preserve">https://doi.org/10.3758/s13428-014-0458-y</w:t>
        </w:r>
      </w:hyperlink>
    </w:p>
    <w:bookmarkEnd w:id="193"/>
    <w:bookmarkStart w:id="195"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194">
        <w:r>
          <w:rPr>
            <w:rStyle w:val="Hyperlink"/>
          </w:rPr>
          <w:t xml:space="preserve">https://doi.org/10.1080/03640210709336987</w:t>
        </w:r>
      </w:hyperlink>
    </w:p>
    <w:bookmarkEnd w:id="195"/>
    <w:bookmarkStart w:id="197"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196">
        <w:r>
          <w:rPr>
            <w:rStyle w:val="Hyperlink"/>
          </w:rPr>
          <w:t xml:space="preserve">https://doi.org/10.1016/j.jneumeth.2007.03.024</w:t>
        </w:r>
      </w:hyperlink>
    </w:p>
    <w:bookmarkEnd w:id="197"/>
    <w:bookmarkStart w:id="199"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198">
        <w:r>
          <w:rPr>
            <w:rStyle w:val="Hyperlink"/>
          </w:rPr>
          <w:t xml:space="preserve">https://doi.org/10.31234/osf.io/2c5b6</w:t>
        </w:r>
      </w:hyperlink>
    </w:p>
    <w:bookmarkEnd w:id="199"/>
    <w:bookmarkStart w:id="201"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200">
        <w:r>
          <w:rPr>
            <w:rStyle w:val="Hyperlink"/>
          </w:rPr>
          <w:t xml:space="preserve">https://doi.org/10.1016/j.cogpsych.2009.06.003</w:t>
        </w:r>
      </w:hyperlink>
    </w:p>
    <w:bookmarkEnd w:id="201"/>
    <w:bookmarkStart w:id="203"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202">
        <w:r>
          <w:rPr>
            <w:rStyle w:val="Hyperlink"/>
          </w:rPr>
          <w:t xml:space="preserve">https://CRAN.R-project.org/package=foreach</w:t>
        </w:r>
      </w:hyperlink>
    </w:p>
    <w:bookmarkEnd w:id="203"/>
    <w:bookmarkStart w:id="205" w:name="ref-miller2023"/>
    <w:p>
      <w:pPr>
        <w:pStyle w:val="Bibliography"/>
      </w:pPr>
      <w:r>
        <w:t xml:space="preserve">Miller, J. (2023). Outlier exclusion procedures for reaction time analysis: The cures are generally worse than the disease.</w:t>
      </w:r>
      <w:r>
        <w:t xml:space="preserve"> </w:t>
      </w:r>
      <w:r>
        <w:rPr>
          <w:i/>
          <w:iCs/>
        </w:rPr>
        <w:t xml:space="preserve">Journal of Experimental Psychology: General</w:t>
      </w:r>
      <w:r>
        <w:t xml:space="preserve">,</w:t>
      </w:r>
      <w:r>
        <w:t xml:space="preserve"> </w:t>
      </w:r>
      <w:r>
        <w:rPr>
          <w:i/>
          <w:iCs/>
        </w:rPr>
        <w:t xml:space="preserve">152</w:t>
      </w:r>
      <w:r>
        <w:t xml:space="preserve">(11), 3189–3217.</w:t>
      </w:r>
      <w:r>
        <w:t xml:space="preserve"> </w:t>
      </w:r>
      <w:hyperlink r:id="rId204">
        <w:r>
          <w:rPr>
            <w:rStyle w:val="Hyperlink"/>
          </w:rPr>
          <w:t xml:space="preserve">https://doi.org/10.1037/xge0001450</w:t>
        </w:r>
      </w:hyperlink>
    </w:p>
    <w:bookmarkEnd w:id="205"/>
    <w:bookmarkStart w:id="207"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206">
        <w:r>
          <w:rPr>
            <w:rStyle w:val="Hyperlink"/>
          </w:rPr>
          <w:t xml:space="preserve">https://doi.org/10.1037/a0026451</w:t>
        </w:r>
      </w:hyperlink>
    </w:p>
    <w:bookmarkEnd w:id="207"/>
    <w:bookmarkStart w:id="209"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208">
        <w:r>
          <w:rPr>
            <w:rStyle w:val="Hyperlink"/>
          </w:rPr>
          <w:t xml:space="preserve">https://doi.org/10.3758/s13428-020-01430-3</w:t>
        </w:r>
      </w:hyperlink>
    </w:p>
    <w:bookmarkEnd w:id="209"/>
    <w:bookmarkStart w:id="210"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10"/>
    <w:bookmarkStart w:id="212"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11">
        <w:r>
          <w:rPr>
            <w:rStyle w:val="Hyperlink"/>
          </w:rPr>
          <w:t xml:space="preserve">https://doi.org/10.3758/s13428-018-01193-y</w:t>
        </w:r>
      </w:hyperlink>
    </w:p>
    <w:bookmarkEnd w:id="212"/>
    <w:bookmarkStart w:id="214"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13">
        <w:r>
          <w:rPr>
            <w:rStyle w:val="Hyperlink"/>
          </w:rPr>
          <w:t xml:space="preserve">http://cejsh.icm.edu.pl/cejsh/element/bwmeta1.element.desklight-98576d43-39e3-4981-8c1c-717962cf29da</w:t>
        </w:r>
      </w:hyperlink>
    </w:p>
    <w:bookmarkEnd w:id="214"/>
    <w:bookmarkStart w:id="216"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15">
        <w:r>
          <w:rPr>
            <w:rStyle w:val="Hyperlink"/>
          </w:rPr>
          <w:t xml:space="preserve">https://doi.org/10.3758/s13428-023-02176-4</w:t>
        </w:r>
      </w:hyperlink>
    </w:p>
    <w:bookmarkEnd w:id="216"/>
    <w:bookmarkStart w:id="218"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17">
        <w:r>
          <w:rPr>
            <w:rStyle w:val="Hyperlink"/>
          </w:rPr>
          <w:t xml:space="preserve">https://doi.org/10.1016/j.jml.2023.104472</w:t>
        </w:r>
      </w:hyperlink>
    </w:p>
    <w:bookmarkEnd w:id="218"/>
    <w:bookmarkStart w:id="220"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19">
        <w:r>
          <w:rPr>
            <w:rStyle w:val="Hyperlink"/>
          </w:rPr>
          <w:t xml:space="preserve">https://doi.org/10.1080/23273798.2021.1952283</w:t>
        </w:r>
      </w:hyperlink>
    </w:p>
    <w:bookmarkEnd w:id="220"/>
    <w:bookmarkStart w:id="222"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21">
        <w:r>
          <w:rPr>
            <w:rStyle w:val="Hyperlink"/>
          </w:rPr>
          <w:t xml:space="preserve">https://doi.org/10.3758/s13428-017-0913-7</w:t>
        </w:r>
      </w:hyperlink>
    </w:p>
    <w:bookmarkEnd w:id="222"/>
    <w:bookmarkStart w:id="224"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23">
        <w:r>
          <w:rPr>
            <w:rStyle w:val="Hyperlink"/>
          </w:rPr>
          <w:t xml:space="preserve">https://doi.org/10.1177/0956797614567341</w:t>
        </w:r>
      </w:hyperlink>
    </w:p>
    <w:bookmarkEnd w:id="224"/>
    <w:bookmarkStart w:id="226"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25">
        <w:r>
          <w:rPr>
            <w:rStyle w:val="Hyperlink"/>
          </w:rPr>
          <w:t xml:space="preserve">https://doi.org/10.3758/s13428-022-01989-z</w:t>
        </w:r>
      </w:hyperlink>
    </w:p>
    <w:bookmarkEnd w:id="226"/>
    <w:bookmarkStart w:id="228"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27">
        <w:r>
          <w:rPr>
            <w:rStyle w:val="Hyperlink"/>
          </w:rPr>
          <w:t xml:space="preserve">https://doi.org/10.1162/opmi_a_00171</w:t>
        </w:r>
      </w:hyperlink>
    </w:p>
    <w:bookmarkEnd w:id="228"/>
    <w:bookmarkStart w:id="230"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29">
        <w:r>
          <w:rPr>
            <w:rStyle w:val="Hyperlink"/>
          </w:rPr>
          <w:t xml:space="preserve">https://doi.org/10.1017/S1366728920000607</w:t>
        </w:r>
      </w:hyperlink>
    </w:p>
    <w:bookmarkEnd w:id="230"/>
    <w:bookmarkStart w:id="232"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31">
        <w:r>
          <w:rPr>
            <w:rStyle w:val="Hyperlink"/>
          </w:rPr>
          <w:t xml:space="preserve">http://www.ncbi.nlm.nih.gov/pubmed/7777863</w:t>
        </w:r>
      </w:hyperlink>
    </w:p>
    <w:bookmarkEnd w:id="232"/>
    <w:bookmarkStart w:id="234"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33">
        <w:r>
          <w:rPr>
            <w:rStyle w:val="Hyperlink"/>
          </w:rPr>
          <w:t xml:space="preserve">https://doi.org/10.1075/lald.44.05tru</w:t>
        </w:r>
      </w:hyperlink>
    </w:p>
    <w:bookmarkEnd w:id="234"/>
    <w:bookmarkStart w:id="235"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35"/>
    <w:bookmarkStart w:id="237"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36">
        <w:r>
          <w:rPr>
            <w:rStyle w:val="Hyperlink"/>
          </w:rPr>
          <w:t xml:space="preserve">https://CRAN.R-project.org/package=permutes</w:t>
        </w:r>
      </w:hyperlink>
    </w:p>
    <w:bookmarkEnd w:id="237"/>
    <w:bookmarkStart w:id="239"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38">
        <w:r>
          <w:rPr>
            <w:rStyle w:val="Hyperlink"/>
          </w:rPr>
          <w:t xml:space="preserve">https://doi.org/10.5070/G6011131</w:t>
        </w:r>
      </w:hyperlink>
    </w:p>
    <w:bookmarkEnd w:id="239"/>
    <w:bookmarkStart w:id="241"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40">
        <w:r>
          <w:rPr>
            <w:rStyle w:val="Hyperlink"/>
          </w:rPr>
          <w:t xml:space="preserve">https://doi.org/10.3758/s13414-017-1361-2</w:t>
        </w:r>
      </w:hyperlink>
    </w:p>
    <w:bookmarkEnd w:id="241"/>
    <w:bookmarkStart w:id="243" w:name="ref-zehr2018penncontroller"/>
    <w:p>
      <w:pPr>
        <w:pStyle w:val="Bibliography"/>
      </w:pPr>
      <w:r>
        <w:t xml:space="preserve">Zehr, J., &amp; Schwarz, F. (2018).</w:t>
      </w:r>
      <w:r>
        <w:t xml:space="preserve"> </w:t>
      </w:r>
      <w:r>
        <w:rPr>
          <w:i/>
          <w:iCs/>
        </w:rPr>
        <w:t xml:space="preserve">PennController for internet based experiments (IBEX)</w:t>
      </w:r>
      <w:r>
        <w:t xml:space="preserve">.</w:t>
      </w:r>
      <w:r>
        <w:t xml:space="preserve"> </w:t>
      </w:r>
      <w:hyperlink r:id="rId242">
        <w:r>
          <w:rPr>
            <w:rStyle w:val="Hyperlink"/>
          </w:rPr>
          <w:t xml:space="preserve">https://doi.org/10.17605/OSF.IO/MD832</w:t>
        </w:r>
      </w:hyperlink>
    </w:p>
    <w:bookmarkEnd w:id="243"/>
    <w:bookmarkEnd w:id="244"/>
    <w:sectPr>
      <w:lnNumType w:countBy="1" w:restart="continuous"/>
    </w:sectPr>
    <w:bookmarkEnd w:id="24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Studies showing this delay used IPCbex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5" Target="media/rId125.png" /><Relationship Type="http://schemas.openxmlformats.org/officeDocument/2006/relationships/image" Id="rId78" Target="media/rId78.png" /><Relationship Type="http://schemas.openxmlformats.org/officeDocument/2006/relationships/image" Id="rId62" Target="media/rId62.jp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29" Target="media/rId129.png" /><Relationship Type="http://schemas.openxmlformats.org/officeDocument/2006/relationships/image" Id="rId43" Target="media/rId43.svg" /><Relationship Type="http://schemas.openxmlformats.org/officeDocument/2006/relationships/image" Id="rId54" Target="media/rId54.svg" /><Relationship Type="http://schemas.openxmlformats.org/officeDocument/2006/relationships/image" Id="rId98" Target="media/rId98.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86" Target="media/rId86.png" /><Relationship Type="http://schemas.openxmlformats.org/officeDocument/2006/relationships/image" Id="rId107" Target="media/rId10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21" Target="media/rId21.svg" /><Relationship Type="http://schemas.openxmlformats.org/officeDocument/2006/relationships/hyperlink" Id="rId213" Target="http://cejsh.icm.edu.pl/cejsh/element/bwmeta1.element.desklight-98576d43-39e3-4981-8c1c-717962cf29da" TargetMode="External" /><Relationship Type="http://schemas.openxmlformats.org/officeDocument/2006/relationships/hyperlink" Id="rId184" Target="http://hdl.handle.net/1854/LU-5774107" TargetMode="External" /><Relationship Type="http://schemas.openxmlformats.org/officeDocument/2006/relationships/hyperlink" Id="rId231" Target="http://www.ncbi.nlm.nih.gov/pubmed/7777863" TargetMode="External" /><Relationship Type="http://schemas.openxmlformats.org/officeDocument/2006/relationships/hyperlink" Id="rId202" Target="https://CRAN.R-project.org/package=foreach" TargetMode="External" /><Relationship Type="http://schemas.openxmlformats.org/officeDocument/2006/relationships/hyperlink" Id="rId147" Target="https://CRAN.R-project.org/package=ggokabeito" TargetMode="External" /><Relationship Type="http://schemas.openxmlformats.org/officeDocument/2006/relationships/hyperlink" Id="rId166" Target="https://CRAN.R-project.org/package=janitor" TargetMode="External" /><Relationship Type="http://schemas.openxmlformats.org/officeDocument/2006/relationships/hyperlink" Id="rId236" Target="https://CRAN.R-project.org/package=permutes" TargetMode="External" /><Relationship Type="http://schemas.openxmlformats.org/officeDocument/2006/relationships/hyperlink" Id="rId41" Target="https://app.gorilla.sc/openmaterials/953693" TargetMode="External" /><Relationship Type="http://schemas.openxmlformats.org/officeDocument/2006/relationships/hyperlink" Id="rId160" Target="https://doi.org/10.1007/BF02143160" TargetMode="External" /><Relationship Type="http://schemas.openxmlformats.org/officeDocument/2006/relationships/hyperlink" Id="rId157" Target="https://doi.org/10.1016/0010-0285(74)90005-X" TargetMode="External" /><Relationship Type="http://schemas.openxmlformats.org/officeDocument/2006/relationships/hyperlink" Id="rId178" Target="https://doi.org/10.1016/j.cognition.2020.104251" TargetMode="External" /><Relationship Type="http://schemas.openxmlformats.org/officeDocument/2006/relationships/hyperlink" Id="rId200" Target="https://doi.org/10.1016/j.cogpsych.2009.06.003" TargetMode="External" /><Relationship Type="http://schemas.openxmlformats.org/officeDocument/2006/relationships/hyperlink" Id="rId155" Target="https://doi.org/10.1016/j.ijpsycho.2020.05.010" TargetMode="External" /><Relationship Type="http://schemas.openxmlformats.org/officeDocument/2006/relationships/hyperlink" Id="rId182" Target="https://doi.org/10.1016/j.jml.2017.09.002" TargetMode="External" /><Relationship Type="http://schemas.openxmlformats.org/officeDocument/2006/relationships/hyperlink" Id="rId217" Target="https://doi.org/10.1016/j.jml.2023.104472" TargetMode="External" /><Relationship Type="http://schemas.openxmlformats.org/officeDocument/2006/relationships/hyperlink" Id="rId196" Target="https://doi.org/10.1016/j.jneumeth.2007.03.024" TargetMode="External" /><Relationship Type="http://schemas.openxmlformats.org/officeDocument/2006/relationships/hyperlink" Id="rId149" Target="https://doi.org/10.1016/j.tics.2022.09.015" TargetMode="External" /><Relationship Type="http://schemas.openxmlformats.org/officeDocument/2006/relationships/hyperlink" Id="rId174" Target="https://doi.org/10.1017/S0140525X10000300" TargetMode="External" /><Relationship Type="http://schemas.openxmlformats.org/officeDocument/2006/relationships/hyperlink" Id="rId229" Target="https://doi.org/10.1017/S1366728920000607" TargetMode="External" /><Relationship Type="http://schemas.openxmlformats.org/officeDocument/2006/relationships/hyperlink" Id="rId206" Target="https://doi.org/10.1037/a0026451" TargetMode="External" /><Relationship Type="http://schemas.openxmlformats.org/officeDocument/2006/relationships/hyperlink" Id="rId204" Target="https://doi.org/10.1037/xge0001450" TargetMode="External" /><Relationship Type="http://schemas.openxmlformats.org/officeDocument/2006/relationships/hyperlink" Id="rId151" Target="https://doi.org/10.1075/lab.23071.bra" TargetMode="External" /><Relationship Type="http://schemas.openxmlformats.org/officeDocument/2006/relationships/hyperlink" Id="rId233" Target="https://doi.org/10.1075/lald.44.05tru" TargetMode="External" /><Relationship Type="http://schemas.openxmlformats.org/officeDocument/2006/relationships/hyperlink" Id="rId194" Target="https://doi.org/10.1080/03640210709336987" TargetMode="External" /><Relationship Type="http://schemas.openxmlformats.org/officeDocument/2006/relationships/hyperlink" Id="rId219" Target="https://doi.org/10.1080/23273798.2021.1952283" TargetMode="External" /><Relationship Type="http://schemas.openxmlformats.org/officeDocument/2006/relationships/hyperlink" Id="rId153" Target="https://doi.org/10.1093/applin/amad022" TargetMode="External" /><Relationship Type="http://schemas.openxmlformats.org/officeDocument/2006/relationships/hyperlink" Id="rId176" Target="https://doi.org/10.1111/2041-210X.12504" TargetMode="External" /><Relationship Type="http://schemas.openxmlformats.org/officeDocument/2006/relationships/hyperlink" Id="rId172" Target="https://doi.org/10.1111/lang.12664" TargetMode="External" /><Relationship Type="http://schemas.openxmlformats.org/officeDocument/2006/relationships/hyperlink" Id="rId164" Target="https://doi.org/10.1111/psyp.13468" TargetMode="External" /><Relationship Type="http://schemas.openxmlformats.org/officeDocument/2006/relationships/hyperlink" Id="rId227" Target="https://doi.org/10.1162/opmi_a_00171" TargetMode="External" /><Relationship Type="http://schemas.openxmlformats.org/officeDocument/2006/relationships/hyperlink" Id="rId143" Target="https://doi.org/10.1177/0146167218798821" TargetMode="External" /><Relationship Type="http://schemas.openxmlformats.org/officeDocument/2006/relationships/hyperlink" Id="rId223" Target="https://doi.org/10.1177/0956797614567341" TargetMode="External" /><Relationship Type="http://schemas.openxmlformats.org/officeDocument/2006/relationships/hyperlink" Id="rId242" Target="https://doi.org/10.17605/OSF.IO/MD832" TargetMode="External" /><Relationship Type="http://schemas.openxmlformats.org/officeDocument/2006/relationships/hyperlink" Id="rId168" Target="https://doi.org/10.18637/jss.v099.i15" TargetMode="External" /><Relationship Type="http://schemas.openxmlformats.org/officeDocument/2006/relationships/hyperlink" Id="rId198" Target="https://doi.org/10.31234/osf.io/2c5b6" TargetMode="External" /><Relationship Type="http://schemas.openxmlformats.org/officeDocument/2006/relationships/hyperlink" Id="rId162" Target="https://doi.org/10.3758/BF03193146" TargetMode="External" /><Relationship Type="http://schemas.openxmlformats.org/officeDocument/2006/relationships/hyperlink" Id="rId240" Target="https://doi.org/10.3758/s13414-017-1361-2" TargetMode="External" /><Relationship Type="http://schemas.openxmlformats.org/officeDocument/2006/relationships/hyperlink" Id="rId192" Target="https://doi.org/10.3758/s13428-014-0458-y" TargetMode="External" /><Relationship Type="http://schemas.openxmlformats.org/officeDocument/2006/relationships/hyperlink" Id="rId221" Target="https://doi.org/10.3758/s13428-017-0913-7" TargetMode="External" /><Relationship Type="http://schemas.openxmlformats.org/officeDocument/2006/relationships/hyperlink" Id="rId211" Target="https://doi.org/10.3758/s13428-018-01193-y" TargetMode="External" /><Relationship Type="http://schemas.openxmlformats.org/officeDocument/2006/relationships/hyperlink" Id="rId145" Target="https://doi.org/10.3758/s13428-019-01237-x" TargetMode="External" /><Relationship Type="http://schemas.openxmlformats.org/officeDocument/2006/relationships/hyperlink" Id="rId208" Target="https://doi.org/10.3758/s13428-020-01430-3" TargetMode="External" /><Relationship Type="http://schemas.openxmlformats.org/officeDocument/2006/relationships/hyperlink" Id="rId188" Target="https://doi.org/10.3758/s13428-021-01546-0" TargetMode="External" /><Relationship Type="http://schemas.openxmlformats.org/officeDocument/2006/relationships/hyperlink" Id="rId180" Target="https://doi.org/10.3758/s13428-022-01969-3" TargetMode="External" /><Relationship Type="http://schemas.openxmlformats.org/officeDocument/2006/relationships/hyperlink" Id="rId225" Target="https://doi.org/10.3758/s13428-022-01989-z" TargetMode="External" /><Relationship Type="http://schemas.openxmlformats.org/officeDocument/2006/relationships/hyperlink" Id="rId215" Target="https://doi.org/10.3758/s13428-023-02176-4" TargetMode="External" /><Relationship Type="http://schemas.openxmlformats.org/officeDocument/2006/relationships/hyperlink" Id="rId186" Target="https://doi.org/10.3758/s13428-023-02237-8" TargetMode="External" /><Relationship Type="http://schemas.openxmlformats.org/officeDocument/2006/relationships/hyperlink" Id="rId238" Target="https://doi.org/10.5070/G6011131" TargetMode="External" /><Relationship Type="http://schemas.openxmlformats.org/officeDocument/2006/relationships/hyperlink" Id="rId42" Target="https://github.com/jgeller112/webcam_gazeR_VWP" TargetMode="External" /><Relationship Type="http://schemas.openxmlformats.org/officeDocument/2006/relationships/hyperlink" Id="rId170" Target="https://github.com/jgeller112/webgazeR" TargetMode="External" /><Relationship Type="http://schemas.openxmlformats.org/officeDocument/2006/relationships/hyperlink" Id="rId190" Target="https://online.ucpress.edu/collabra/article/8/1/33267/120491/Sample-Size-Justification" TargetMode="External" /><Relationship Type="http://schemas.openxmlformats.org/officeDocument/2006/relationships/hyperlink" Id="rId52" Target="https://osf.io/mgkd2/" TargetMode="External" /><Relationship Type="http://schemas.openxmlformats.org/officeDocument/2006/relationships/hyperlink" Id="rId140"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13" Target="http://cejsh.icm.edu.pl/cejsh/element/bwmeta1.element.desklight-98576d43-39e3-4981-8c1c-717962cf29da" TargetMode="External" /><Relationship Type="http://schemas.openxmlformats.org/officeDocument/2006/relationships/hyperlink" Id="rId184" Target="http://hdl.handle.net/1854/LU-5774107" TargetMode="External" /><Relationship Type="http://schemas.openxmlformats.org/officeDocument/2006/relationships/hyperlink" Id="rId231" Target="http://www.ncbi.nlm.nih.gov/pubmed/7777863" TargetMode="External" /><Relationship Type="http://schemas.openxmlformats.org/officeDocument/2006/relationships/hyperlink" Id="rId202" Target="https://CRAN.R-project.org/package=foreach" TargetMode="External" /><Relationship Type="http://schemas.openxmlformats.org/officeDocument/2006/relationships/hyperlink" Id="rId147" Target="https://CRAN.R-project.org/package=ggokabeito" TargetMode="External" /><Relationship Type="http://schemas.openxmlformats.org/officeDocument/2006/relationships/hyperlink" Id="rId166" Target="https://CRAN.R-project.org/package=janitor" TargetMode="External" /><Relationship Type="http://schemas.openxmlformats.org/officeDocument/2006/relationships/hyperlink" Id="rId236" Target="https://CRAN.R-project.org/package=permutes" TargetMode="External" /><Relationship Type="http://schemas.openxmlformats.org/officeDocument/2006/relationships/hyperlink" Id="rId41" Target="https://app.gorilla.sc/openmaterials/953693" TargetMode="External" /><Relationship Type="http://schemas.openxmlformats.org/officeDocument/2006/relationships/hyperlink" Id="rId160" Target="https://doi.org/10.1007/BF02143160" TargetMode="External" /><Relationship Type="http://schemas.openxmlformats.org/officeDocument/2006/relationships/hyperlink" Id="rId157" Target="https://doi.org/10.1016/0010-0285(74)90005-X" TargetMode="External" /><Relationship Type="http://schemas.openxmlformats.org/officeDocument/2006/relationships/hyperlink" Id="rId178" Target="https://doi.org/10.1016/j.cognition.2020.104251" TargetMode="External" /><Relationship Type="http://schemas.openxmlformats.org/officeDocument/2006/relationships/hyperlink" Id="rId200" Target="https://doi.org/10.1016/j.cogpsych.2009.06.003" TargetMode="External" /><Relationship Type="http://schemas.openxmlformats.org/officeDocument/2006/relationships/hyperlink" Id="rId155" Target="https://doi.org/10.1016/j.ijpsycho.2020.05.010" TargetMode="External" /><Relationship Type="http://schemas.openxmlformats.org/officeDocument/2006/relationships/hyperlink" Id="rId182" Target="https://doi.org/10.1016/j.jml.2017.09.002" TargetMode="External" /><Relationship Type="http://schemas.openxmlformats.org/officeDocument/2006/relationships/hyperlink" Id="rId217" Target="https://doi.org/10.1016/j.jml.2023.104472" TargetMode="External" /><Relationship Type="http://schemas.openxmlformats.org/officeDocument/2006/relationships/hyperlink" Id="rId196" Target="https://doi.org/10.1016/j.jneumeth.2007.03.024" TargetMode="External" /><Relationship Type="http://schemas.openxmlformats.org/officeDocument/2006/relationships/hyperlink" Id="rId149" Target="https://doi.org/10.1016/j.tics.2022.09.015" TargetMode="External" /><Relationship Type="http://schemas.openxmlformats.org/officeDocument/2006/relationships/hyperlink" Id="rId174" Target="https://doi.org/10.1017/S0140525X10000300" TargetMode="External" /><Relationship Type="http://schemas.openxmlformats.org/officeDocument/2006/relationships/hyperlink" Id="rId229" Target="https://doi.org/10.1017/S1366728920000607" TargetMode="External" /><Relationship Type="http://schemas.openxmlformats.org/officeDocument/2006/relationships/hyperlink" Id="rId206" Target="https://doi.org/10.1037/a0026451" TargetMode="External" /><Relationship Type="http://schemas.openxmlformats.org/officeDocument/2006/relationships/hyperlink" Id="rId204" Target="https://doi.org/10.1037/xge0001450" TargetMode="External" /><Relationship Type="http://schemas.openxmlformats.org/officeDocument/2006/relationships/hyperlink" Id="rId151" Target="https://doi.org/10.1075/lab.23071.bra" TargetMode="External" /><Relationship Type="http://schemas.openxmlformats.org/officeDocument/2006/relationships/hyperlink" Id="rId233" Target="https://doi.org/10.1075/lald.44.05tru" TargetMode="External" /><Relationship Type="http://schemas.openxmlformats.org/officeDocument/2006/relationships/hyperlink" Id="rId194" Target="https://doi.org/10.1080/03640210709336987" TargetMode="External" /><Relationship Type="http://schemas.openxmlformats.org/officeDocument/2006/relationships/hyperlink" Id="rId219" Target="https://doi.org/10.1080/23273798.2021.1952283" TargetMode="External" /><Relationship Type="http://schemas.openxmlformats.org/officeDocument/2006/relationships/hyperlink" Id="rId153" Target="https://doi.org/10.1093/applin/amad022" TargetMode="External" /><Relationship Type="http://schemas.openxmlformats.org/officeDocument/2006/relationships/hyperlink" Id="rId176" Target="https://doi.org/10.1111/2041-210X.12504" TargetMode="External" /><Relationship Type="http://schemas.openxmlformats.org/officeDocument/2006/relationships/hyperlink" Id="rId172" Target="https://doi.org/10.1111/lang.12664" TargetMode="External" /><Relationship Type="http://schemas.openxmlformats.org/officeDocument/2006/relationships/hyperlink" Id="rId164" Target="https://doi.org/10.1111/psyp.13468" TargetMode="External" /><Relationship Type="http://schemas.openxmlformats.org/officeDocument/2006/relationships/hyperlink" Id="rId227" Target="https://doi.org/10.1162/opmi_a_00171" TargetMode="External" /><Relationship Type="http://schemas.openxmlformats.org/officeDocument/2006/relationships/hyperlink" Id="rId143" Target="https://doi.org/10.1177/0146167218798821" TargetMode="External" /><Relationship Type="http://schemas.openxmlformats.org/officeDocument/2006/relationships/hyperlink" Id="rId223" Target="https://doi.org/10.1177/0956797614567341" TargetMode="External" /><Relationship Type="http://schemas.openxmlformats.org/officeDocument/2006/relationships/hyperlink" Id="rId242" Target="https://doi.org/10.17605/OSF.IO/MD832" TargetMode="External" /><Relationship Type="http://schemas.openxmlformats.org/officeDocument/2006/relationships/hyperlink" Id="rId168" Target="https://doi.org/10.18637/jss.v099.i15" TargetMode="External" /><Relationship Type="http://schemas.openxmlformats.org/officeDocument/2006/relationships/hyperlink" Id="rId198" Target="https://doi.org/10.31234/osf.io/2c5b6" TargetMode="External" /><Relationship Type="http://schemas.openxmlformats.org/officeDocument/2006/relationships/hyperlink" Id="rId162" Target="https://doi.org/10.3758/BF03193146" TargetMode="External" /><Relationship Type="http://schemas.openxmlformats.org/officeDocument/2006/relationships/hyperlink" Id="rId240" Target="https://doi.org/10.3758/s13414-017-1361-2" TargetMode="External" /><Relationship Type="http://schemas.openxmlformats.org/officeDocument/2006/relationships/hyperlink" Id="rId192" Target="https://doi.org/10.3758/s13428-014-0458-y" TargetMode="External" /><Relationship Type="http://schemas.openxmlformats.org/officeDocument/2006/relationships/hyperlink" Id="rId221" Target="https://doi.org/10.3758/s13428-017-0913-7" TargetMode="External" /><Relationship Type="http://schemas.openxmlformats.org/officeDocument/2006/relationships/hyperlink" Id="rId211" Target="https://doi.org/10.3758/s13428-018-01193-y" TargetMode="External" /><Relationship Type="http://schemas.openxmlformats.org/officeDocument/2006/relationships/hyperlink" Id="rId145" Target="https://doi.org/10.3758/s13428-019-01237-x" TargetMode="External" /><Relationship Type="http://schemas.openxmlformats.org/officeDocument/2006/relationships/hyperlink" Id="rId208" Target="https://doi.org/10.3758/s13428-020-01430-3" TargetMode="External" /><Relationship Type="http://schemas.openxmlformats.org/officeDocument/2006/relationships/hyperlink" Id="rId188" Target="https://doi.org/10.3758/s13428-021-01546-0" TargetMode="External" /><Relationship Type="http://schemas.openxmlformats.org/officeDocument/2006/relationships/hyperlink" Id="rId180" Target="https://doi.org/10.3758/s13428-022-01969-3" TargetMode="External" /><Relationship Type="http://schemas.openxmlformats.org/officeDocument/2006/relationships/hyperlink" Id="rId225" Target="https://doi.org/10.3758/s13428-022-01989-z" TargetMode="External" /><Relationship Type="http://schemas.openxmlformats.org/officeDocument/2006/relationships/hyperlink" Id="rId215" Target="https://doi.org/10.3758/s13428-023-02176-4" TargetMode="External" /><Relationship Type="http://schemas.openxmlformats.org/officeDocument/2006/relationships/hyperlink" Id="rId186" Target="https://doi.org/10.3758/s13428-023-02237-8" TargetMode="External" /><Relationship Type="http://schemas.openxmlformats.org/officeDocument/2006/relationships/hyperlink" Id="rId238" Target="https://doi.org/10.5070/G6011131" TargetMode="External" /><Relationship Type="http://schemas.openxmlformats.org/officeDocument/2006/relationships/hyperlink" Id="rId42" Target="https://github.com/jgeller112/webcam_gazeR_VWP" TargetMode="External" /><Relationship Type="http://schemas.openxmlformats.org/officeDocument/2006/relationships/hyperlink" Id="rId170" Target="https://github.com/jgeller112/webgazeR" TargetMode="External" /><Relationship Type="http://schemas.openxmlformats.org/officeDocument/2006/relationships/hyperlink" Id="rId190" Target="https://online.ucpress.edu/collabra/article/8/1/33267/120491/Sample-Size-Justification" TargetMode="External" /><Relationship Type="http://schemas.openxmlformats.org/officeDocument/2006/relationships/hyperlink" Id="rId52" Target="https://osf.io/mgkd2/" TargetMode="External" /><Relationship Type="http://schemas.openxmlformats.org/officeDocument/2006/relationships/hyperlink" Id="rId140"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vt:lpwstr>
  </property>
  <property fmtid="{D5CDD505-2E9C-101B-9397-08002B2CF9AE}" pid="5" name="apaauthor">
    <vt:lpwstr/>
  </property>
  <property fmtid="{D5CDD505-2E9C-101B-9397-08002B2CF9AE}" pid="6" name="apatitle">
    <vt:lpwstr>Language Without Borders: A Step-by-Step Guide to Analyzing Webcam Eye-Tracking Data for L2 Research</vt:lpwstr>
  </property>
  <property fmtid="{D5CDD505-2E9C-101B-9397-08002B2CF9AE}" pid="7" name="apatitledisplay">
    <vt:lpwstr>Language Without Borders: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