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rPr>
          <w:b/>
          <w:bCs/>
          <w:color w:val="1F4E79"/>
          <w:sz w:val="38"/>
          <w:szCs w:val="38"/>
        </w:rPr>
        <w:t xml:space="preserve">CAHIER DES CHARGES TECHNIQUES</w:t>
      </w:r>
    </w:p>
    <w:p>
      <w:pPr>
        <w:spacing w:after="100"/>
        <w:jc w:val="center"/>
      </w:pPr>
      <w:r>
        <w:rPr>
          <w:b/>
          <w:bCs/>
          <w:color w:val="2E75B6"/>
          <w:sz w:val="24"/>
          <w:szCs w:val="24"/>
        </w:rPr>
        <w:t xml:space="preserve">Architecture, technologies, modèle de données, diagramme de classes</w:t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Application d'Indexation, de Recherche et de Localisation des Actes d'État Civil</w:t>
      </w:r>
    </w:p>
    <w:p>
      <w:r>
        <w:br w:type="page"/>
      </w:r>
    </w:p>
    <w:p>
      <w:pPr>
        <w:pStyle w:val="Heading1"/>
        <w:spacing w:after="180" w:before="380"/>
      </w:pPr>
      <w:r>
        <w:t xml:space="preserve">1. Architecture logicielle</w:t>
      </w:r>
    </w:p>
    <w:p>
      <w:pPr>
        <w:pStyle w:val="Heading2"/>
        <w:spacing w:after="130" w:before="260"/>
      </w:pPr>
      <w:r>
        <w:t xml:space="preserve">1.1 Style d'architecture</w:t>
      </w:r>
    </w:p>
    <w:p>
      <w:pPr>
        <w:spacing w:after="110"/>
      </w:pPr>
      <w:r>
        <w:t xml:space="preserve">Architecture en couches, packagée en modules par domaine métier, exposée via une API REST consommée par une SPA (Single Page Application). Choix d'un « modular monolith » plutôt que des microservices : la rigueur d'une séparation claire des responsabilités, sans la complexité opérationnelle (déploiement distribué, cohérence transactionnelle inter-services) injustifiée pour le volume d'utilisateurs concerné (agents d'un ou plusieurs centres).</w:t>
      </w:r>
    </w:p>
    <w:p>
      <w:pPr>
        <w:pStyle w:val="Heading2"/>
        <w:spacing w:after="130" w:before="260"/>
      </w:pPr>
      <w:r>
        <w:t xml:space="preserve">1.2 Couches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Couche</w:t>
            </w:r>
          </w:p>
        </w:tc>
        <w:tc>
          <w:tcPr>
            <w:tcW w:type="dxa" w:w="7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Contenu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Présentation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Frontend React/TypeScript : une interface par domaine fonctionnel (indexation, recherche, personnes, registres, RBAC, tableau de bord, front-office citoyen).</w:t>
            </w:r>
          </w:p>
        </w:tc>
      </w:tr>
      <w:tr>
        <w:tc>
          <w:tcPr>
            <w:tcW w:type="dxa" w:w="2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API / Contrôleurs</w:t>
            </w:r>
          </w:p>
        </w:tc>
        <w:tc>
          <w:tcPr>
            <w:tcW w:type="dxa" w:w="70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Spring Boot — un contrôleur REST par domaine, validation des entrées (Bean Validation).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Services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Logique métier et règles de gestion (RG-xxx), un service par domaine.</w:t>
            </w:r>
          </w:p>
        </w:tc>
      </w:tr>
      <w:tr>
        <w:tc>
          <w:tcPr>
            <w:tcW w:type="dxa" w:w="2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Accès aux données</w:t>
            </w:r>
          </w:p>
        </w:tc>
        <w:tc>
          <w:tcPr>
            <w:tcW w:type="dxa" w:w="70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Spring Data JPA / Hibernate, Repositories dérivés des entités.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Données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PostgreSQL, extension pg_trgm pour la recherche approximative.</w:t>
            </w:r>
          </w:p>
        </w:tc>
      </w:tr>
      <w:tr>
        <w:tc>
          <w:tcPr>
            <w:tcW w:type="dxa" w:w="2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70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Spring Security (authentification JWT, RBAC déclaratif par annotations), journalisation d'audit.</w:t>
            </w:r>
          </w:p>
        </w:tc>
      </w:tr>
    </w:tbl>
    <w:p>
      <w:r>
        <w:br w:type="page"/>
      </w:r>
    </w:p>
    <w:p>
      <w:pPr>
        <w:pStyle w:val="Heading1"/>
        <w:spacing w:after="180" w:before="380"/>
      </w:pPr>
      <w:r>
        <w:t xml:space="preserve">2. Stack technologique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Composant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Technologie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Justification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Frontend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React + TypeScript + Vite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Typage fort adapté à un domaine riche en règles de gestion ; build rapide.</w:t>
            </w:r>
          </w:p>
        </w:tc>
      </w:tr>
      <w:tr>
        <w:tc>
          <w:tcPr>
            <w:tcW w:type="dxa" w:w="20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28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Java + Spring Boot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Structuration en couches alignée sur les domaines fonctionnels ; écosystème très documenté.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Accès aux données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Spring Data JPA + Hibernate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Réduit le code répétitif pour les nombreux référentiels (26 entités).</w:t>
            </w:r>
          </w:p>
        </w:tc>
      </w:tr>
      <w:tr>
        <w:tc>
          <w:tcPr>
            <w:tcW w:type="dxa" w:w="20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Migrations</w:t>
            </w:r>
          </w:p>
        </w:tc>
        <w:tc>
          <w:tcPr>
            <w:tcW w:type="dxa" w:w="28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Flyway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Versionne le schéma PostgreSQL par scripts SQL numérotés.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Base de données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PostgreSQL 15+ avec pg_trgm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Robustesse transactionnelle et recherche approximative native — cœur de la fonctionnalité de recherche.</w:t>
            </w:r>
          </w:p>
        </w:tc>
      </w:tr>
      <w:tr>
        <w:tc>
          <w:tcPr>
            <w:tcW w:type="dxa" w:w="20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Authentification</w:t>
            </w:r>
          </w:p>
        </w:tc>
        <w:tc>
          <w:tcPr>
            <w:tcW w:type="dxa" w:w="28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Spring Security + JWT + BCrypt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Standard de l'écosystème Java, hachage robuste intégré.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Contrôle d'accès (RBAC)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Spring Security — annotations @PreAuthorize, chargées dynamiquement depuis Role/Permission/RolePermission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 RBAC dynamique voulu par le projet se traduit directement par des tables consultées à l'exécution, pas par du code figé.</w:t>
            </w:r>
          </w:p>
        </w:tc>
      </w:tr>
      <w:tr>
        <w:tc>
          <w:tcPr>
            <w:tcW w:type="dxa" w:w="20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Validation</w:t>
            </w:r>
          </w:p>
        </w:tc>
        <w:tc>
          <w:tcPr>
            <w:tcW w:type="dxa" w:w="28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Jakarta Bean Validation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Validation serveur systématique, en cohérence avec la validation côté React.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Tests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JUnit 5 + Mockito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 test nommé par règle de gestion (RG-xxx).</w:t>
            </w:r>
          </w:p>
        </w:tc>
      </w:tr>
      <w:tr>
        <w:tc>
          <w:tcPr>
            <w:tcW w:type="dxa" w:w="20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</w:t>
            </w:r>
          </w:p>
        </w:tc>
        <w:tc>
          <w:tcPr>
            <w:tcW w:type="dxa" w:w="28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Maven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Standard, largement enseigné, intégration CI simple.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Génération de documents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Bibliothèque Java légère (ex. OpenPDF)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Exports utilitaires uniquement (fiche de localisation, rapports) — jamais de document juridique.</w:t>
            </w:r>
          </w:p>
        </w:tc>
      </w:tr>
      <w:tr>
        <w:tc>
          <w:tcPr>
            <w:tcW w:type="dxa" w:w="20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Stockage des images numérisées</w:t>
            </w:r>
          </w:p>
        </w:tc>
        <w:tc>
          <w:tcPr>
            <w:tcW w:type="dxa" w:w="28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Système de fichiers ou stockage compatible S3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 chemin est stocké en base (ImageNumerisee.cheminFichier), le fichier lui-même reste hors base de données.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Monitoring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Spring Boot Actuator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Health checks natifs pour le sous-module Maintenance.</w:t>
            </w:r>
          </w:p>
        </w:tc>
      </w:tr>
      <w:tr>
        <w:tc>
          <w:tcPr>
            <w:tcW w:type="dxa" w:w="20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Déploiement</w:t>
            </w:r>
          </w:p>
        </w:tc>
        <w:tc>
          <w:tcPr>
            <w:tcW w:type="dxa" w:w="28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Docker + CI/CD (GitHub Actions)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Portabilité et reproductibilité, facilite un déploiement multi-centres futur.</w:t>
            </w:r>
          </w:p>
        </w:tc>
      </w:tr>
    </w:tbl>
    <w:p>
      <w:pPr>
        <w:pStyle w:val="Heading2"/>
        <w:spacing w:after="130" w:before="260"/>
      </w:pPr>
      <w:r>
        <w:t xml:space="preserve">2.1 Dépendances principales (backend, Maven)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spring-boot-starter-web, spring-boot-starter-data-jpa, spring-boot-starter-security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spring-boot-starter-validation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org.postgresql:postgresql (driver JDBC)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org.flywaydb:flyway-core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io.jsonwebtoken:jjwt (génération/validation JWT)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org.springframework.boot:spring-boot-starter-actuator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org.springframework.boot:spring-boot-starter-test (JUnit 5, Mockito)</w:t>
      </w:r>
    </w:p>
    <w:p>
      <w:pPr>
        <w:pStyle w:val="Heading2"/>
        <w:spacing w:after="130" w:before="260"/>
      </w:pPr>
      <w:r>
        <w:t xml:space="preserve">2.2 Dépendances principales (frontend, npm)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react, react-dom, typescript, vite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react-router-dom (navigation)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axios ou fetch natif (appels API)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react-hook-form + zod (formulaires et validation)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Bibliothèque de composants légère (ex. shadcn/ui)</w:t>
      </w:r>
    </w:p>
    <w:p>
      <w:r>
        <w:br w:type="page"/>
      </w:r>
    </w:p>
    <w:p>
      <w:pPr>
        <w:pStyle w:val="Heading1"/>
        <w:spacing w:after="180" w:before="380"/>
      </w:pPr>
      <w:r>
        <w:t xml:space="preserve">3. Modèle Conceptuel de Données (MCD)</w:t>
      </w:r>
    </w:p>
    <w:p>
      <w:pPr>
        <w:spacing w:after="110"/>
      </w:pPr>
      <w:r>
        <w:t xml:space="preserve">26 entités, organisées en 7 regroupements logiques, cohérentes avec le script SQL fourni en annexe (schema_etat_civil.sql) et avec le diagramme de classes (section 4).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Entité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Attributs principaux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Rôle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Commune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nom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Regroupe les centres pour l'agrégation statistique communale demandée par le maître de stage.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CentreEtatCivil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communeId, nom, adresse, statut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Unité de déploiement de l'application ; plusieurs centres par commune.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SalleArchive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centreId, designation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Premier niveau de la chaîne de localisation physique.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Rayonnage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salleId, designation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Deuxième niveau de la chaîne de localisation physique.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TypeActe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libelle, actif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Référentiel de classification (naissance, mariage, décès...), extensible sans redéveloppement.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RegistrePhysique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centreId, rayonnageId, typeActeId, numeroRegistre, annee, nbPages, statut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Décrit un registre papier réel — la brique de base de la localisation.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HistoriqueEmplacementRegistre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registreId, ancienRayonnageId, nouveauRayonnageId, dateDeplacement, auteurId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Trace tout déplacement d'un registre (RG-REG-004, RG-REG-006).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Utilisateur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identifiant, motDePasseHash, typeCompte, statut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Compte interne (SuperAdmin / Administrateur / Agent) ; typeCompte distingue le niveau hiérarchique.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Role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libelle, description, actif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Rôle créé dynamiquement par l'Administrateur (RBAC).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Permission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module, action, code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Une permission = un couple (module, action), ex. INDEXATION_CREER.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RolePermission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roleId, permissionId, accordee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La matrice de permissions elle-même : ce qu'un rôle a le droit de faire.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UtilisateurRole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utilisateurId, roleId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Association many-to-many : un agent peut porter plusieurs rôles.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UtilisateurCentre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utilisateurId, centreId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Affectation multi-centres d'un utilisateur (RG-UTI-001).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HistoriqueConnexion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utilisateurId, dateConnexion, adresseIp, statut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Traçabilité des connexions, réussies ou échouées.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JournalActivite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utilisateurId, module, action, dateHeure, details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Audit global, écriture seule au niveau applicatif (RG-PAR-003).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Personne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nom, prenoms, sexe, dateNaissance, dateApproximative, statut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Référentiel central des personnes, support de la recherche par affiliation.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FicheIndexation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registreId, numeroActe, page, typeActeId, dateEvenement, dateIndexation, agentId, statut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Métadonnées de recherche uniquement — jamais le contenu juridique de l'acte.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AssociationPersonneActe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personneId, ficheIndexationId, role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Relie une personne à une fiche indexée avec son rôle (enfant, père, mère...).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LienParente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personneId, personneApparenteeId, typeLien, modeCreation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Lien déduit des actes indexés ou complété manuellement.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ImageNumerisee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ficheIndexationId, registreId, cheminFichier, dateNumerisation, agentId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Palier 2 — copie de sauvegarde/consultation, jamais une référence légale.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Rapport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type, criteres, utilisateurId, dateGeneration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Rapport généré et historisé avec ses critères (RG-RAP-003).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Sauvegarde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dateExecution, type, statut, tailleOctets, chemin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Exécutée par l'acteur Système, planifiée ou manuelle.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Parametre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cle, valeur, categorie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Configuration générale, sécurité, régionale.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Demandeur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nom, prenoms, email, motDePasseHash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Palier 3 — compte citoyen, indépendant de la hiérarchie interne.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DemandeActe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demandeurId, typeActeId, ficheIndexationId, statut, dateDemande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Suivi d'une demande citoyenne, de la soumission à la délivrance.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Notification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demandeurId, demandeId, message, dateEnvoi, statutLu</w:t>
            </w:r>
          </w:p>
        </w:tc>
        <w:tc>
          <w:tcPr>
            <w:tcW w:type="dxa" w:w="42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Information envoyée au demandeur sur l'avancement de sa demande.</w:t>
            </w:r>
          </w:p>
        </w:tc>
      </w:tr>
    </w:tbl>
    <w:p>
      <w:pPr>
        <w:pStyle w:val="Heading2"/>
        <w:spacing w:after="130" w:before="260"/>
      </w:pPr>
      <w:r>
        <w:t xml:space="preserve">3.1 Contraintes d'intégrité notables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Unicité du numéro d'acte au sein d'un même registre (contrainte composite registreId + numeroActe — RG-IDX-008).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Aucune suppression physique des entités référencées : centres, registres, personnes, types d'actes ne sont que désactivés ou archivés.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Le journal d'activité est en écriture seule au niveau applicatif — aucune opération UPDATE/DELETE n'est exposée par l'API sur cette table.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Un utilisateur de type SUPER_ADMIN n'est jamais lié à une ligne RolePermission : ses droits sont câblés au niveau applicatif, pas dans la matrice.</w:t>
      </w:r>
    </w:p>
    <w:p>
      <w:r>
        <w:br w:type="page"/>
      </w:r>
    </w:p>
    <w:p>
      <w:pPr>
        <w:pStyle w:val="Heading1"/>
        <w:spacing w:after="180" w:before="380"/>
      </w:pPr>
      <w:r>
        <w:t xml:space="preserve">4. Diagramme de classes</w:t>
      </w:r>
    </w:p>
    <w:p>
      <w:pPr>
        <w:spacing w:after="110"/>
      </w:pPr>
      <w:r>
        <w:t xml:space="preserve">Dérivé directement du script SQL (section 5) pour garantir la cohérence entre le modèle conceptuel, le modèle physique et le code. Regroupement en 7 packages logiques correspondant aux grands domaines fonctionnels.</w:t>
      </w:r>
    </w:p>
    <w:p>
      <w:pPr>
        <w:spacing w:after="150" w:before="150"/>
        <w:jc w:val="center"/>
      </w:pPr>
      <w:r>
        <w:drawing>
          <wp:inline distT="0" distB="0" distL="0" distR="0">
            <wp:extent cx="59055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80" w:before="380"/>
      </w:pPr>
      <w:r>
        <w:t xml:space="preserve">5. Script SQL</w:t>
      </w:r>
    </w:p>
    <w:p>
      <w:pPr>
        <w:spacing w:after="110"/>
      </w:pPr>
      <w:r>
        <w:t xml:space="preserve">Le script complet (fichier schema_etat_civil.sql, livré séparément) crée les 26 tables dans un ordre validé automatiquement (aucune référence en avant), avec extension pg_trgm, contraintes d'intégrité, index de recherche et données de référence minimales (types d'actes, permissions de base).</w:t>
      </w:r>
    </w:p>
    <w:p>
      <w:pPr>
        <w:pStyle w:val="Heading3"/>
        <w:spacing w:after="90" w:before="180"/>
      </w:pPr>
      <w:r>
        <w:t xml:space="preserve">Extrait représentatif — module Indexation</w:t>
      </w:r>
    </w:p>
    <w:p>
      <w:pPr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CREATE TABLE fiche_indexation (
    id                  BIGSERIAL PRIMARY KEY,
    registre_id         BIGINT NOT NULL REFERENCES registre_physique(id),
    numero_acte         VARCHAR(50) NOT NULL,
    page                INTEGER NOT NULL,
    type_acte_id        BIGINT NOT NULL REFERENCES type_acte(id),
    date_evenement      DATE NOT NULL,
    date_indexation     TIMESTAMP NOT NULL DEFAULT now(),
    agent_id            BIGINT NOT NULL REFERENCES utilisateur(id),
    statut              VARCHAR(20) NOT NULL DEFAULT 'VALIDE'
                            CHECK (statut IN ('VALIDE', 'ERRONEE')),
    CONSTRAINT uq_fiche_registre_numero UNIQUE (registre_id, numero_acte)
);</w:t>
      </w:r>
    </w:p>
    <w:p>
      <w:pPr>
        <w:pStyle w:val="Heading3"/>
        <w:spacing w:after="90" w:before="180"/>
      </w:pPr>
      <w:r>
        <w:t xml:space="preserve">Vérifications effectuées avant livraison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Syntaxe validée par tokenisation (sqlparse) : 53 instructions, aucune erreur.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Ordre des dépendances de clés étrangères vérifié automatiquement : aucune table ne référence une table pas encore créée à ce stade du script (la seule exception — historique_emplacement_registre → utilisateur — est résolue par un ALTER TABLE différé, technique standard pour une dépendance circulaire de création).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26 tables créées, cohérentes avec le MCD (section 3) et le diagramme de classes (section 4).</w:t>
      </w:r>
    </w:p>
    <w:p>
      <w:r>
        <w:br w:type="page"/>
      </w:r>
    </w:p>
    <w:p>
      <w:pPr>
        <w:pStyle w:val="Heading1"/>
        <w:spacing w:after="180" w:before="380"/>
      </w:pPr>
      <w:r>
        <w:t xml:space="preserve">6. Exigences non fonctionnelles techniques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Exigence</w:t>
            </w:r>
          </w:p>
        </w:tc>
        <w:tc>
          <w:tcPr>
            <w:tcW w:type="dxa" w:w="6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Traduction technique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Sécurité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TLS obligatoire en production, mots de passe hachés BCrypt, contrôle d'accès vérifié côté serveur à chaque endpoint, jamais seulement côté interface.</w:t>
            </w:r>
          </w:p>
        </w:tc>
      </w:tr>
      <w:tr>
        <w:tc>
          <w:tcPr>
            <w:tcW w:type="dxa" w:w="24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Performance de recherche</w:t>
            </w:r>
          </w:p>
        </w:tc>
        <w:tc>
          <w:tcPr>
            <w:tcW w:type="dxa" w:w="68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Index GIN trigram (pg_trgm) sur Personne.nom et Personne.prenoms ; objectif de réponse sous 2 secondes.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Traçabilité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Toute opération sensible passe par le JournalActivite ; aucune suppression physique des données de référence.</w:t>
            </w:r>
          </w:p>
        </w:tc>
      </w:tr>
      <w:tr>
        <w:tc>
          <w:tcPr>
            <w:tcW w:type="dxa" w:w="24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Sauvegarde</w:t>
            </w:r>
          </w:p>
        </w:tc>
        <w:tc>
          <w:tcPr>
            <w:tcW w:type="dxa" w:w="68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Exécution planifiée automatisée (acteur Système), vérification d'intégrité, restauration réservée au Super Administrateur.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Évolutivité du RBAC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Ajout d'un rôle ou d'une permission par simple insertion en base, sans modification ni redéploiement du code.</w:t>
            </w:r>
          </w:p>
        </w:tc>
      </w:tr>
      <w:tr>
        <w:tc>
          <w:tcPr>
            <w:tcW w:type="dxa" w:w="24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Portabilité</w:t>
            </w:r>
          </w:p>
        </w:tc>
        <w:tc>
          <w:tcPr>
            <w:tcW w:type="dxa" w:w="6800"/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Conteneurisation Docker de l'ensemble (backend, frontend, base de données) pour un déploiement reproductible sur plusieurs centres.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80" w:before="380"/>
    </w:pPr>
    <w:rPr>
      <w:rFonts w:ascii="Calibri" w:cs="Calibri" w:eastAsia="Calibri" w:hAnsi="Calibri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30" w:before="260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2E75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0cc3c996fcf0584f65852d24fa4feeb4c4a88c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2026-07-29T15:38:57.685Z</dcterms:created>
  <dcterms:modified xsi:type="dcterms:W3CDTF">2026-07-29T15:38:57.685Z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