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555555"/>
          <w:sz w:val="22"/>
          <w:szCs w:val="22"/>
        </w:rPr>
        <w:t xml:space="preserve">Recht für Ingenieure I/II</w:t>
      </w:r>
    </w:p>
    <w:p>
      <w:pPr>
        <w:pStyle w:val="Heading1"/>
      </w:pPr>
      <w:r>
        <w:t xml:space="preserve">Probeprüfung</w:t>
      </w:r>
    </w:p>
    <w:p>
      <w:pPr>
        <w:spacing w:after="200"/>
      </w:pPr>
      <w:r>
        <w:rPr>
          <w:i/>
          <w:iCs/>
          <w:sz w:val="22"/>
          <w:szCs w:val="22"/>
        </w:rPr>
        <w:t xml:space="preserve">Im Stil einer Semesterprüfung — abgestimmt auf die 8 Lernmodule</w:t>
      </w:r>
    </w:p>
    <w:p>
      <w:pPr>
        <w:spacing w:after="100"/>
      </w:pPr>
    </w:p>
    <w:p>
      <w:pPr>
        <w:spacing w:after="200"/>
      </w:pPr>
      <w:r>
        <w:rPr>
          <w:b/>
          <w:bCs/>
        </w:rPr>
        <w:t xml:space="preserve">Name und Vorname: </w:t>
      </w:r>
      <w:r>
        <w:t xml:space="preserve">________________________________</w:t>
      </w:r>
    </w:p>
    <w:p>
      <w:pPr>
        <w:spacing w:after="200"/>
      </w:pPr>
      <w:r>
        <w:rPr>
          <w:b/>
          <w:bCs/>
        </w:rPr>
        <w:t xml:space="preserve">Datum: </w:t>
      </w:r>
      <w:r>
        <w:t xml:space="preserve">________________________________</w:t>
      </w:r>
    </w:p>
    <w:p>
      <w:pPr>
        <w:spacing w:after="100"/>
      </w:pPr>
    </w:p>
    <w:p>
      <w:pPr>
        <w:pStyle w:val="Heading2"/>
      </w:pPr>
      <w:r>
        <w:t xml:space="preserve">Administrative Hinweise</w:t>
      </w:r>
    </w:p>
    <w:p>
      <w:pPr>
        <w:pStyle w:val="ListParagraph"/>
        <w:numPr>
          <w:ilvl w:val="0"/>
          <w:numId w:val="2"/>
        </w:numPr>
      </w:pPr>
      <w:r>
        <w:t xml:space="preserve">Zeit: 60 Minuten</w:t>
      </w:r>
    </w:p>
    <w:p>
      <w:pPr>
        <w:pStyle w:val="ListParagraph"/>
        <w:numPr>
          <w:ilvl w:val="0"/>
          <w:numId w:val="2"/>
        </w:numPr>
      </w:pPr>
      <w:r>
        <w:t xml:space="preserve">Die Aufgaben müssen nicht der Reihe nach gelöst werden.</w:t>
      </w:r>
    </w:p>
    <w:p>
      <w:pPr>
        <w:pStyle w:val="ListParagraph"/>
        <w:numPr>
          <w:ilvl w:val="0"/>
          <w:numId w:val="2"/>
        </w:numPr>
      </w:pPr>
      <w:r>
        <w:t xml:space="preserve">Pro Fragestellung ist mindestens eine Antwort richtig.</w:t>
      </w:r>
    </w:p>
    <w:p>
      <w:pPr>
        <w:pStyle w:val="ListParagraph"/>
        <w:numPr>
          <w:ilvl w:val="0"/>
          <w:numId w:val="2"/>
        </w:numPr>
      </w:pPr>
      <w:r>
        <w:t xml:space="preserve">Bei Fragestellungen mit nur einer richtigen Antwort gibt es nur Punkte, wenn ausschliesslich diese angekreuzt wird.</w:t>
      </w:r>
    </w:p>
    <w:p>
      <w:pPr>
        <w:pStyle w:val="ListParagraph"/>
        <w:numPr>
          <w:ilvl w:val="0"/>
          <w:numId w:val="2"/>
        </w:numPr>
      </w:pPr>
      <w:r>
        <w:t xml:space="preserve">Hilfsmittel: Skript, eigene Vorlesungsnotizen, Gesetzestexte (unkommentiert).</w:t>
      </w:r>
    </w:p>
    <w:p>
      <w:pPr>
        <w:spacing w:after="150"/>
      </w:pPr>
    </w:p>
    <w:p>
      <w:pPr>
        <w:pStyle w:val="Heading2"/>
      </w:pPr>
      <w:r>
        <w:t xml:space="preserve">Übersicht der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jc w:val="center"/>
            </w:pPr>
            <w:r>
              <w:rPr>
                <w:b/>
                <w:bCs/>
              </w:rPr>
              <w:t xml:space="preserve">1</w:t>
            </w:r>
          </w:p>
        </w:tc>
        <w:tc>
          <w:tcPr>
            <w:tcW w:type="dxa" w:w="84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r>
              <w:t xml:space="preserve">ZGB Einleitungsartikel (Art. 1–3 ZGB)</w:t>
            </w:r>
          </w:p>
        </w:tc>
      </w:tr>
      <w:tr>
        <w:tc>
          <w:tcPr>
            <w:tcW w:type="dxa" w:w="90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pPr>
              <w:jc w:val="center"/>
            </w:pPr>
            <w:r>
              <w:rPr>
                <w:b/>
                <w:bCs/>
              </w:rPr>
              <w:t xml:space="preserve">2</w:t>
            </w:r>
          </w:p>
        </w:tc>
        <w:tc>
          <w:tcPr>
            <w:tcW w:type="dxa" w:w="846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r>
              <w:t xml:space="preserve">OR Allgemeiner Teil</w:t>
            </w:r>
          </w:p>
        </w:tc>
      </w:tr>
      <w:tr>
        <w:tc>
          <w:tcPr>
            <w:tcW w:type="dxa" w:w="9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jc w:val="center"/>
            </w:pPr>
            <w:r>
              <w:rPr>
                <w:b/>
                <w:bCs/>
              </w:rPr>
              <w:t xml:space="preserve">3</w:t>
            </w:r>
          </w:p>
        </w:tc>
        <w:tc>
          <w:tcPr>
            <w:tcW w:type="dxa" w:w="84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r>
              <w:t xml:space="preserve">Arbeitsrecht</w:t>
            </w:r>
          </w:p>
        </w:tc>
      </w:tr>
      <w:tr>
        <w:tc>
          <w:tcPr>
            <w:tcW w:type="dxa" w:w="90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pPr>
              <w:jc w:val="center"/>
            </w:pPr>
            <w:r>
              <w:rPr>
                <w:b/>
                <w:bCs/>
              </w:rPr>
              <w:t xml:space="preserve">4</w:t>
            </w:r>
          </w:p>
        </w:tc>
        <w:tc>
          <w:tcPr>
            <w:tcW w:type="dxa" w:w="846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r>
              <w:t xml:space="preserve">Kündigung und Kündigungsschutz</w:t>
            </w:r>
          </w:p>
        </w:tc>
      </w:tr>
      <w:tr>
        <w:tc>
          <w:tcPr>
            <w:tcW w:type="dxa" w:w="9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jc w:val="center"/>
            </w:pPr>
            <w:r>
              <w:rPr>
                <w:b/>
                <w:bCs/>
              </w:rPr>
              <w:t xml:space="preserve">5</w:t>
            </w:r>
          </w:p>
        </w:tc>
        <w:tc>
          <w:tcPr>
            <w:tcW w:type="dxa" w:w="84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r>
              <w:t xml:space="preserve">Werkvertrag und Auftrag</w:t>
            </w:r>
          </w:p>
        </w:tc>
      </w:tr>
      <w:tr>
        <w:tc>
          <w:tcPr>
            <w:tcW w:type="dxa" w:w="90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pPr>
              <w:jc w:val="center"/>
            </w:pPr>
            <w:r>
              <w:rPr>
                <w:b/>
                <w:bCs/>
              </w:rPr>
              <w:t xml:space="preserve">6</w:t>
            </w:r>
          </w:p>
        </w:tc>
        <w:tc>
          <w:tcPr>
            <w:tcW w:type="dxa" w:w="846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r>
              <w:t xml:space="preserve">IT-Verträge</w:t>
            </w:r>
          </w:p>
        </w:tc>
      </w:tr>
      <w:tr>
        <w:tc>
          <w:tcPr>
            <w:tcW w:type="dxa" w:w="9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pPr>
              <w:jc w:val="center"/>
            </w:pPr>
            <w:r>
              <w:rPr>
                <w:b/>
                <w:bCs/>
              </w:rPr>
              <w:t xml:space="preserve">7</w:t>
            </w:r>
          </w:p>
        </w:tc>
        <w:tc>
          <w:tcPr>
            <w:tcW w:type="dxa" w:w="84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tcPr>
          <w:p>
            <w:r>
              <w:t xml:space="preserve">Haftpflichtrecht</w:t>
            </w:r>
          </w:p>
        </w:tc>
      </w:tr>
      <w:tr>
        <w:tc>
          <w:tcPr>
            <w:tcW w:type="dxa" w:w="90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pPr>
              <w:jc w:val="center"/>
            </w:pPr>
            <w:r>
              <w:rPr>
                <w:b/>
                <w:bCs/>
              </w:rPr>
              <w:t xml:space="preserve">8</w:t>
            </w:r>
          </w:p>
        </w:tc>
        <w:tc>
          <w:tcPr>
            <w:tcW w:type="dxa" w:w="8460"/>
            <w:tcBorders>
              <w:top w:val="single" w:color="999999" w:sz="4"/>
              <w:left w:val="single" w:color="999999" w:sz="4"/>
              <w:bottom w:val="single" w:color="999999" w:sz="4"/>
              <w:right w:val="single" w:color="999999" w:sz="4"/>
            </w:tcBorders>
            <w:shd w:fill="EFEFF7" w:val="clear"/>
            <w:tcMar>
              <w:top w:type="dxa" w:w="60"/>
              <w:left w:type="dxa" w:w="120"/>
              <w:bottom w:type="dxa" w:w="60"/>
              <w:right w:type="dxa" w:w="120"/>
            </w:tcMar>
          </w:tcPr>
          <w:p>
            <w:r>
              <w:t xml:space="preserve">Produktehaftpflicht (PrHG)</w:t>
            </w:r>
          </w:p>
        </w:tc>
      </w:tr>
    </w:tbl>
    <w:p>
      <w:r>
        <w:br w:type="page"/>
      </w:r>
    </w:p>
    <w:p>
      <w:pPr>
        <w:pStyle w:val="Heading2"/>
        <w:spacing w:after="120" w:before="300"/>
      </w:pPr>
      <w:r>
        <w:t xml:space="preserve">Aufgabe 1: ZGB Einleitungsartikel — Vertrauensschutz und Rechtsmissbrauch </w:t>
      </w:r>
      <w:r>
        <w:rPr>
          <w:b w:val="false"/>
          <w:bCs w:val="false"/>
          <w:i/>
          <w:iCs/>
          <w:sz w:val="22"/>
          <w:szCs w:val="22"/>
        </w:rPr>
        <w:t xml:space="preserve">(8 Punkte)</w:t>
      </w:r>
    </w:p>
    <w:p>
      <w:pPr>
        <w:spacing w:after="100" w:before="0"/>
      </w:pPr>
      <w:r>
        <w:rPr>
          <w:i/>
          <w:iCs/>
          <w:color w:val="555555"/>
          <w:sz w:val="20"/>
          <w:szCs w:val="20"/>
        </w:rPr>
        <w:t xml:space="preserve">Modul: ZGB Einleitungsartikel (Art. 1–3 ZGB)</w:t>
      </w:r>
    </w:p>
    <w:p>
      <w:pPr>
        <w:spacing w:after="120"/>
      </w:pPr>
      <w:r>
        <w:t xml:space="preserve">Tobias mietet seit zwölf Jahren eine Werkstatt von Vermieterin Frei. Im Mietvertrag ist nichts über die Endreinigung geregelt. Kurz vor Vertragsende erfährt Tobias, dass das gesamte Gebäude ohnehin innerhalb der nächsten zwei Monate abgerissen werden soll. Frei besteht trotzdem darauf, dass Tobias die Werkstatt fachgerecht endreinigen lässt, da sie damit – wie sie unverhüllt zugibt – „ihm noch eins auswischen“ möchte, weil er sich kürzlich über sie beim Hauswart beschwert hatte.</w:t>
      </w:r>
    </w:p>
    <w:p>
      <w:pPr>
        <w:spacing w:after="120"/>
      </w:pPr>
      <w:r>
        <w:t xml:space="preserve">Im zweiten Sachverhalt verkauft Hardware-Händler Brun einem Kunden einen „neuwertigen“ Laptop zum Schnäppchenpreis auf einem Flohmarkt-Stand, ohne dass der Kunde die Seriennummer prüfen kann. Tatsächlich stammt der Laptop aus einem Einbruchsdiebstahl. Brun wusste das nicht, hätte es aber bei einem Mindestmass an Aufmerksamkeit – etwa durch Abgleich der Seriennummer mit der Diebstahlsdatenbank – leicht erkennen können.</w:t>
      </w:r>
    </w:p>
    <w:p>
      <w:pPr>
        <w:spacing w:after="150"/>
      </w:pPr>
      <w:r>
        <w:rPr>
          <w:i/>
          <w:iCs/>
        </w:rPr>
        <w:t xml:space="preserve">Beurteilen Sie die nachstehenden Behauptungen als „richtig“ oder „falsch“ (nur eine Antwort pro Zeile ist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1230"/>
        <w:gridCol w:w="1230"/>
      </w:tblGrid>
      <w:tr>
        <w:trPr>
          <w:tblHeader/>
        </w:trPr>
        <w:tc>
          <w:tcPr>
            <w:tcW w:type="dxa" w:w="6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23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c>
          <w:tcPr>
            <w:tcW w:type="dxa" w:w="123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falsch</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Das Verhalten von Vermieterin Frei ist mit hoher Wahrscheinlichkeit als Rechtsmissbrauch nach Art. 2 Abs. 2 ZGB zu qualifizieren, da sie ihr formelles Recht aus reiner Schikane bzw. Rachemotiv durchsetzen will.</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Rechtsmissbrauch nach Art. 2 Abs. 2 ZGB liegt bereits dann vor, wenn jemand auf einem ihm formell zustehenden Recht beharrt, unabhängig von seinen Motiven.</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Da Brun den Diebstahlsursprung nicht positiv kannte, ist er in jedem Fall als gutgläubig im Sinne von Art. 3 ZGB zu betrachten.</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Wer bei zumutbarer Aufmerksamkeit nicht gutgläubig sein konnte, kann sich nicht auf den guten Glauben nach Art. 3 Abs. 2 ZGB berufen.</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e) Der gute Glaube muss von der sich darauf berufenden Person stets aktiv bewiesen werden; das Gesetz vermutet grundsätzlich Bösgläubigkeit.</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2"/>
        <w:spacing w:after="120" w:before="300"/>
      </w:pPr>
      <w:r>
        <w:t xml:space="preserve">Aufgabe 2: OR Allgemeiner Teil — Vertragsschluss und Willensmängel </w:t>
      </w:r>
      <w:r>
        <w:rPr>
          <w:b w:val="false"/>
          <w:bCs w:val="false"/>
          <w:i/>
          <w:iCs/>
          <w:sz w:val="22"/>
          <w:szCs w:val="22"/>
        </w:rPr>
        <w:t xml:space="preserve">(10 Punkte)</w:t>
      </w:r>
    </w:p>
    <w:p>
      <w:pPr>
        <w:spacing w:after="100" w:before="0"/>
      </w:pPr>
      <w:r>
        <w:rPr>
          <w:i/>
          <w:iCs/>
          <w:color w:val="555555"/>
          <w:sz w:val="20"/>
          <w:szCs w:val="20"/>
        </w:rPr>
        <w:t xml:space="preserve">Modul: OR Allgemeiner Teil</w:t>
      </w:r>
    </w:p>
    <w:p>
      <w:pPr>
        <w:spacing w:after="120"/>
      </w:pPr>
      <w:r>
        <w:t xml:space="preserve">Ingenieurbüro Keller GmbH veröffentlicht auf ihrer Website ein Formular, über das Interessenten eine „unverbindliche Kostenschätzung“ für Sanierungsprojekte anfordern können. Bauherr Wyss füllt das Formular aus und erhält postwendend eine automatisch generierte Antwort mit einer konkreten Kostenschätzung von CHF 85'000.–. Wyss antwortet umgehend per E-Mail: „Einverstanden, bitte beginnen Sie mit der Planung.“ Da das Ingenieurbüro Keller GmbH innerhalb von zehn Tagen nicht reagiert, nimmt Wyss an, der Vertrag sei zustande gekommen, und bestellt bereits Baumaterial.</w:t>
      </w:r>
    </w:p>
    <w:p>
      <w:pPr>
        <w:spacing w:after="120"/>
      </w:pPr>
      <w:r>
        <w:t xml:space="preserve">In einem zweiten, unabhängigen Fall least ein Maschinenbau-Unternehmen eine hochspezialisierte CNC-Fräse. Der Verkäufer hatte dem Käufer wider besseres Wissen versichert, die Maschine sei „noch nie im Dauerbetrieb gelaufen“, obwohl er wusste, dass sie bereits über 10'000 Betriebsstunden aufwies.</w:t>
      </w:r>
    </w:p>
    <w:p>
      <w:pPr>
        <w:spacing w:after="150"/>
      </w:pPr>
      <w:r>
        <w:rPr>
          <w:i/>
          <w:iCs/>
        </w:rPr>
        <w:t xml:space="preserve">Sind die nachstehenden Behauptungen richtig (eine oder mehrere Antworten sind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00"/>
        <w:gridCol w:w="1460"/>
      </w:tblGrid>
      <w:tr>
        <w:trPr>
          <w:tblHeader/>
        </w:trPr>
        <w:tc>
          <w:tcPr>
            <w:tcW w:type="dxa" w:w="7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46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Die auf der Website veröffentlichte Kostenschätzungs-Funktion stellt nach Art. 7 Abs. 2 OR lediglich eine unverbindliche Einladung zur Antragsstellung dar, sodass durch das Formular allein noch kein bindender Antrag vorliegt.</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Indem Wyss das Formular ausfüllt und die automatische Kostenschätzung erhält, stellt er selbst den Antrag zum Vertragsabschluss, den das Ingenieurbüro noch annehmen müsste.</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Da das Ingenieurbüro nicht innerhalb einer angemessenen Frist antwortet, ist nach den Regeln über den Vertrag unter Abwesenden (Art. 5 OR) ohne ausdrückliche Annahme kein Vertrag zustande gekommen.</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Die wissentlich falsche Aussage des Maschinenverkäufers über die Betriebsstunden begründet eine absichtliche Täuschung im Sinne von Art. 28 OR, die den Käufer zur Anfechtung des Vertrages berechtigt.</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2"/>
        <w:spacing w:after="120" w:before="300"/>
      </w:pPr>
      <w:r>
        <w:t xml:space="preserve">Aufgabe 3: Arbeitsrecht — Persönlichkeitsschutz und Arbeitszeugnis </w:t>
      </w:r>
      <w:r>
        <w:rPr>
          <w:b w:val="false"/>
          <w:bCs w:val="false"/>
          <w:i/>
          <w:iCs/>
          <w:sz w:val="22"/>
          <w:szCs w:val="22"/>
        </w:rPr>
        <w:t xml:space="preserve">(6 Punkte)</w:t>
      </w:r>
    </w:p>
    <w:p>
      <w:pPr>
        <w:spacing w:after="100" w:before="0"/>
      </w:pPr>
      <w:r>
        <w:rPr>
          <w:i/>
          <w:iCs/>
          <w:color w:val="555555"/>
          <w:sz w:val="20"/>
          <w:szCs w:val="20"/>
        </w:rPr>
        <w:t xml:space="preserve">Modul: Arbeitsrecht</w:t>
      </w:r>
    </w:p>
    <w:p>
      <w:pPr>
        <w:spacing w:after="120"/>
      </w:pPr>
      <w:r>
        <w:t xml:space="preserve">Softwareentwicklerin Frau Ott arbeitet seit vier Jahren bei der TechBau AG. Nach wiederholten unangemessenen Bemerkungen eines Vorgesetzten meldet sie den Vorfall der Personalabteilung; diese unternimmt daraufhin nichts. Als Frau Ott das Unternehmen schliesslich verlässt, verlangt sie ein Arbeitszeugnis. Die Personalabteilung möchte darin lediglich vermerken, dass sie „stets bemüht“ gewesen sei, da man mit ihrer Leistung eigentlich nicht zufrieden war, ihr dies aber nicht offen ins Zeugnis schreiben möchte.</w:t>
      </w:r>
    </w:p>
    <w:p>
      <w:pPr>
        <w:spacing w:after="150"/>
      </w:pPr>
      <w:r>
        <w:rPr>
          <w:i/>
          <w:iCs/>
        </w:rPr>
        <w:t xml:space="preserve">Beurteilen Sie die nachstehenden Behauptungen als „richtig“ oder „falsch“ (nur eine Antwort pro Zeile ist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1230"/>
        <w:gridCol w:w="1230"/>
      </w:tblGrid>
      <w:tr>
        <w:trPr>
          <w:tblHeader/>
        </w:trPr>
        <w:tc>
          <w:tcPr>
            <w:tcW w:type="dxa" w:w="6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23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c>
          <w:tcPr>
            <w:tcW w:type="dxa" w:w="123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falsch</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Der Arbeitgeber ist nach Art. 328 OR verpflichtet, die Persönlichkeit der Arbeitnehmerin zu schützen und insbesondere sexuelle Belästigungen zu verhindern; bleibt er untätig, verletzt er seine gesetzliche Schutzpflicht.</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Frau Ott darf wegen der Meldung des Vorfalls keine Nachteile erfahren.</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Ein Arbeitszeugnis darf zweideutige Formulierungen wie „stets bemüht“ enthalten, sofern der Arbeitgeber damit eine wahrheitsgemässe, aber wohlwollende Aussage treffen will.</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Das Arbeitszeugnis muss wahrheitsgetreu und vollständig sein, darf sich aber auf das Arbeitsverhältnis beschränken.</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2"/>
        <w:spacing w:after="120" w:before="300"/>
      </w:pPr>
      <w:r>
        <w:t xml:space="preserve">Aufgabe 4: Kündigung und Kündigungsschutz </w:t>
      </w:r>
      <w:r>
        <w:rPr>
          <w:b w:val="false"/>
          <w:bCs w:val="false"/>
          <w:i/>
          <w:iCs/>
          <w:sz w:val="22"/>
          <w:szCs w:val="22"/>
        </w:rPr>
        <w:t xml:space="preserve">(10 Punkte)</w:t>
      </w:r>
    </w:p>
    <w:p>
      <w:pPr>
        <w:spacing w:after="100" w:before="0"/>
      </w:pPr>
      <w:r>
        <w:rPr>
          <w:i/>
          <w:iCs/>
          <w:color w:val="555555"/>
          <w:sz w:val="20"/>
          <w:szCs w:val="20"/>
        </w:rPr>
        <w:t xml:space="preserve">Modul: Kündigung und Kündigungsschutz</w:t>
      </w:r>
    </w:p>
    <w:p>
      <w:pPr>
        <w:spacing w:after="120"/>
      </w:pPr>
      <w:r>
        <w:t xml:space="preserve">Bauingenieur Marco arbeitet seit 18 Jahren bei der Baukonsult AG und steht kurz vor der Pensionierung. Ohne erkennbaren sachlichen Grund kündigt ihm die Baukonsult AG zwei Jahre vor Erreichen des ordentlichen Pensionsalters. Marco vermutet, dass man ihm damit Pensionskassenleistungen vorenthalten möchte.</w:t>
      </w:r>
    </w:p>
    <w:p>
      <w:pPr>
        <w:spacing w:after="120"/>
      </w:pPr>
      <w:r>
        <w:t xml:space="preserve">Kollegin Frau Suter wird am 3. eines Monats krank und ist während 25 Tagen arbeitsunfähig (1. Dienstjahr). Am 10. desselben Monats – also während ihrer Krankheit – erhält sie von ihrem Arbeitgeber die ordentliche Kündigung.</w:t>
      </w:r>
    </w:p>
    <w:p>
      <w:pPr>
        <w:spacing w:after="150"/>
      </w:pPr>
      <w:r>
        <w:rPr>
          <w:i/>
          <w:iCs/>
        </w:rPr>
        <w:t xml:space="preserve">Sind die nachstehenden Behauptungen richtig (eine oder mehrere Antworten sind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00"/>
        <w:gridCol w:w="1460"/>
      </w:tblGrid>
      <w:tr>
        <w:trPr>
          <w:tblHeader/>
        </w:trPr>
        <w:tc>
          <w:tcPr>
            <w:tcW w:type="dxa" w:w="7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46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Die Kündigung gegenüber Marco kann als missbräuchliche Kündigung nach Art. 336 OR qualifiziert werden, wenn sie kurz vor Erreichen des Pensionsalters und ohne zureichenden Grund ausgesprochen wird.</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Eine als missbräuchlich qualifizierte Kündigung ist deswegen ungültig und das Arbeitsverhältnis besteht automatisch weiter.</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Bei einer missbräuchlichen Kündigung kann das Gericht eine Entschädigung von maximal sechs Monatslöhnen zusprechen.</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Die Kündigung gegenüber Frau Suter, die während ihrer krankheitsbedingten Sperrfrist im ersten Dienstjahr (30 Tage) ausgesprochen wurde, ist nach Art. 336c Abs. 2 OR nichtig.</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e) Der zeitliche Kündigungsschutz nach Art. 336c OR gilt auch während der Probezeit.</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2"/>
        <w:spacing w:after="120" w:before="300"/>
      </w:pPr>
      <w:r>
        <w:t xml:space="preserve">Aufgabe 5: Werkvertrag und Auftrag — Abgrenzung und Rechtsfolgen </w:t>
      </w:r>
      <w:r>
        <w:rPr>
          <w:b w:val="false"/>
          <w:bCs w:val="false"/>
          <w:i/>
          <w:iCs/>
          <w:sz w:val="22"/>
          <w:szCs w:val="22"/>
        </w:rPr>
        <w:t xml:space="preserve">(12 Punkte)</w:t>
      </w:r>
    </w:p>
    <w:p>
      <w:pPr>
        <w:spacing w:after="100" w:before="0"/>
      </w:pPr>
      <w:r>
        <w:rPr>
          <w:i/>
          <w:iCs/>
          <w:color w:val="555555"/>
          <w:sz w:val="20"/>
          <w:szCs w:val="20"/>
        </w:rPr>
        <w:t xml:space="preserve">Modul: Werkvertrag und Auftrag</w:t>
      </w:r>
    </w:p>
    <w:p>
      <w:pPr>
        <w:spacing w:after="120"/>
      </w:pPr>
      <w:r>
        <w:t xml:space="preserve">Die Solartech AG installiert für Hausbesitzer Frei eine Photovoltaikanlage auf dessen Dach gegen einen Pauschalpreis von CHF 32'000.–. Sechs Monate nach der Abnahme stellt Frei fest, dass die Anlage bei starkem Regen deutlich weniger Strom produziert als zugesichert. Eine Fachexpertise zeigt, dass ein Verkabelungsfehler vorliegt, der bereits bei der Installation hätte erkannt werden müssen.</w:t>
      </w:r>
    </w:p>
    <w:p>
      <w:pPr>
        <w:spacing w:after="120"/>
      </w:pPr>
      <w:r>
        <w:t xml:space="preserve">Parallel dazu beauftragt Frei einen unabhängigen Energieberater, ihn bei der Wahl des richtigen Stromanbieters zu unterstützen. Der Berater liefert eine Empfehlung, die sich nachträglich als wirtschaftlich ungünstig herausstellt, obwohl er sorgfältig und nach bestem Wissen recherchiert hatte.</w:t>
      </w:r>
    </w:p>
    <w:p>
      <w:pPr>
        <w:spacing w:after="150"/>
      </w:pPr>
      <w:r>
        <w:rPr>
          <w:i/>
          <w:iCs/>
        </w:rPr>
        <w:t xml:space="preserve">Sind die nachstehenden Behauptungen richtig (eine oder mehrere Antworten sind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00"/>
        <w:gridCol w:w="1460"/>
      </w:tblGrid>
      <w:tr>
        <w:trPr>
          <w:tblHeader/>
        </w:trPr>
        <w:tc>
          <w:tcPr>
            <w:tcW w:type="dxa" w:w="7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46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Der Vertrag zur Installation der Photovoltaikanlage ist als Werkvertrag zu qualifizieren, da ein bestimmter Erfolg (die funktionsfähige Anlage) geschuldet ist.</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Die Solartech AG haftet für den Verkabelungsfehler nach Art. 368 OR verschuldensunabhängig, sofern Frei seine Prüf- und Rügeobliegenheit rechtzeitig erfüllt hat und die Mängelrechte nicht verjährt sind.</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Da der Mangel die Funktionsfähigkeit der Anlage erheblich beeinträchtigt, kommt grundsätzlich Wandelung, Minderung oder Nachbesserung in Betracht.</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Der Vertrag mit dem Energieberater ist als Auftrag zu qualifizieren, weil im Zentrum das sorgfältige Tätigwerden steht und kein Erfolg geschuldet ist.</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e) Da die Empfehlung des Energieberaters wirtschaftlich ungünstig ausfiel, haftet er automatisch für den entstandenen Schaden, unabhängig davon, ob er sorgfältig gehandelt hat.</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f) Sowohl der Werkvertrag mit der Solartech AG als auch der Auftrag mit dem Energieberater könnten grundsätzlich formfrei abgeschlossen werden.</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2"/>
        <w:spacing w:after="120" w:before="300"/>
      </w:pPr>
      <w:r>
        <w:t xml:space="preserve">Aufgabe 6: IT-Verträge — Outsourcing und Datenschutz </w:t>
      </w:r>
      <w:r>
        <w:rPr>
          <w:b w:val="false"/>
          <w:bCs w:val="false"/>
          <w:i/>
          <w:iCs/>
          <w:sz w:val="22"/>
          <w:szCs w:val="22"/>
        </w:rPr>
        <w:t xml:space="preserve">(9 Punkte)</w:t>
      </w:r>
    </w:p>
    <w:p>
      <w:pPr>
        <w:spacing w:after="100" w:before="0"/>
      </w:pPr>
      <w:r>
        <w:rPr>
          <w:i/>
          <w:iCs/>
          <w:color w:val="555555"/>
          <w:sz w:val="20"/>
          <w:szCs w:val="20"/>
        </w:rPr>
        <w:t xml:space="preserve">Modul: IT-Verträge</w:t>
      </w:r>
    </w:p>
    <w:p>
      <w:pPr>
        <w:spacing w:after="120"/>
      </w:pPr>
      <w:r>
        <w:t xml:space="preserve">Die Industriefirma Mexa AG lagert die Verwaltung ihrer ERP-Software an einen externen IT-Dienstleister aus. Die Parteien schliessen einen Rahmenvertrag mit grundlegenden Bestimmungen ab; für die konkrete Erbringung der einzelnen Dienstleistungen werden zusätzlich Einzelverträge sowie ein Service Level Agreement (SLA) vereinbart, welches die Reaktionszeiten bei Störungen detailliert regelt. Im Rahmen dieses Outsourcings erhält der Dienstleister auch Zugriff auf Personendaten von Mitarbeitenden der Mexa AG und plant, diese Daten zur Kostenoptimierung auf Servern eines Tochterunternehmens in einem Land ausserhalb der EU zu speichern, dessen Datenschutzniveau nicht durch den EDÖB als angemessen anerkannt ist.</w:t>
      </w:r>
    </w:p>
    <w:p>
      <w:pPr>
        <w:spacing w:after="150"/>
      </w:pPr>
      <w:r>
        <w:rPr>
          <w:i/>
          <w:iCs/>
        </w:rPr>
        <w:t xml:space="preserve">Sind die nachstehenden Behauptungen richtig (eine oder mehrere Antworten sind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00"/>
        <w:gridCol w:w="1460"/>
      </w:tblGrid>
      <w:tr>
        <w:trPr>
          <w:tblHeader/>
        </w:trPr>
        <w:tc>
          <w:tcPr>
            <w:tcW w:type="dxa" w:w="7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46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Ein Service Level Agreement (SLA) dient der detaillierten Beschreibung von Art, Quantität und Qualität der vereinbarten Outsourcing-Services und macht diese dadurch messbar.</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Zentrale strategische und kommerzielle Punkte des Outsourcing-Verhältnisses sollten im Outsourcing-Vertrag selbst und nicht nur im SLA geregelt werden, da sonst der Sinn des Outsourcing-Vertrages ausgehöhlt werden könnte.</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Die Übermittlung der Personendaten an das Tochterunternehmen ist ohne Weiteres zulässig, solange dies aus Kostengründen erfolgt.</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Damit die Datenübermittlung in das fragliche Land zulässig ist, müsste ein angemessener Schutz auf andere Weise sichergestellt werden, etwa durch vertragliche Datenschutzklauseln oder vom EDÖB genehmigte Standardklauseln.</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e) Ein IT-Outsourcing-Vertrag sollte unter anderem Regelungen zu Datenschutz/Informationssicherheit, Geheimhaltung sowie Gewährleistung und Haftung enthalten.</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2"/>
        <w:spacing w:after="120" w:before="300"/>
      </w:pPr>
      <w:r>
        <w:t xml:space="preserve">Aufgabe 7: Haftpflichtrecht — Vertragliche Haftung und Gefährdungshaftung </w:t>
      </w:r>
      <w:r>
        <w:rPr>
          <w:b w:val="false"/>
          <w:bCs w:val="false"/>
          <w:i/>
          <w:iCs/>
          <w:sz w:val="22"/>
          <w:szCs w:val="22"/>
        </w:rPr>
        <w:t xml:space="preserve">(9 Punkte)</w:t>
      </w:r>
    </w:p>
    <w:p>
      <w:pPr>
        <w:spacing w:after="100" w:before="0"/>
      </w:pPr>
      <w:r>
        <w:rPr>
          <w:i/>
          <w:iCs/>
          <w:color w:val="555555"/>
          <w:sz w:val="20"/>
          <w:szCs w:val="20"/>
        </w:rPr>
        <w:t xml:space="preserve">Modul: Haftpflichtrecht</w:t>
      </w:r>
    </w:p>
    <w:p>
      <w:pPr>
        <w:spacing w:after="120"/>
      </w:pPr>
      <w:r>
        <w:t xml:space="preserve">Ingenieur Halter fährt mit seinem privaten Motorfahrzeug zu einer Baustellenbesichtigung. Aufgrund eines technischen Defekts an der Bremsanlage – den auch eine sorgfältige Kontrolle nicht hätte erkennen lassen – verursacht er einen Unfall, bei dem ein Fussgänger verletzt wird. Unabhängig davon liefert ein Baustofflieferant der Bauunternehmung Stutz AG Betonelemente, die sich nachträglich als mangelhaft erweisen und zu einem Schaden an der Baustelle führen, weil sie nicht den vertraglich zugesicherten Eigenschaften entsprechen.</w:t>
      </w:r>
    </w:p>
    <w:p>
      <w:pPr>
        <w:spacing w:after="150"/>
      </w:pPr>
      <w:r>
        <w:rPr>
          <w:i/>
          <w:iCs/>
        </w:rPr>
        <w:t xml:space="preserve">Beurteilen Sie die nachstehenden Behauptungen als „richtig“ oder „falsch“ (nur eine Antwort pro Zeile ist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1230"/>
        <w:gridCol w:w="1230"/>
      </w:tblGrid>
      <w:tr>
        <w:trPr>
          <w:tblHeader/>
        </w:trPr>
        <w:tc>
          <w:tcPr>
            <w:tcW w:type="dxa" w:w="6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23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c>
          <w:tcPr>
            <w:tcW w:type="dxa" w:w="123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falsch</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Die Haftung für den Unfall mit dem Motorfahrzeug ist ein Beispiel für eine Gefährdungshaftung, bei der es nicht auf die Widerrechtlichkeit der Handlung oder ein Verschulden des Halters ankommt.</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Eine Gefährdungshaftung setzt voraus, dass der Geschädigte dem Halter ein konkretes Verschulden nachweist.</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Die Haftung des Baustofflieferanten gegenüber der Stutz AG für die mangelhaften Betonelemente stützt sich auf vertragliche Haftung, namentlich auf die Sachgewährleistung des Verkäufers nach Art. 197 OR.</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Bei vertraglicher Haftung haftet der Verkäufer nach Art. 197 Abs. 2 OR auch dann, wenn er die Mängel der gelieferten Sache nicht kannte.</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6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e) Voraussetzungen der vertraglichen Haftung sind insbesondere Schaden, Vertragsverletzung sowie Kausalzusammenhang, wobei das Verschulden in der Regel vermutet wird.</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c>
          <w:tcPr>
            <w:tcW w:type="dxa" w:w="123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2"/>
        <w:spacing w:after="120" w:before="300"/>
      </w:pPr>
      <w:r>
        <w:t xml:space="preserve">Aufgabe 8: Produktehaftpflicht (PrHG) </w:t>
      </w:r>
      <w:r>
        <w:rPr>
          <w:b w:val="false"/>
          <w:bCs w:val="false"/>
          <w:i/>
          <w:iCs/>
          <w:sz w:val="22"/>
          <w:szCs w:val="22"/>
        </w:rPr>
        <w:t xml:space="preserve">(8 Punkte)</w:t>
      </w:r>
    </w:p>
    <w:p>
      <w:pPr>
        <w:spacing w:after="100" w:before="0"/>
      </w:pPr>
      <w:r>
        <w:rPr>
          <w:i/>
          <w:iCs/>
          <w:color w:val="555555"/>
          <w:sz w:val="20"/>
          <w:szCs w:val="20"/>
        </w:rPr>
        <w:t xml:space="preserve">Modul: Produktehaftpflicht (PrHG)</w:t>
      </w:r>
    </w:p>
    <w:p>
      <w:pPr>
        <w:spacing w:after="120"/>
      </w:pPr>
      <w:r>
        <w:t xml:space="preserve">Die Herstellerin Indutec AG produziert handgeführte Elektrowerkzeuge für den Heimwerkerbedarf. Ein Kunde verletzt sich, weil das Werkzeug beim bestimmungsgemässen Gebrauch unerwartet einen elektrischen Schlag verursacht – ein Konstruktionsfehler, der bei keinem vergleichbaren Modell anderer Hersteller auftritt. Zwei Jahre nach dem Vorfall bringt die Indutec AG ein verbessertes Nachfolgemodell auf den Markt, das diesen Fehler nicht mehr aufweist.</w:t>
      </w:r>
    </w:p>
    <w:p>
      <w:pPr>
        <w:spacing w:after="150"/>
      </w:pPr>
      <w:r>
        <w:rPr>
          <w:i/>
          <w:iCs/>
        </w:rPr>
        <w:t xml:space="preserve">Sind die nachstehenden Behauptungen richtig (eine oder mehrere Antworten sind richtig)?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00"/>
        <w:gridCol w:w="1460"/>
      </w:tblGrid>
      <w:tr>
        <w:trPr>
          <w:tblHeader/>
        </w:trPr>
        <w:tc>
          <w:tcPr>
            <w:tcW w:type="dxa" w:w="790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r>
              <w:rPr>
                <w:b/>
                <w:bCs/>
                <w:color w:val="FFFFFF"/>
              </w:rPr>
              <w:t xml:space="preserve">Behauptung</w:t>
            </w:r>
          </w:p>
        </w:tc>
        <w:tc>
          <w:tcPr>
            <w:tcW w:type="dxa" w:w="1460"/>
            <w:tcBorders>
              <w:top w:val="single" w:color="999999" w:sz="4"/>
              <w:left w:val="single" w:color="999999" w:sz="4"/>
              <w:bottom w:val="single" w:color="999999" w:sz="4"/>
              <w:right w:val="single" w:color="999999" w:sz="4"/>
            </w:tcBorders>
            <w:shd w:fill="2E2E5C" w:val="clear"/>
            <w:tcMar>
              <w:top w:type="dxa" w:w="80"/>
              <w:left w:type="dxa" w:w="120"/>
              <w:bottom w:type="dxa" w:w="80"/>
              <w:right w:type="dxa" w:w="120"/>
            </w:tcMar>
            <w:vAlign w:val="center"/>
          </w:tcPr>
          <w:p>
            <w:pPr>
              <w:jc w:val="center"/>
            </w:pPr>
            <w:r>
              <w:rPr>
                <w:b/>
                <w:bCs/>
                <w:color w:val="FFFFFF"/>
              </w:rPr>
              <w:t xml:space="preserve">richtig</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a) Ein Produkt ist nach Art. 4 PrHG fehlerhaft, wenn es nicht die Sicherheit bietet, die man unter Berücksichtigung aller Umstände zu erwarten berechtigt ist.</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b) Bei der Beurteilung der Fehlerhaftigkeit sind insbesondere die Art und Weise der Präsentation des Produkts, der vernünftigerweise zu erwartende Gebrauch sowie der Zeitpunkt des Inverkehrbringens zu berücksichtigen.</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tcPr>
          <w:p>
            <w:r>
              <w:t xml:space="preserve">c) Allein der Umstand, dass die Indutec AG später ein verbessertes Nachfolgemodell auf den Markt bringt, macht das ursprüngliche Produkt automatisch fehlerhaft im Sinne von Art. 4 Abs. 2 PrHG.</w:t>
            </w:r>
          </w:p>
        </w:tc>
        <w:tc>
          <w:tcPr>
            <w:tcW w:type="dxa" w:w="1460"/>
            <w:tcBorders>
              <w:top w:val="single" w:color="999999" w:sz="4"/>
              <w:left w:val="single" w:color="999999" w:sz="4"/>
              <w:bottom w:val="single" w:color="999999" w:sz="4"/>
              <w:right w:val="single" w:color="999999" w:sz="4"/>
            </w:tcBorders>
            <w:shd w:fill="FFFFFF" w:val="clear"/>
            <w:tcMar>
              <w:top w:type="dxa" w:w="100"/>
              <w:left w:type="dxa" w:w="120"/>
              <w:bottom w:type="dxa" w:w="100"/>
              <w:right w:type="dxa" w:w="120"/>
            </w:tcMar>
            <w:vAlign w:val="center"/>
          </w:tcPr>
          <w:p>
            <w:pPr>
              <w:jc w:val="center"/>
            </w:pPr>
            <w:r>
              <w:rPr>
                <w:sz w:val="28"/>
                <w:szCs w:val="28"/>
              </w:rPr>
              <w:t xml:space="preserve">☐</w:t>
            </w:r>
          </w:p>
        </w:tc>
      </w:tr>
      <w:tr>
        <w:tc>
          <w:tcPr>
            <w:tcW w:type="dxa" w:w="790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tcPr>
          <w:p>
            <w:r>
              <w:t xml:space="preserve">d) Eine vertragliche Klausel, mit der die Indutec AG ihre Haftung nach PrHG gegenüber Geschädigten generell ausschliesst, wäre nach Art. 8 PrHG nichtig.</w:t>
            </w:r>
          </w:p>
        </w:tc>
        <w:tc>
          <w:tcPr>
            <w:tcW w:type="dxa" w:w="1460"/>
            <w:tcBorders>
              <w:top w:val="single" w:color="999999" w:sz="4"/>
              <w:left w:val="single" w:color="999999" w:sz="4"/>
              <w:bottom w:val="single" w:color="999999" w:sz="4"/>
              <w:right w:val="single" w:color="999999" w:sz="4"/>
            </w:tcBorders>
            <w:shd w:fill="EFEFF7" w:val="clear"/>
            <w:tcMar>
              <w:top w:type="dxa" w:w="100"/>
              <w:left w:type="dxa" w:w="120"/>
              <w:bottom w:type="dxa" w:w="100"/>
              <w:right w:type="dxa" w:w="120"/>
            </w:tcMar>
            <w:vAlign w:val="center"/>
          </w:tcPr>
          <w:p>
            <w:pPr>
              <w:jc w:val="center"/>
            </w:pPr>
            <w:r>
              <w:rPr>
                <w:sz w:val="28"/>
                <w:szCs w:val="28"/>
              </w:rPr>
              <w:t xml:space="preserve">☐</w:t>
            </w:r>
          </w:p>
        </w:tc>
      </w:tr>
    </w:tbl>
    <w:p>
      <w:r>
        <w:br w:type="page"/>
      </w:r>
    </w:p>
    <w:p>
      <w:pPr>
        <w:pStyle w:val="Heading1"/>
      </w:pPr>
      <w:r>
        <w:t xml:space="preserve">Lösungen mit Begründung</w:t>
      </w:r>
    </w:p>
    <w:p>
      <w:pPr>
        <w:spacing w:after="150"/>
      </w:pPr>
    </w:p>
    <w:p>
      <w:pPr>
        <w:pStyle w:val="Heading2"/>
      </w:pPr>
      <w:r>
        <w:t xml:space="preserve">Aufgabe 1 — ZGB Einleitungsartikel</w:t>
      </w:r>
    </w:p>
    <w:p>
      <w:pPr>
        <w:spacing w:after="140"/>
      </w:pPr>
      <w:r>
        <w:rPr>
          <w:b/>
          <w:bCs/>
        </w:rPr>
        <w:t xml:space="preserve">a) </w:t>
      </w:r>
      <w:r>
        <w:rPr>
          <w:b/>
          <w:bCs/>
          <w:color w:val="1B7A3D"/>
        </w:rPr>
        <w:t xml:space="preserve">Richtig — </w:t>
      </w:r>
      <w:r>
        <w:t xml:space="preserve">Frei beharrt zwar formell auf einem ihr (mangels anderweitiger Regelung) grundsätzlich zustehenden Anspruch auf Endreinigung, jedoch ausschliesslich aus Schikane/Rachemotiv, ohne dass ihr die Reinigung angesichts des bevorstehenden Abrisses irgendeinen Nutzen bringt. Ein derart krass stossendes Verhalten (Schadenfreude, Schikane, Rache) erfüllt den qualifizierten Tatbestand des Rechtsmissbrauchs nach Art. 2 Abs. 2 ZGB.</w:t>
      </w:r>
    </w:p>
    <w:p>
      <w:pPr>
        <w:spacing w:after="140"/>
      </w:pPr>
      <w:r>
        <w:rPr>
          <w:b/>
          <w:bCs/>
        </w:rPr>
        <w:t xml:space="preserve">b) </w:t>
      </w:r>
      <w:r>
        <w:rPr>
          <w:b/>
          <w:bCs/>
          <w:color w:val="A33A3A"/>
        </w:rPr>
        <w:t xml:space="preserve">Falsch — </w:t>
      </w:r>
      <w:r>
        <w:t xml:space="preserve">Ein blosses formelles Beharren auf einem Recht reicht für sich allein nicht aus. Rechtsmissbrauch verlangt ein krass stossendes Verhalten; das Motiv und die Umstände des Einzelfalls sind massgebend, nicht die formelle Rechtsausübung allein.</w:t>
      </w:r>
    </w:p>
    <w:p>
      <w:pPr>
        <w:spacing w:after="140"/>
      </w:pPr>
      <w:r>
        <w:rPr>
          <w:b/>
          <w:bCs/>
        </w:rPr>
        <w:t xml:space="preserve">c) </w:t>
      </w:r>
      <w:r>
        <w:rPr>
          <w:b/>
          <w:bCs/>
          <w:color w:val="A33A3A"/>
        </w:rPr>
        <w:t xml:space="preserve">Falsch — </w:t>
      </w:r>
      <w:r>
        <w:t xml:space="preserve">Art. 3 Abs. 2 ZGB schliesst die Berufung auf den guten Glauben aus, wenn die Person bei der nach den Umständen gebotenen Aufmerksamkeit nicht gutgläubig sein konnte. Da Brun den Diebstahl bei zumutbarer Sorgfalt (Prüfung der Seriennummer) hätte erkennen können, ist er nicht (mehr) schutzwürdig gutgläubig — fehlende positive Kenntnis allein genügt nicht für den Gutglaubensschutz.</w:t>
      </w:r>
    </w:p>
    <w:p>
      <w:pPr>
        <w:spacing w:after="140"/>
      </w:pPr>
      <w:r>
        <w:rPr>
          <w:b/>
          <w:bCs/>
        </w:rPr>
        <w:t xml:space="preserve">d) </w:t>
      </w:r>
      <w:r>
        <w:rPr>
          <w:b/>
          <w:bCs/>
          <w:color w:val="1B7A3D"/>
        </w:rPr>
        <w:t xml:space="preserve">Richtig — </w:t>
      </w:r>
      <w:r>
        <w:t xml:space="preserve">Das entspricht exakt dem Wortlaut von Art. 3 Abs. 2 ZGB: Wer bei der nach den Umständen gebotenen Aufmerksamkeit nicht gutgläubig sein konnte, ist nicht berechtigt, sich auf den guten Glauben zu berufen.</w:t>
      </w:r>
    </w:p>
    <w:p>
      <w:pPr>
        <w:spacing w:after="140"/>
      </w:pPr>
      <w:r>
        <w:rPr>
          <w:b/>
          <w:bCs/>
        </w:rPr>
        <w:t xml:space="preserve">e) </w:t>
      </w:r>
      <w:r>
        <w:rPr>
          <w:b/>
          <w:bCs/>
          <w:color w:val="A33A3A"/>
        </w:rPr>
        <w:t xml:space="preserve">Falsch — </w:t>
      </w:r>
      <w:r>
        <w:t xml:space="preserve">Das Gegenteil gilt: Der gute Glaube wird gesetzlich vermutet (Umkehr der Beweislast). Wer die Bösgläubigkeit behauptet, muss diese beweisen — nicht umgekehrt.</w:t>
      </w:r>
    </w:p>
    <w:p>
      <w:pPr>
        <w:spacing w:after="200"/>
      </w:pPr>
    </w:p>
    <w:p>
      <w:pPr>
        <w:pStyle w:val="Heading2"/>
      </w:pPr>
      <w:r>
        <w:t xml:space="preserve">Aufgabe 2 — OR Allgemeiner Teil</w:t>
      </w:r>
    </w:p>
    <w:p>
      <w:pPr>
        <w:spacing w:after="140"/>
      </w:pPr>
      <w:r>
        <w:rPr>
          <w:b/>
          <w:bCs/>
        </w:rPr>
        <w:t xml:space="preserve">a) </w:t>
      </w:r>
      <w:r>
        <w:rPr>
          <w:b/>
          <w:bCs/>
          <w:color w:val="1B7A3D"/>
        </w:rPr>
        <w:t xml:space="preserve">Richtig — </w:t>
      </w:r>
      <w:r>
        <w:t xml:space="preserve">Online-Angebote bzw. automatisierte Berechnungstools gelten grundsätzlich als unverbindliche Einladung zur Antragsstellung (Art. 7 Abs. 2 OR), es sei denn es liege eine Ausnahme vor (z.B. Auktion, Programmdownload). Das Bereitstellen des Formulars allein bindet das Ingenieurbüro noch nicht.</w:t>
      </w:r>
    </w:p>
    <w:p>
      <w:pPr>
        <w:spacing w:after="140"/>
      </w:pPr>
      <w:r>
        <w:rPr>
          <w:b/>
          <w:bCs/>
        </w:rPr>
        <w:t xml:space="preserve">b) </w:t>
      </w:r>
      <w:r>
        <w:rPr>
          <w:b/>
          <w:bCs/>
          <w:color w:val="1B7A3D"/>
        </w:rPr>
        <w:t xml:space="preserve">Richtig — </w:t>
      </w:r>
      <w:r>
        <w:t xml:space="preserve">Da das Bereitstellen der Kostenschätzung keinen bindenden Antrag darstellt, ist es Wyss, der mit seiner Erklärung „Einverstanden, bitte beginnen Sie“ den Antrag zum Vertragsabschluss stellt; das Ingenieurbüro müsste diesen noch annehmen.</w:t>
      </w:r>
    </w:p>
    <w:p>
      <w:pPr>
        <w:spacing w:after="140"/>
      </w:pPr>
      <w:r>
        <w:rPr>
          <w:b/>
          <w:bCs/>
        </w:rPr>
        <w:t xml:space="preserve">c) </w:t>
      </w:r>
      <w:r>
        <w:rPr>
          <w:b/>
          <w:bCs/>
          <w:color w:val="1B7A3D"/>
        </w:rPr>
        <w:t xml:space="preserve">Richtig — </w:t>
      </w:r>
      <w:r>
        <w:t xml:space="preserve">Da es sich um einen Vertrag unter Abwesenden handelt (Art. 5 OR), muss die Annahme dem Antragenden innerhalb angemessener Frist zugehen. Bleibt die Reaktion aus, kommt ohne ausdrückliche (oder hinreichend eindeutige stillschweigende) Annahme kein Vertrag zustande – Wyss’ Bestellung von Material erfolgte somit auf eigenes Risiko.</w:t>
      </w:r>
    </w:p>
    <w:p>
      <w:pPr>
        <w:spacing w:after="140"/>
      </w:pPr>
      <w:r>
        <w:rPr>
          <w:b/>
          <w:bCs/>
        </w:rPr>
        <w:t xml:space="preserve">d) </w:t>
      </w:r>
      <w:r>
        <w:rPr>
          <w:b/>
          <w:bCs/>
          <w:color w:val="1B7A3D"/>
        </w:rPr>
        <w:t xml:space="preserve">Richtig — </w:t>
      </w:r>
      <w:r>
        <w:t xml:space="preserve">Eine wissentlich falsche Erklärung über eine wesentliche Eigenschaft der Kaufsache, die den Vertragspartner zum Vertragsabschluss bewegen soll, erfüllt den Tatbestand der absichtlichen Täuschung nach Art. 28 OR und berechtigt den Getäuschten zur Anfechtung des Vertrags binnen der gesetzlichen Frist.</w:t>
      </w:r>
    </w:p>
    <w:p>
      <w:pPr>
        <w:spacing w:after="200"/>
      </w:pPr>
    </w:p>
    <w:p>
      <w:pPr>
        <w:pStyle w:val="Heading2"/>
      </w:pPr>
      <w:r>
        <w:t xml:space="preserve">Aufgabe 3 — Arbeitsrecht</w:t>
      </w:r>
    </w:p>
    <w:p>
      <w:pPr>
        <w:spacing w:after="140"/>
      </w:pPr>
      <w:r>
        <w:rPr>
          <w:b/>
          <w:bCs/>
        </w:rPr>
        <w:t xml:space="preserve">a) </w:t>
      </w:r>
      <w:r>
        <w:rPr>
          <w:b/>
          <w:bCs/>
          <w:color w:val="1B7A3D"/>
        </w:rPr>
        <w:t xml:space="preserve">Richtig — </w:t>
      </w:r>
      <w:r>
        <w:t xml:space="preserve">Art. 328 OR verpflichtet den Arbeitgeber explizit, die Persönlichkeit, Gesundheit und Sittlichkeit der Arbeitnehmenden zu schützen und sexuelle Belästigungen zu verhindern. Bleibt die Personalabteilung trotz Meldung untätig, verletzt sie diese Schutzpflicht.</w:t>
      </w:r>
    </w:p>
    <w:p>
      <w:pPr>
        <w:spacing w:after="140"/>
      </w:pPr>
      <w:r>
        <w:rPr>
          <w:b/>
          <w:bCs/>
        </w:rPr>
        <w:t xml:space="preserve">b) </w:t>
      </w:r>
      <w:r>
        <w:rPr>
          <w:b/>
          <w:bCs/>
          <w:color w:val="1B7A3D"/>
        </w:rPr>
        <w:t xml:space="preserve">Richtig — </w:t>
      </w:r>
      <w:r>
        <w:t xml:space="preserve">Wer eine Belästigung meldet, darf dadurch keine Nachteile erfahren — dies ergibt sich aus dem Schutzgedanken von Art. 328 OR, der gerade verhindern soll, dass Betroffene durch eine Meldung benachteiligt werden.</w:t>
      </w:r>
    </w:p>
    <w:p>
      <w:pPr>
        <w:spacing w:after="140"/>
      </w:pPr>
      <w:r>
        <w:rPr>
          <w:b/>
          <w:bCs/>
        </w:rPr>
        <w:t xml:space="preserve">c) </w:t>
      </w:r>
      <w:r>
        <w:rPr>
          <w:b/>
          <w:bCs/>
          <w:color w:val="A33A3A"/>
        </w:rPr>
        <w:t xml:space="preserve">Falsch — </w:t>
      </w:r>
      <w:r>
        <w:t xml:space="preserve">Zweideutige Formulierungen wie „stets bemüht“ sind nach den materiellen Anforderungen an ein Arbeitszeugnis unzulässig, da sie verschleiernd wirken und dem Gebot der Wahrheitspflicht sowie der Klarheit widersprechen.</w:t>
      </w:r>
    </w:p>
    <w:p>
      <w:pPr>
        <w:spacing w:after="140"/>
      </w:pPr>
      <w:r>
        <w:rPr>
          <w:b/>
          <w:bCs/>
        </w:rPr>
        <w:t xml:space="preserve">d) </w:t>
      </w:r>
      <w:r>
        <w:rPr>
          <w:b/>
          <w:bCs/>
          <w:color w:val="1B7A3D"/>
        </w:rPr>
        <w:t xml:space="preserve">Richtig — </w:t>
      </w:r>
      <w:r>
        <w:t xml:space="preserve">Ein Arbeitszeugnis muss wahrheitsgetreu und vollständig sein (inkl. wesentlicher Funktionen, Dauer, Leistungsbeurteilung), darf sich aber inhaltlich auf das Arbeitsverhältnis selbst beschränken.</w:t>
      </w:r>
    </w:p>
    <w:p>
      <w:pPr>
        <w:spacing w:after="200"/>
      </w:pPr>
    </w:p>
    <w:p>
      <w:pPr>
        <w:pStyle w:val="Heading2"/>
      </w:pPr>
      <w:r>
        <w:t xml:space="preserve">Aufgabe 4 — Kündigung und Kündigungsschutz</w:t>
      </w:r>
    </w:p>
    <w:p>
      <w:pPr>
        <w:spacing w:after="140"/>
      </w:pPr>
      <w:r>
        <w:rPr>
          <w:b/>
          <w:bCs/>
        </w:rPr>
        <w:t xml:space="preserve">a) </w:t>
      </w:r>
      <w:r>
        <w:rPr>
          <w:b/>
          <w:bCs/>
          <w:color w:val="1B7A3D"/>
        </w:rPr>
        <w:t xml:space="preserve">Richtig — </w:t>
      </w:r>
      <w:r>
        <w:t xml:space="preserve">Eine Kündigung kurz vor Erreichen des Pensionsanspruchs ohne zureichende Gründe ist ein in der bundesgerichtlichen Praxis ausdrücklich anerkanntes Beispiel einer missbräuchlichen Kündigung nach Art. 336 OR (vgl. BGE 132 III 115).</w:t>
      </w:r>
    </w:p>
    <w:p>
      <w:pPr>
        <w:spacing w:after="140"/>
      </w:pPr>
      <w:r>
        <w:rPr>
          <w:b/>
          <w:bCs/>
        </w:rPr>
        <w:t xml:space="preserve">b) </w:t>
      </w:r>
      <w:r>
        <w:rPr>
          <w:b/>
          <w:bCs/>
          <w:color w:val="A33A3A"/>
        </w:rPr>
        <w:t xml:space="preserve">Falsch — </w:t>
      </w:r>
      <w:r>
        <w:t xml:space="preserve">Eine missbräuchliche Kündigung bleibt trotzdem rechtswirksam — das Arbeitsverhältnis endet wie gekündigt. Die Rechtsfolge ist nicht die Unwirksamkeit, sondern ein Anspruch auf Entschädigung (Ausnahme: besonderer Kündigungsschutz nach Art. 10 GlG).</w:t>
      </w:r>
    </w:p>
    <w:p>
      <w:pPr>
        <w:spacing w:after="140"/>
      </w:pPr>
      <w:r>
        <w:rPr>
          <w:b/>
          <w:bCs/>
        </w:rPr>
        <w:t xml:space="preserve">c) </w:t>
      </w:r>
      <w:r>
        <w:rPr>
          <w:b/>
          <w:bCs/>
          <w:color w:val="1B7A3D"/>
        </w:rPr>
        <w:t xml:space="preserve">Richtig — </w:t>
      </w:r>
      <w:r>
        <w:t xml:space="preserve">Die Entschädigung bei missbräuchlicher Kündigung beträgt maximal sechs Monatslöhne; die genaue Höhe liegt im Ermessen des Gerichts und richtet sich nach der Schwere des Falls (in der Praxis eher selten am oberen Ende).</w:t>
      </w:r>
    </w:p>
    <w:p>
      <w:pPr>
        <w:spacing w:after="140"/>
      </w:pPr>
      <w:r>
        <w:rPr>
          <w:b/>
          <w:bCs/>
        </w:rPr>
        <w:t xml:space="preserve">d) </w:t>
      </w:r>
      <w:r>
        <w:rPr>
          <w:b/>
          <w:bCs/>
          <w:color w:val="1B7A3D"/>
        </w:rPr>
        <w:t xml:space="preserve">Richtig — </w:t>
      </w:r>
      <w:r>
        <w:t xml:space="preserve">Im ersten Dienstjahr gilt eine Sperrfrist von 30 Tagen bei Krankheit (Art. 336c Abs. 1 lit. b OR). Eine während dieser Sperrfrist ausgesprochene Kündigung ist nach Art. 336c Abs. 2 OR nichtig.</w:t>
      </w:r>
    </w:p>
    <w:p>
      <w:pPr>
        <w:spacing w:after="140"/>
      </w:pPr>
      <w:r>
        <w:rPr>
          <w:b/>
          <w:bCs/>
        </w:rPr>
        <w:t xml:space="preserve">e) </w:t>
      </w:r>
      <w:r>
        <w:rPr>
          <w:b/>
          <w:bCs/>
          <w:color w:val="A33A3A"/>
        </w:rPr>
        <w:t xml:space="preserve">Falsch — </w:t>
      </w:r>
      <w:r>
        <w:t xml:space="preserve">Der zeitliche Kündigungsschutz (Kündigung zur Unzeit, Art. 336c OR) gilt gerade erst nach Ablauf der Probezeit. Während der Probezeit besteht dieser Schutz nicht; dort kann grundsätzlich jederzeit gekündigt werden (nur der sachliche Schutz vor missbräuchlicher Kündigung nach Art. 336 OR gilt auch während der Probezeit).</w:t>
      </w:r>
    </w:p>
    <w:p>
      <w:pPr>
        <w:spacing w:after="200"/>
      </w:pPr>
    </w:p>
    <w:p>
      <w:pPr>
        <w:pStyle w:val="Heading2"/>
      </w:pPr>
      <w:r>
        <w:t xml:space="preserve">Aufgabe 5 — Werkvertrag und Auftrag</w:t>
      </w:r>
    </w:p>
    <w:p>
      <w:pPr>
        <w:spacing w:after="140"/>
      </w:pPr>
      <w:r>
        <w:rPr>
          <w:b/>
          <w:bCs/>
        </w:rPr>
        <w:t xml:space="preserve">a) </w:t>
      </w:r>
      <w:r>
        <w:rPr>
          <w:b/>
          <w:bCs/>
          <w:color w:val="1B7A3D"/>
        </w:rPr>
        <w:t xml:space="preserve">Richtig — </w:t>
      </w:r>
      <w:r>
        <w:t xml:space="preserve">Im Zentrum steht das Werk (die installierte, funktionsfähige Anlage) als geschuldeter Erfolg — klassisches Abgrenzungsmerkmal des Werkvertrags gegenüber dem Auftrag.</w:t>
      </w:r>
    </w:p>
    <w:p>
      <w:pPr>
        <w:spacing w:after="140"/>
      </w:pPr>
      <w:r>
        <w:rPr>
          <w:b/>
          <w:bCs/>
        </w:rPr>
        <w:t xml:space="preserve">b) </w:t>
      </w:r>
      <w:r>
        <w:rPr>
          <w:b/>
          <w:bCs/>
          <w:color w:val="1B7A3D"/>
        </w:rPr>
        <w:t xml:space="preserve">Richtig — </w:t>
      </w:r>
      <w:r>
        <w:t xml:space="preserve">Der Unternehmer haftet nach Art. 368 OR verschuldensunabhängig für Werkmängel, sofern der Besteller seine Prüf- und Rügeobliegenheit erfüllt hat (Art. 367 OR) und die Ansprüche nicht verjährt sind (zwei bzw. fünf Jahre, Art. 371 OR).</w:t>
      </w:r>
    </w:p>
    <w:p>
      <w:pPr>
        <w:spacing w:after="140"/>
      </w:pPr>
      <w:r>
        <w:rPr>
          <w:b/>
          <w:bCs/>
        </w:rPr>
        <w:t xml:space="preserve">c) </w:t>
      </w:r>
      <w:r>
        <w:rPr>
          <w:b/>
          <w:bCs/>
          <w:color w:val="1B7A3D"/>
        </w:rPr>
        <w:t xml:space="preserve">Richtig — </w:t>
      </w:r>
      <w:r>
        <w:t xml:space="preserve">Bei erheblichen, die Zumutbarkeit ausschliessenden Mängeln stehen dem Besteller nach Art. 368 OR Wandelung, Minderung oder (verhältnismässige) Nachbesserung zur Wahl, kumulativ ergänzt durch Schadenersatz bei vermutetem Verschulden.</w:t>
      </w:r>
    </w:p>
    <w:p>
      <w:pPr>
        <w:spacing w:after="140"/>
      </w:pPr>
      <w:r>
        <w:rPr>
          <w:b/>
          <w:bCs/>
        </w:rPr>
        <w:t xml:space="preserve">d) </w:t>
      </w:r>
      <w:r>
        <w:rPr>
          <w:b/>
          <w:bCs/>
          <w:color w:val="1B7A3D"/>
        </w:rPr>
        <w:t xml:space="preserve">Richtig — </w:t>
      </w:r>
      <w:r>
        <w:t xml:space="preserve">Beim Auftrag (Art. 394 ff. OR) steht das sorgfältige Tätigwerden im Vordergrund; ein bestimmter Erfolg wird nicht geschuldet, sondern nur sorgfältiges, fachgerechtes Bemühen.</w:t>
      </w:r>
    </w:p>
    <w:p>
      <w:pPr>
        <w:spacing w:after="140"/>
      </w:pPr>
      <w:r>
        <w:rPr>
          <w:b/>
          <w:bCs/>
        </w:rPr>
        <w:t xml:space="preserve">e) </w:t>
      </w:r>
      <w:r>
        <w:rPr>
          <w:b/>
          <w:bCs/>
          <w:color w:val="A33A3A"/>
        </w:rPr>
        <w:t xml:space="preserve">Falsch — </w:t>
      </w:r>
      <w:r>
        <w:t xml:space="preserve">Beim Auftrag haftet der Beauftragte nur für sorgfältiges, treues Handeln (Art. 398 OR) — nicht für den Erfolg. Erweist sich eine sorgfältig erarbeitete Empfehlung nachträglich als wirtschaftlich ungünstig, begründet dies allein keine Haftung, solange kein Sorgfaltspflichtverstoss vorliegt.</w:t>
      </w:r>
    </w:p>
    <w:p>
      <w:pPr>
        <w:spacing w:after="140"/>
      </w:pPr>
      <w:r>
        <w:rPr>
          <w:b/>
          <w:bCs/>
        </w:rPr>
        <w:t xml:space="preserve">f) </w:t>
      </w:r>
      <w:r>
        <w:rPr>
          <w:b/>
          <w:bCs/>
          <w:color w:val="1B7A3D"/>
        </w:rPr>
        <w:t xml:space="preserve">Richtig — </w:t>
      </w:r>
      <w:r>
        <w:t xml:space="preserve">Sowohl der Werkvertrag als auch der Auftrag sind grundsätzlich formfrei gültig, sofern keine besondere gesetzliche Formvorschrift (z.B. bei besonderer Ermächtigung nach Art. 396 Abs. 3 OR) eingreift.</w:t>
      </w:r>
    </w:p>
    <w:p>
      <w:pPr>
        <w:spacing w:after="200"/>
      </w:pPr>
    </w:p>
    <w:p>
      <w:pPr>
        <w:pStyle w:val="Heading2"/>
      </w:pPr>
      <w:r>
        <w:t xml:space="preserve">Aufgabe 6 — IT-Verträge</w:t>
      </w:r>
    </w:p>
    <w:p>
      <w:pPr>
        <w:spacing w:after="140"/>
      </w:pPr>
      <w:r>
        <w:rPr>
          <w:b/>
          <w:bCs/>
        </w:rPr>
        <w:t xml:space="preserve">a) </w:t>
      </w:r>
      <w:r>
        <w:rPr>
          <w:b/>
          <w:bCs/>
          <w:color w:val="1B7A3D"/>
        </w:rPr>
        <w:t xml:space="preserve">Richtig — </w:t>
      </w:r>
      <w:r>
        <w:t xml:space="preserve">Ein SLA dient genau diesem Zweck: der detaillierten, messbaren Beschreibung von Art, Quantität und Qualität der vereinbarten Dienstleistungen (z.B. Reaktionszeiten).</w:t>
      </w:r>
    </w:p>
    <w:p>
      <w:pPr>
        <w:spacing w:after="140"/>
      </w:pPr>
      <w:r>
        <w:rPr>
          <w:b/>
          <w:bCs/>
        </w:rPr>
        <w:t xml:space="preserve">b) </w:t>
      </w:r>
      <w:r>
        <w:rPr>
          <w:b/>
          <w:bCs/>
          <w:color w:val="1B7A3D"/>
        </w:rPr>
        <w:t xml:space="preserve">Richtig — </w:t>
      </w:r>
      <w:r>
        <w:t xml:space="preserve">Während technische/operative Details auf SLA-Stufe geregelt werden können, müssen zentrale strategische und kommerzielle Punkte im Outsourcing-Vertrag selbst stehen — sonst droht eine Aushöhlung des Vertrags durch spätere SLA-Änderungen.</w:t>
      </w:r>
    </w:p>
    <w:p>
      <w:pPr>
        <w:spacing w:after="140"/>
      </w:pPr>
      <w:r>
        <w:rPr>
          <w:b/>
          <w:bCs/>
        </w:rPr>
        <w:t xml:space="preserve">c) </w:t>
      </w:r>
      <w:r>
        <w:rPr>
          <w:b/>
          <w:bCs/>
          <w:color w:val="A33A3A"/>
        </w:rPr>
        <w:t xml:space="preserve">Falsch — </w:t>
      </w:r>
      <w:r>
        <w:t xml:space="preserve">Kostengründe allein rechtfertigen keine Datenübermittlung ins Ausland. Massgebend ist, ob ein angemessener Datenschutz im Zielland gewährleistet ist bzw. durch andere Massnahmen sichergestellt wird (Art. 16 DSG).</w:t>
      </w:r>
    </w:p>
    <w:p>
      <w:pPr>
        <w:spacing w:after="140"/>
      </w:pPr>
      <w:r>
        <w:rPr>
          <w:b/>
          <w:bCs/>
        </w:rPr>
        <w:t xml:space="preserve">d) </w:t>
      </w:r>
      <w:r>
        <w:rPr>
          <w:b/>
          <w:bCs/>
          <w:color w:val="1B7A3D"/>
        </w:rPr>
        <w:t xml:space="preserve">Richtig — </w:t>
      </w:r>
      <w:r>
        <w:t xml:space="preserve">Fehlt eine als angemessen anerkannte Gesetzgebung im Zielland, kann der angemessene Schutz durch andere Massnahmen sichergestellt werden: völkerrechtlicher Vertrag, vertragliche Datenschutzklauseln, vom EDÖB genehmigte Standardklauseln oder unternehmensinterne Datenschutzvorschriften (Art. 16 DSG).</w:t>
      </w:r>
    </w:p>
    <w:p>
      <w:pPr>
        <w:spacing w:after="140"/>
      </w:pPr>
      <w:r>
        <w:rPr>
          <w:b/>
          <w:bCs/>
        </w:rPr>
        <w:t xml:space="preserve">e) </w:t>
      </w:r>
      <w:r>
        <w:rPr>
          <w:b/>
          <w:bCs/>
          <w:color w:val="1B7A3D"/>
        </w:rPr>
        <w:t xml:space="preserve">Richtig — </w:t>
      </w:r>
      <w:r>
        <w:t xml:space="preserve">Typische Regelungspunkte eines IT-Outsourcing-Vertrags umfassen unter anderem Datenschutz/Informationssicherheit, Geheimhaltung sowie Gewährleistung und Haftung.</w:t>
      </w:r>
    </w:p>
    <w:p>
      <w:pPr>
        <w:spacing w:after="200"/>
      </w:pPr>
    </w:p>
    <w:p>
      <w:pPr>
        <w:pStyle w:val="Heading2"/>
      </w:pPr>
      <w:r>
        <w:t xml:space="preserve">Aufgabe 7 — Haftpflichtrecht</w:t>
      </w:r>
    </w:p>
    <w:p>
      <w:pPr>
        <w:spacing w:after="140"/>
      </w:pPr>
      <w:r>
        <w:rPr>
          <w:b/>
          <w:bCs/>
        </w:rPr>
        <w:t xml:space="preserve">a) </w:t>
      </w:r>
      <w:r>
        <w:rPr>
          <w:b/>
          <w:bCs/>
          <w:color w:val="1B7A3D"/>
        </w:rPr>
        <w:t xml:space="preserve">Richtig — </w:t>
      </w:r>
      <w:r>
        <w:t xml:space="preserve">Der Betrieb eines Motorfahrzeugs ist ein klassisches Beispiel der Gefährdungshaftung: Sie wird allein durch den Betrieb der gefährlichen Vorrichtung begründet, unabhängig von Widerrechtlichkeit oder Verschulden des Halters.</w:t>
      </w:r>
    </w:p>
    <w:p>
      <w:pPr>
        <w:spacing w:after="140"/>
      </w:pPr>
      <w:r>
        <w:rPr>
          <w:b/>
          <w:bCs/>
        </w:rPr>
        <w:t xml:space="preserve">b) </w:t>
      </w:r>
      <w:r>
        <w:rPr>
          <w:b/>
          <w:bCs/>
          <w:color w:val="A33A3A"/>
        </w:rPr>
        <w:t xml:space="preserve">Falsch — </w:t>
      </w:r>
      <w:r>
        <w:t xml:space="preserve">Genau das Gegenteil ist das Wesensmerkmal der Gefährdungshaftung: Sie verzichtet gerade auf den Verschuldensnachweis — die qualifizierte Gefährdung durch den Betrieb selbst begründet die Haftung.</w:t>
      </w:r>
    </w:p>
    <w:p>
      <w:pPr>
        <w:spacing w:after="140"/>
      </w:pPr>
      <w:r>
        <w:rPr>
          <w:b/>
          <w:bCs/>
        </w:rPr>
        <w:t xml:space="preserve">c) </w:t>
      </w:r>
      <w:r>
        <w:rPr>
          <w:b/>
          <w:bCs/>
          <w:color w:val="1B7A3D"/>
        </w:rPr>
        <w:t xml:space="preserve">Richtig — </w:t>
      </w:r>
      <w:r>
        <w:t xml:space="preserve">Die Sachgewährleistung nach Art. 197 OR ist eine Form der vertraglichen Haftung: Der Verkäufer haftet dem Käufer für zugesicherte Eigenschaften und dafür, dass die Sache keine wertmindernden Mängel aufweist.</w:t>
      </w:r>
    </w:p>
    <w:p>
      <w:pPr>
        <w:spacing w:after="140"/>
      </w:pPr>
      <w:r>
        <w:rPr>
          <w:b/>
          <w:bCs/>
        </w:rPr>
        <w:t xml:space="preserve">d) </w:t>
      </w:r>
      <w:r>
        <w:rPr>
          <w:b/>
          <w:bCs/>
          <w:color w:val="1B7A3D"/>
        </w:rPr>
        <w:t xml:space="preserve">Richtig — </w:t>
      </w:r>
      <w:r>
        <w:t xml:space="preserve">Nach Art. 197 Abs. 2 OR haftet der Verkäufer auch dann, wenn er die Mängel nicht kannte — die Sachgewährleistung ist verschuldensunabhängig ausgestaltet.</w:t>
      </w:r>
    </w:p>
    <w:p>
      <w:pPr>
        <w:spacing w:after="140"/>
      </w:pPr>
      <w:r>
        <w:rPr>
          <w:b/>
          <w:bCs/>
        </w:rPr>
        <w:t xml:space="preserve">e) </w:t>
      </w:r>
      <w:r>
        <w:rPr>
          <w:b/>
          <w:bCs/>
          <w:color w:val="1B7A3D"/>
        </w:rPr>
        <w:t xml:space="preserve">Richtig — </w:t>
      </w:r>
      <w:r>
        <w:t xml:space="preserve">Voraussetzungen der vertraglichen Haftung sind Schaden, Vertragsverletzung und Kausalzusammenhang; das Verschulden wird vermutet (Beweislastumkehr zulasten des Schuldners), muss also vom Geschädigten nicht positiv bewiesen werden.</w:t>
      </w:r>
    </w:p>
    <w:p>
      <w:pPr>
        <w:spacing w:after="200"/>
      </w:pPr>
    </w:p>
    <w:p>
      <w:pPr>
        <w:pStyle w:val="Heading2"/>
      </w:pPr>
      <w:r>
        <w:t xml:space="preserve">Aufgabe 8 — Produktehaftpflicht (PrHG)</w:t>
      </w:r>
    </w:p>
    <w:p>
      <w:pPr>
        <w:spacing w:after="140"/>
      </w:pPr>
      <w:r>
        <w:rPr>
          <w:b/>
          <w:bCs/>
        </w:rPr>
        <w:t xml:space="preserve">a) </w:t>
      </w:r>
      <w:r>
        <w:rPr>
          <w:b/>
          <w:bCs/>
          <w:color w:val="1B7A3D"/>
        </w:rPr>
        <w:t xml:space="preserve">Richtig — </w:t>
      </w:r>
      <w:r>
        <w:t xml:space="preserve">Dies entspricht der gesetzlichen Definition der Fehlerhaftigkeit in Art. 4 Abs. 1 PrHG.</w:t>
      </w:r>
    </w:p>
    <w:p>
      <w:pPr>
        <w:spacing w:after="140"/>
      </w:pPr>
      <w:r>
        <w:rPr>
          <w:b/>
          <w:bCs/>
        </w:rPr>
        <w:t xml:space="preserve">b) </w:t>
      </w:r>
      <w:r>
        <w:rPr>
          <w:b/>
          <w:bCs/>
          <w:color w:val="1B7A3D"/>
        </w:rPr>
        <w:t xml:space="preserve">Richtig — </w:t>
      </w:r>
      <w:r>
        <w:t xml:space="preserve">Art. 4 Abs. 1 lit. a–c PrHG nennt explizit diese drei Kriterien: Präsentation, vernünftigerweise erwartbarer Gebrauch und Zeitpunkt des Inverkehrbringens.</w:t>
      </w:r>
    </w:p>
    <w:p>
      <w:pPr>
        <w:spacing w:after="140"/>
      </w:pPr>
      <w:r>
        <w:rPr>
          <w:b/>
          <w:bCs/>
        </w:rPr>
        <w:t xml:space="preserve">c) </w:t>
      </w:r>
      <w:r>
        <w:rPr>
          <w:b/>
          <w:bCs/>
          <w:color w:val="A33A3A"/>
        </w:rPr>
        <w:t xml:space="preserve">Falsch — </w:t>
      </w:r>
      <w:r>
        <w:t xml:space="preserve">Art. 4 Abs. 2 PrHG stellt ausdrücklich klar, dass ein Produkt nicht allein deshalb fehlerhaft ist, weil später ein verbessertes Produkt in Verkehr gebracht wurde.</w:t>
      </w:r>
    </w:p>
    <w:p>
      <w:pPr>
        <w:spacing w:after="140"/>
      </w:pPr>
      <w:r>
        <w:rPr>
          <w:b/>
          <w:bCs/>
        </w:rPr>
        <w:t xml:space="preserve">d) </w:t>
      </w:r>
      <w:r>
        <w:rPr>
          <w:b/>
          <w:bCs/>
          <w:color w:val="1B7A3D"/>
        </w:rPr>
        <w:t xml:space="preserve">Richtig — </w:t>
      </w:r>
      <w:r>
        <w:t xml:space="preserve">Nach Art. 8 PrHG sind Vereinbarungen, die die Haftung nach diesem Gesetz gegenüber dem Geschädigten beschränken oder wegbedingen, nichtig.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Probeprüfung — erstellt zur Vorbereitung, kein offizielles Prüfungsdokument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8"/>
        <w:szCs w:val="18"/>
      </w:rPr>
      <w:t xml:space="preserve">Probeprüfung — Recht für Ingenieure</w:t>
    </w:r>
    <w:r>
      <w:rPr>
        <w:color w:val="888888"/>
        <w:sz w:val="18"/>
        <w:szCs w:val="18"/>
      </w:rPr>
      <w:t xml:space="preserve">	Björn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2E2E5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2E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2026-06-24T19:37:39.182Z</dcterms:created>
  <dcterms:modified xsi:type="dcterms:W3CDTF">2026-06-24T19:37:39.183Z</dcterms:modified>
</cp:coreProperties>
</file>

<file path=docProps/custom.xml><?xml version="1.0" encoding="utf-8"?>
<Properties xmlns="http://schemas.openxmlformats.org/officeDocument/2006/custom-properties" xmlns:vt="http://schemas.openxmlformats.org/officeDocument/2006/docPropsVTypes"/>
</file>