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7C98" w14:textId="4E431FBD" w:rsidR="00836C6C" w:rsidRPr="002507A0" w:rsidRDefault="00836C6C" w:rsidP="002507A0">
      <w:pPr>
        <w:shd w:val="clear" w:color="auto" w:fill="FFFFFF"/>
        <w:spacing w:before="180" w:after="0" w:line="276" w:lineRule="auto"/>
        <w:jc w:val="both"/>
        <w:outlineLvl w:val="0"/>
        <w:rPr>
          <w:rFonts w:asciiTheme="minorBidi" w:eastAsia="Times New Roman" w:hAnsiTheme="minorBidi"/>
          <w:color w:val="000000" w:themeColor="text1"/>
          <w:kern w:val="36"/>
          <w:sz w:val="22"/>
          <w:szCs w:val="22"/>
          <w:u w:val="single"/>
          <w14:ligatures w14:val="none"/>
        </w:rPr>
      </w:pPr>
      <w:r w:rsidRPr="00836C6C">
        <w:rPr>
          <w:rFonts w:asciiTheme="minorBidi" w:eastAsia="Times New Roman" w:hAnsiTheme="minorBidi"/>
          <w:color w:val="000000" w:themeColor="text1"/>
          <w:kern w:val="36"/>
          <w:sz w:val="22"/>
          <w:szCs w:val="22"/>
          <w:u w:val="single"/>
          <w14:ligatures w14:val="none"/>
        </w:rPr>
        <w:t>Reflective Activit</w:t>
      </w:r>
      <w:r w:rsidR="005617A9" w:rsidRPr="002507A0">
        <w:rPr>
          <w:rFonts w:asciiTheme="minorBidi" w:eastAsia="Times New Roman" w:hAnsiTheme="minorBidi"/>
          <w:color w:val="000000" w:themeColor="text1"/>
          <w:kern w:val="36"/>
          <w:sz w:val="22"/>
          <w:szCs w:val="22"/>
          <w:u w:val="single"/>
          <w14:ligatures w14:val="none"/>
        </w:rPr>
        <w:t xml:space="preserve">y 2 </w:t>
      </w:r>
    </w:p>
    <w:p w14:paraId="258707C6" w14:textId="77777777" w:rsidR="00836C6C" w:rsidRPr="002507A0" w:rsidRDefault="00836C6C" w:rsidP="002507A0">
      <w:pPr>
        <w:spacing w:line="276" w:lineRule="auto"/>
        <w:jc w:val="both"/>
        <w:rPr>
          <w:rFonts w:asciiTheme="minorBidi" w:eastAsia="Times New Roman" w:hAnsiTheme="minorBidi"/>
          <w:color w:val="000000" w:themeColor="text1"/>
          <w:kern w:val="36"/>
          <w:sz w:val="22"/>
          <w:szCs w:val="22"/>
          <w:u w:val="single"/>
          <w14:ligatures w14:val="none"/>
        </w:rPr>
      </w:pPr>
    </w:p>
    <w:p w14:paraId="26EC655F" w14:textId="33F64920" w:rsidR="00836C6C" w:rsidRPr="002507A0" w:rsidRDefault="00836C6C" w:rsidP="002507A0">
      <w:pPr>
        <w:spacing w:line="276" w:lineRule="auto"/>
        <w:jc w:val="both"/>
        <w:rPr>
          <w:rFonts w:asciiTheme="minorBidi" w:hAnsiTheme="minorBidi"/>
        </w:rPr>
      </w:pPr>
      <w:r w:rsidRPr="002507A0">
        <w:rPr>
          <w:rFonts w:asciiTheme="minorBidi" w:hAnsiTheme="minorBidi"/>
        </w:rPr>
        <w:t>Inappropriate Use of Surveys</w:t>
      </w:r>
      <w:r w:rsidR="002507A0" w:rsidRPr="002507A0">
        <w:rPr>
          <w:rFonts w:asciiTheme="minorBidi" w:hAnsiTheme="minorBidi"/>
        </w:rPr>
        <w:t xml:space="preserve">, </w:t>
      </w:r>
      <w:r w:rsidRPr="002507A0">
        <w:rPr>
          <w:rFonts w:asciiTheme="minorBidi" w:hAnsiTheme="minorBidi"/>
        </w:rPr>
        <w:t>Cambridge Analytica (2018)</w:t>
      </w:r>
    </w:p>
    <w:p w14:paraId="39B22E47" w14:textId="77777777" w:rsidR="00836C6C" w:rsidRPr="00836C6C" w:rsidRDefault="00836C6C" w:rsidP="002507A0">
      <w:pPr>
        <w:spacing w:before="100" w:beforeAutospacing="1" w:after="100" w:afterAutospacing="1" w:line="276" w:lineRule="auto"/>
        <w:jc w:val="both"/>
        <w:outlineLvl w:val="1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836C6C">
        <w:rPr>
          <w:rFonts w:asciiTheme="minorBidi" w:eastAsia="Times New Roman" w:hAnsiTheme="minorBidi"/>
          <w:b/>
          <w:bCs/>
          <w:kern w:val="0"/>
          <w14:ligatures w14:val="none"/>
        </w:rPr>
        <w:t>1. Overview</w:t>
      </w:r>
    </w:p>
    <w:p w14:paraId="03A61CC8" w14:textId="77777777" w:rsidR="00836C6C" w:rsidRPr="00836C6C" w:rsidRDefault="00836C6C" w:rsidP="002507A0">
      <w:p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The Cambridge Analytica scandal (Confessore, New York Times, 2018) represents one of the clearest examples of surveys being used for purposes far beyond the participants’ understanding.</w:t>
      </w:r>
      <w:r w:rsidRPr="00836C6C">
        <w:rPr>
          <w:rFonts w:asciiTheme="minorBidi" w:eastAsia="Times New Roman" w:hAnsiTheme="minorBidi"/>
          <w:kern w:val="0"/>
          <w14:ligatures w14:val="none"/>
        </w:rPr>
        <w:br/>
        <w:t>What appeared to be an innocent Facebook personality quiz became a large-scale data-harvesting operation that influenced political campaigns across the United States and the United Kingdom.</w:t>
      </w:r>
    </w:p>
    <w:p w14:paraId="356B886B" w14:textId="2212EC1D" w:rsidR="00836C6C" w:rsidRPr="00836C6C" w:rsidRDefault="00836C6C" w:rsidP="002507A0">
      <w:pPr>
        <w:spacing w:after="0" w:line="276" w:lineRule="auto"/>
        <w:jc w:val="both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836C6C">
        <w:rPr>
          <w:rFonts w:asciiTheme="minorBidi" w:eastAsia="Times New Roman" w:hAnsiTheme="minorBidi"/>
          <w:b/>
          <w:bCs/>
          <w:kern w:val="0"/>
          <w14:ligatures w14:val="none"/>
        </w:rPr>
        <w:t>2. What actually happened</w:t>
      </w:r>
    </w:p>
    <w:p w14:paraId="795D3FEB" w14:textId="62258418" w:rsidR="00836C6C" w:rsidRPr="00836C6C" w:rsidRDefault="00836C6C" w:rsidP="002507A0">
      <w:p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A Cambridge academic, Dr. Aleksandr Kogan, created a Facebook app called This Is Your Digital Life.</w:t>
      </w:r>
      <w:r w:rsidRPr="002507A0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836C6C">
        <w:rPr>
          <w:rFonts w:asciiTheme="minorBidi" w:eastAsia="Times New Roman" w:hAnsiTheme="minorBidi"/>
          <w:kern w:val="0"/>
          <w14:ligatures w14:val="none"/>
        </w:rPr>
        <w:t>Around 270,000 users were paid to complete a psychological survey linked to their Facebook accounts.</w:t>
      </w:r>
      <w:r w:rsidRPr="002507A0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836C6C">
        <w:rPr>
          <w:rFonts w:asciiTheme="minorBidi" w:eastAsia="Times New Roman" w:hAnsiTheme="minorBidi"/>
          <w:kern w:val="0"/>
          <w14:ligatures w14:val="none"/>
        </w:rPr>
        <w:t>Because of Facebook’s API design at that time, the app also accessed information about each participant’s friends</w:t>
      </w:r>
      <w:r w:rsidR="002507A0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836C6C">
        <w:rPr>
          <w:rFonts w:asciiTheme="minorBidi" w:eastAsia="Times New Roman" w:hAnsiTheme="minorBidi"/>
          <w:kern w:val="0"/>
          <w14:ligatures w14:val="none"/>
        </w:rPr>
        <w:t>names, Likes, locations, and other personal details</w:t>
      </w:r>
      <w:r w:rsidR="002507A0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836C6C">
        <w:rPr>
          <w:rFonts w:asciiTheme="minorBidi" w:eastAsia="Times New Roman" w:hAnsiTheme="minorBidi"/>
          <w:kern w:val="0"/>
          <w14:ligatures w14:val="none"/>
        </w:rPr>
        <w:t>resulting in data from up to 87 million people being collected without consent.</w:t>
      </w:r>
    </w:p>
    <w:p w14:paraId="096A0C6A" w14:textId="56DE50CC" w:rsidR="00836C6C" w:rsidRPr="00836C6C" w:rsidRDefault="00836C6C" w:rsidP="002507A0">
      <w:p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The data were sold to Cambridge Analytica, a political consulting firm that used it to build psychographic profiles.</w:t>
      </w:r>
      <w:r w:rsidRPr="002507A0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836C6C">
        <w:rPr>
          <w:rFonts w:asciiTheme="minorBidi" w:eastAsia="Times New Roman" w:hAnsiTheme="minorBidi"/>
          <w:kern w:val="0"/>
          <w14:ligatures w14:val="none"/>
        </w:rPr>
        <w:t>These profiles were used to micro-target voters with highly tailored political advertisements during events such as the 2016 US Presidential Election and the UK Brexit referendum.</w:t>
      </w:r>
      <w:r w:rsidR="002507A0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836C6C">
        <w:rPr>
          <w:rFonts w:asciiTheme="minorBidi" w:eastAsia="Times New Roman" w:hAnsiTheme="minorBidi"/>
          <w:kern w:val="0"/>
          <w14:ligatures w14:val="none"/>
        </w:rPr>
        <w:t>Thus, a seemingly harmless academic survey was repurposed for large-scale political influence and commercial gain.</w:t>
      </w:r>
    </w:p>
    <w:p w14:paraId="5872C3F5" w14:textId="455A4A0C" w:rsidR="00836C6C" w:rsidRPr="00836C6C" w:rsidRDefault="00836C6C" w:rsidP="002507A0">
      <w:pPr>
        <w:spacing w:after="0" w:line="276" w:lineRule="auto"/>
        <w:jc w:val="both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836C6C">
        <w:rPr>
          <w:rFonts w:asciiTheme="minorBidi" w:eastAsia="Times New Roman" w:hAnsiTheme="minorBidi"/>
          <w:b/>
          <w:bCs/>
          <w:kern w:val="0"/>
          <w14:ligatures w14:val="none"/>
        </w:rPr>
        <w:t>3. Why it was used</w:t>
      </w:r>
    </w:p>
    <w:p w14:paraId="45D46226" w14:textId="7F6E1355" w:rsidR="00836C6C" w:rsidRDefault="00836C6C" w:rsidP="002507A0">
      <w:p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 xml:space="preserve">Surveys provide structured, interpretable features </w:t>
      </w:r>
      <w:r w:rsidR="002507A0">
        <w:rPr>
          <w:rFonts w:asciiTheme="minorBidi" w:eastAsia="Times New Roman" w:hAnsiTheme="minorBidi"/>
          <w:kern w:val="0"/>
          <w14:ligatures w14:val="none"/>
        </w:rPr>
        <w:t xml:space="preserve">(examples: </w:t>
      </w:r>
      <w:r w:rsidRPr="00836C6C">
        <w:rPr>
          <w:rFonts w:asciiTheme="minorBidi" w:eastAsia="Times New Roman" w:hAnsiTheme="minorBidi"/>
          <w:kern w:val="0"/>
          <w14:ligatures w14:val="none"/>
        </w:rPr>
        <w:t>personality traits, attitudes) that can feed predictive models.</w:t>
      </w:r>
      <w:r w:rsidRPr="002507A0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836C6C">
        <w:rPr>
          <w:rFonts w:asciiTheme="minorBidi" w:eastAsia="Times New Roman" w:hAnsiTheme="minorBidi"/>
          <w:kern w:val="0"/>
          <w14:ligatures w14:val="none"/>
        </w:rPr>
        <w:t>By linking survey results to Facebook “Likes” and other metadata, Cambridge Analytica could infer users’ openness, extroversion, or political leaning.</w:t>
      </w:r>
      <w:r w:rsidRPr="00836C6C">
        <w:rPr>
          <w:rFonts w:asciiTheme="minorBidi" w:eastAsia="Times New Roman" w:hAnsiTheme="minorBidi"/>
          <w:kern w:val="0"/>
          <w14:ligatures w14:val="none"/>
        </w:rPr>
        <w:br/>
        <w:t>Such data are highly valuable for behavioural advertising, enabling campaigns to deliver messages designed to exploit emotional triggers.</w:t>
      </w:r>
      <w:r w:rsidRPr="002507A0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836C6C">
        <w:rPr>
          <w:rFonts w:asciiTheme="minorBidi" w:eastAsia="Times New Roman" w:hAnsiTheme="minorBidi"/>
          <w:kern w:val="0"/>
          <w14:ligatures w14:val="none"/>
        </w:rPr>
        <w:t>The motivation was therefore both monetary and political</w:t>
      </w:r>
      <w:r w:rsidRPr="002507A0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836C6C">
        <w:rPr>
          <w:rFonts w:asciiTheme="minorBidi" w:eastAsia="Times New Roman" w:hAnsiTheme="minorBidi"/>
          <w:kern w:val="0"/>
          <w14:ligatures w14:val="none"/>
        </w:rPr>
        <w:t>demonstrating how research tools can be weaponised when ethical safeguards are weak.</w:t>
      </w:r>
    </w:p>
    <w:p w14:paraId="0881641C" w14:textId="77777777" w:rsidR="002507A0" w:rsidRPr="00836C6C" w:rsidRDefault="002507A0" w:rsidP="002507A0">
      <w:p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6F851DC6" w14:textId="6D070FEA" w:rsidR="00836C6C" w:rsidRDefault="00836C6C" w:rsidP="002507A0">
      <w:pPr>
        <w:spacing w:after="0" w:line="276" w:lineRule="auto"/>
        <w:jc w:val="both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836C6C">
        <w:rPr>
          <w:rFonts w:asciiTheme="minorBidi" w:eastAsia="Times New Roman" w:hAnsiTheme="minorBidi"/>
          <w:b/>
          <w:bCs/>
          <w:kern w:val="0"/>
          <w14:ligatures w14:val="none"/>
        </w:rPr>
        <w:lastRenderedPageBreak/>
        <w:t>4. Ethical and social implications</w:t>
      </w:r>
    </w:p>
    <w:p w14:paraId="5368B49D" w14:textId="77777777" w:rsidR="002507A0" w:rsidRPr="00836C6C" w:rsidRDefault="002507A0" w:rsidP="002507A0">
      <w:pPr>
        <w:spacing w:after="0" w:line="276" w:lineRule="auto"/>
        <w:jc w:val="both"/>
        <w:rPr>
          <w:rFonts w:asciiTheme="minorBidi" w:eastAsia="Times New Roman" w:hAnsiTheme="minorBidi"/>
          <w:b/>
          <w:bCs/>
          <w:kern w:val="0"/>
          <w14:ligatures w14:val="none"/>
        </w:rPr>
      </w:pPr>
    </w:p>
    <w:tbl>
      <w:tblPr>
        <w:tblStyle w:val="GridTable1Light-Accent1"/>
        <w:tblW w:w="10060" w:type="dxa"/>
        <w:tblLook w:val="04A0" w:firstRow="1" w:lastRow="0" w:firstColumn="1" w:lastColumn="0" w:noHBand="0" w:noVBand="1"/>
      </w:tblPr>
      <w:tblGrid>
        <w:gridCol w:w="1470"/>
        <w:gridCol w:w="2256"/>
        <w:gridCol w:w="6334"/>
      </w:tblGrid>
      <w:tr w:rsidR="00836C6C" w:rsidRPr="00836C6C" w14:paraId="0C925AB3" w14:textId="77777777" w:rsidTr="0025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4337B" w14:textId="77777777" w:rsidR="00836C6C" w:rsidRPr="00836C6C" w:rsidRDefault="00836C6C" w:rsidP="002507A0">
            <w:pPr>
              <w:spacing w:line="276" w:lineRule="auto"/>
              <w:jc w:val="both"/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  <w:t>Perspective</w:t>
            </w:r>
          </w:p>
        </w:tc>
        <w:tc>
          <w:tcPr>
            <w:tcW w:w="0" w:type="auto"/>
            <w:hideMark/>
          </w:tcPr>
          <w:p w14:paraId="47C7EDF1" w14:textId="77777777" w:rsidR="00836C6C" w:rsidRPr="00836C6C" w:rsidRDefault="00836C6C" w:rsidP="002507A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  <w:t>Key Issues</w:t>
            </w:r>
          </w:p>
        </w:tc>
        <w:tc>
          <w:tcPr>
            <w:tcW w:w="6334" w:type="dxa"/>
            <w:hideMark/>
          </w:tcPr>
          <w:p w14:paraId="5C0024D8" w14:textId="77777777" w:rsidR="00836C6C" w:rsidRPr="00836C6C" w:rsidRDefault="00836C6C" w:rsidP="002507A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  <w:t>Discussion</w:t>
            </w:r>
          </w:p>
        </w:tc>
      </w:tr>
      <w:tr w:rsidR="002507A0" w:rsidRPr="00836C6C" w14:paraId="5279EB0A" w14:textId="77777777" w:rsidTr="0025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5AE2B8A" w14:textId="77777777" w:rsidR="002507A0" w:rsidRPr="00836C6C" w:rsidRDefault="002507A0" w:rsidP="002507A0">
            <w:pPr>
              <w:spacing w:line="276" w:lineRule="auto"/>
              <w:jc w:val="both"/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  <w:t>Ethical</w:t>
            </w:r>
          </w:p>
        </w:tc>
        <w:tc>
          <w:tcPr>
            <w:tcW w:w="0" w:type="auto"/>
            <w:hideMark/>
          </w:tcPr>
          <w:p w14:paraId="65C934E8" w14:textId="77777777" w:rsidR="002507A0" w:rsidRPr="00836C6C" w:rsidRDefault="002507A0" w:rsidP="002507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kern w:val="0"/>
                <w14:ligatures w14:val="none"/>
              </w:rPr>
              <w:t>Informed consent violated</w:t>
            </w:r>
          </w:p>
        </w:tc>
        <w:tc>
          <w:tcPr>
            <w:tcW w:w="6334" w:type="dxa"/>
            <w:hideMark/>
          </w:tcPr>
          <w:p w14:paraId="72FF9812" w14:textId="77777777" w:rsidR="002507A0" w:rsidRPr="00836C6C" w:rsidRDefault="002507A0" w:rsidP="002507A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kern w:val="0"/>
                <w14:ligatures w14:val="none"/>
              </w:rPr>
              <w:t>Only direct participants consented; their friends did not. Consent was deceptive, as users were told the data were for “academic research.”</w:t>
            </w:r>
          </w:p>
        </w:tc>
      </w:tr>
      <w:tr w:rsidR="002507A0" w:rsidRPr="00836C6C" w14:paraId="27DF137F" w14:textId="77777777" w:rsidTr="0025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A3ACC41" w14:textId="77777777" w:rsidR="002507A0" w:rsidRPr="00836C6C" w:rsidRDefault="002507A0" w:rsidP="002507A0">
            <w:pPr>
              <w:spacing w:line="276" w:lineRule="auto"/>
              <w:jc w:val="both"/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BAA97D" w14:textId="77777777" w:rsidR="002507A0" w:rsidRPr="00836C6C" w:rsidRDefault="002507A0" w:rsidP="002507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kern w:val="0"/>
                <w14:ligatures w14:val="none"/>
              </w:rPr>
              <w:t>Purpose limitation ignored</w:t>
            </w:r>
          </w:p>
        </w:tc>
        <w:tc>
          <w:tcPr>
            <w:tcW w:w="6334" w:type="dxa"/>
            <w:hideMark/>
          </w:tcPr>
          <w:p w14:paraId="1004EC04" w14:textId="77777777" w:rsidR="002507A0" w:rsidRPr="00836C6C" w:rsidRDefault="002507A0" w:rsidP="002507A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kern w:val="0"/>
                <w14:ligatures w14:val="none"/>
              </w:rPr>
              <w:t>Data collected for research were sold for political marketing—classic function creep.</w:t>
            </w:r>
          </w:p>
        </w:tc>
      </w:tr>
      <w:tr w:rsidR="002507A0" w:rsidRPr="00836C6C" w14:paraId="7558FA07" w14:textId="77777777" w:rsidTr="0025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3FBB1E6" w14:textId="77777777" w:rsidR="002507A0" w:rsidRPr="00836C6C" w:rsidRDefault="002507A0" w:rsidP="002507A0">
            <w:pPr>
              <w:spacing w:line="276" w:lineRule="auto"/>
              <w:jc w:val="both"/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E49853" w14:textId="77777777" w:rsidR="002507A0" w:rsidRPr="00836C6C" w:rsidRDefault="002507A0" w:rsidP="002507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kern w:val="0"/>
                <w14:ligatures w14:val="none"/>
              </w:rPr>
              <w:t>Respect for autonomy undermined</w:t>
            </w:r>
          </w:p>
        </w:tc>
        <w:tc>
          <w:tcPr>
            <w:tcW w:w="6334" w:type="dxa"/>
            <w:hideMark/>
          </w:tcPr>
          <w:p w14:paraId="31B484D7" w14:textId="77777777" w:rsidR="002507A0" w:rsidRPr="00836C6C" w:rsidRDefault="002507A0" w:rsidP="002507A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kern w:val="0"/>
                <w14:ligatures w14:val="none"/>
              </w:rPr>
              <w:t>People were profiled and targeted without knowledge or control.</w:t>
            </w:r>
          </w:p>
        </w:tc>
      </w:tr>
      <w:tr w:rsidR="002507A0" w:rsidRPr="00836C6C" w14:paraId="770A0D5B" w14:textId="77777777" w:rsidTr="0025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17CDB25" w14:textId="77777777" w:rsidR="002507A0" w:rsidRPr="00836C6C" w:rsidRDefault="002507A0" w:rsidP="002507A0">
            <w:pPr>
              <w:spacing w:line="276" w:lineRule="auto"/>
              <w:jc w:val="both"/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  <w:t>Social</w:t>
            </w:r>
          </w:p>
        </w:tc>
        <w:tc>
          <w:tcPr>
            <w:tcW w:w="0" w:type="auto"/>
            <w:hideMark/>
          </w:tcPr>
          <w:p w14:paraId="5DF01D57" w14:textId="77777777" w:rsidR="002507A0" w:rsidRPr="00836C6C" w:rsidRDefault="002507A0" w:rsidP="002507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kern w:val="0"/>
                <w14:ligatures w14:val="none"/>
              </w:rPr>
              <w:t>Manipulation and mistrust</w:t>
            </w:r>
          </w:p>
        </w:tc>
        <w:tc>
          <w:tcPr>
            <w:tcW w:w="6334" w:type="dxa"/>
            <w:hideMark/>
          </w:tcPr>
          <w:p w14:paraId="5FA27908" w14:textId="77777777" w:rsidR="002507A0" w:rsidRPr="00836C6C" w:rsidRDefault="002507A0" w:rsidP="002507A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kern w:val="0"/>
                <w14:ligatures w14:val="none"/>
              </w:rPr>
              <w:t>Psychographic targeting reinforced polarisation and eroded public trust in social media and research surveys.</w:t>
            </w:r>
          </w:p>
        </w:tc>
      </w:tr>
      <w:tr w:rsidR="002507A0" w:rsidRPr="00836C6C" w14:paraId="473C64B7" w14:textId="77777777" w:rsidTr="0025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AF5A03" w14:textId="77777777" w:rsidR="002507A0" w:rsidRPr="00836C6C" w:rsidRDefault="002507A0" w:rsidP="002507A0">
            <w:pPr>
              <w:spacing w:line="276" w:lineRule="auto"/>
              <w:jc w:val="both"/>
              <w:rPr>
                <w:rFonts w:asciiTheme="minorBidi" w:eastAsia="Times New Roman" w:hAnsiTheme="minorBidi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D1D0BF7" w14:textId="77777777" w:rsidR="002507A0" w:rsidRPr="00836C6C" w:rsidRDefault="002507A0" w:rsidP="002507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kern w:val="0"/>
                <w14:ligatures w14:val="none"/>
              </w:rPr>
              <w:t>Erosion of privacy norms</w:t>
            </w:r>
          </w:p>
        </w:tc>
        <w:tc>
          <w:tcPr>
            <w:tcW w:w="6334" w:type="dxa"/>
            <w:hideMark/>
          </w:tcPr>
          <w:p w14:paraId="5E60EBA1" w14:textId="77777777" w:rsidR="002507A0" w:rsidRPr="00836C6C" w:rsidRDefault="002507A0" w:rsidP="002507A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14:ligatures w14:val="none"/>
              </w:rPr>
            </w:pPr>
            <w:r w:rsidRPr="00836C6C">
              <w:rPr>
                <w:rFonts w:asciiTheme="minorBidi" w:eastAsia="Times New Roman" w:hAnsiTheme="minorBidi"/>
                <w:kern w:val="0"/>
                <w14:ligatures w14:val="none"/>
              </w:rPr>
              <w:t>Users realised that ordinary online quizzes could expose sensitive psychological information.</w:t>
            </w:r>
          </w:p>
        </w:tc>
      </w:tr>
    </w:tbl>
    <w:p w14:paraId="6ADAB209" w14:textId="77777777" w:rsidR="00836C6C" w:rsidRPr="002507A0" w:rsidRDefault="00836C6C" w:rsidP="002507A0">
      <w:pPr>
        <w:spacing w:after="0" w:line="276" w:lineRule="auto"/>
        <w:jc w:val="both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</w:p>
    <w:p w14:paraId="15A49336" w14:textId="06E3C3C9" w:rsidR="00836C6C" w:rsidRPr="00836C6C" w:rsidRDefault="00836C6C" w:rsidP="002507A0">
      <w:pPr>
        <w:spacing w:after="0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5. </w:t>
      </w:r>
      <w:r w:rsidRPr="00836C6C">
        <w:rPr>
          <w:rFonts w:asciiTheme="minorBidi" w:eastAsia="Times New Roman" w:hAnsiTheme="minorBidi"/>
          <w:b/>
          <w:bCs/>
          <w:kern w:val="0"/>
          <w14:ligatures w14:val="none"/>
        </w:rPr>
        <w:t>Legal and regulatory impact</w:t>
      </w:r>
    </w:p>
    <w:p w14:paraId="65B03922" w14:textId="77777777" w:rsidR="00836C6C" w:rsidRPr="00836C6C" w:rsidRDefault="00836C6C" w:rsidP="002507A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Facebook was fined $5 billion (FTC, 2019) in the US for deceptive privacy practices.</w:t>
      </w:r>
    </w:p>
    <w:p w14:paraId="348CC83C" w14:textId="7E4468FD" w:rsidR="00836C6C" w:rsidRPr="00836C6C" w:rsidRDefault="00836C6C" w:rsidP="002507A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The UK Information Commissioner’s Office imposed a £500,000 fine</w:t>
      </w:r>
      <w:r w:rsidR="002507A0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836C6C">
        <w:rPr>
          <w:rFonts w:asciiTheme="minorBidi" w:eastAsia="Times New Roman" w:hAnsiTheme="minorBidi"/>
          <w:kern w:val="0"/>
          <w14:ligatures w14:val="none"/>
        </w:rPr>
        <w:t>the maximum under the pre-GDPR Data Protection Act 1998.</w:t>
      </w:r>
    </w:p>
    <w:p w14:paraId="77CD6D87" w14:textId="27C21A20" w:rsidR="00836C6C" w:rsidRPr="002507A0" w:rsidRDefault="00836C6C" w:rsidP="002507A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Under today’s GDPR (Article 5), such behaviour would breach principles of lawfulness, fairness, transparency, and purpose limitation.</w:t>
      </w:r>
      <w:r w:rsidRPr="00836C6C">
        <w:rPr>
          <w:rFonts w:asciiTheme="minorBidi" w:eastAsia="Times New Roman" w:hAnsiTheme="minorBidi"/>
          <w:kern w:val="0"/>
          <w14:ligatures w14:val="none"/>
        </w:rPr>
        <w:br/>
        <w:t>These enforcement actions marked a turning point in global data-protection awareness.</w:t>
      </w:r>
    </w:p>
    <w:p w14:paraId="0763F0FB" w14:textId="27440701" w:rsidR="00836C6C" w:rsidRPr="00836C6C" w:rsidRDefault="00836C6C" w:rsidP="002507A0">
      <w:pPr>
        <w:spacing w:after="0" w:line="276" w:lineRule="auto"/>
        <w:jc w:val="both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836C6C">
        <w:rPr>
          <w:rFonts w:asciiTheme="minorBidi" w:eastAsia="Times New Roman" w:hAnsiTheme="minorBidi"/>
          <w:b/>
          <w:bCs/>
          <w:kern w:val="0"/>
          <w14:ligatures w14:val="none"/>
        </w:rPr>
        <w:t>6. Professional responsibilities of data scientists</w:t>
      </w:r>
    </w:p>
    <w:p w14:paraId="2020866E" w14:textId="77777777" w:rsidR="00836C6C" w:rsidRPr="00836C6C" w:rsidRDefault="00836C6C" w:rsidP="002507A0">
      <w:p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According to the ACM Code of Ethics (2018) and the BCS Code of Conduct, professionals must:</w:t>
      </w:r>
    </w:p>
    <w:p w14:paraId="1AD1FB1C" w14:textId="77777777" w:rsidR="00836C6C" w:rsidRPr="00836C6C" w:rsidRDefault="00836C6C" w:rsidP="002507A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Respect privacy and obtain valid, informed consent.</w:t>
      </w:r>
    </w:p>
    <w:p w14:paraId="049B3026" w14:textId="77777777" w:rsidR="00836C6C" w:rsidRPr="00836C6C" w:rsidRDefault="00836C6C" w:rsidP="002507A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Avoid deception and secondary use of data without permission.</w:t>
      </w:r>
    </w:p>
    <w:p w14:paraId="5092E683" w14:textId="77777777" w:rsidR="00836C6C" w:rsidRPr="00836C6C" w:rsidRDefault="00836C6C" w:rsidP="002507A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Ensure transparency of purpose and processing.</w:t>
      </w:r>
    </w:p>
    <w:p w14:paraId="2EA21F16" w14:textId="77777777" w:rsidR="00836C6C" w:rsidRPr="00836C6C" w:rsidRDefault="00836C6C" w:rsidP="002507A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Prioritise the public good over organisational gain.</w:t>
      </w:r>
    </w:p>
    <w:p w14:paraId="4444C6E1" w14:textId="1C5955D5" w:rsidR="00836C6C" w:rsidRDefault="00836C6C" w:rsidP="002507A0">
      <w:p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The Cambridge Analytica case shows what happens when these duties are ignored</w:t>
      </w:r>
      <w:r w:rsidR="002507A0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836C6C">
        <w:rPr>
          <w:rFonts w:asciiTheme="minorBidi" w:eastAsia="Times New Roman" w:hAnsiTheme="minorBidi"/>
          <w:kern w:val="0"/>
          <w14:ligatures w14:val="none"/>
        </w:rPr>
        <w:t>trust collapses, reputations are destroyed, and entire platforms face regulatory scrutiny.</w:t>
      </w:r>
    </w:p>
    <w:p w14:paraId="3E36DE24" w14:textId="77777777" w:rsidR="002507A0" w:rsidRPr="002507A0" w:rsidRDefault="002507A0" w:rsidP="002507A0">
      <w:p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:lang w:val="en-US"/>
          <w14:ligatures w14:val="none"/>
        </w:rPr>
      </w:pPr>
    </w:p>
    <w:p w14:paraId="7D85E558" w14:textId="67410409" w:rsidR="00836C6C" w:rsidRPr="00836C6C" w:rsidRDefault="00836C6C" w:rsidP="002507A0">
      <w:pPr>
        <w:spacing w:after="0" w:line="276" w:lineRule="auto"/>
        <w:jc w:val="both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836C6C">
        <w:rPr>
          <w:rFonts w:asciiTheme="minorBidi" w:eastAsia="Times New Roman" w:hAnsiTheme="minorBidi"/>
          <w:b/>
          <w:bCs/>
          <w:kern w:val="0"/>
          <w14:ligatures w14:val="none"/>
        </w:rPr>
        <w:lastRenderedPageBreak/>
        <w:t>7. Lessons learned</w:t>
      </w:r>
    </w:p>
    <w:p w14:paraId="14BC6525" w14:textId="77777777" w:rsidR="00836C6C" w:rsidRPr="00836C6C" w:rsidRDefault="00836C6C" w:rsidP="002507A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Never disguise data-collection intent. State clearly how responses will be used and by whom.</w:t>
      </w:r>
    </w:p>
    <w:p w14:paraId="1A80FFCE" w14:textId="77777777" w:rsidR="00836C6C" w:rsidRPr="00836C6C" w:rsidRDefault="00836C6C" w:rsidP="002507A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Minimise data. Do not collect information about third parties (friends, contacts) without their explicit consent.</w:t>
      </w:r>
    </w:p>
    <w:p w14:paraId="61E240A0" w14:textId="77777777" w:rsidR="00836C6C" w:rsidRPr="00836C6C" w:rsidRDefault="00836C6C" w:rsidP="002507A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Separate research from marketing. Any repurposing requires renewed, specific consent.</w:t>
      </w:r>
    </w:p>
    <w:p w14:paraId="0781B504" w14:textId="0A60D725" w:rsidR="00836C6C" w:rsidRPr="002507A0" w:rsidRDefault="00836C6C" w:rsidP="002507A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Embed ethical review. Every survey-based project should undergo formal ethics assessment covering purpose, consent wording, retention, and security.</w:t>
      </w:r>
    </w:p>
    <w:p w14:paraId="1C3214C8" w14:textId="508B351F" w:rsidR="00836C6C" w:rsidRPr="00836C6C" w:rsidRDefault="00836C6C" w:rsidP="002507A0">
      <w:pPr>
        <w:spacing w:after="0" w:line="276" w:lineRule="auto"/>
        <w:jc w:val="both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836C6C">
        <w:rPr>
          <w:rFonts w:asciiTheme="minorBidi" w:eastAsia="Times New Roman" w:hAnsiTheme="minorBidi"/>
          <w:b/>
          <w:bCs/>
          <w:kern w:val="0"/>
          <w14:ligatures w14:val="none"/>
        </w:rPr>
        <w:t>8. Conclusion</w:t>
      </w:r>
    </w:p>
    <w:p w14:paraId="20D01751" w14:textId="5E5A9192" w:rsidR="00836C6C" w:rsidRPr="002507A0" w:rsidRDefault="00836C6C" w:rsidP="002507A0">
      <w:p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Cambridge Analytica transformed a simple survey into a political-profiling machine.</w:t>
      </w:r>
      <w:r w:rsidRPr="00836C6C">
        <w:rPr>
          <w:rFonts w:asciiTheme="minorBidi" w:eastAsia="Times New Roman" w:hAnsiTheme="minorBidi"/>
          <w:kern w:val="0"/>
          <w14:ligatures w14:val="none"/>
        </w:rPr>
        <w:br/>
        <w:t>From an ethical and professional standpoint, it demonstrates how weak consent, unclear purpose, and profit motives can turn legitimate research into manipulation.</w:t>
      </w:r>
      <w:r w:rsidRPr="002507A0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836C6C">
        <w:rPr>
          <w:rFonts w:asciiTheme="minorBidi" w:eastAsia="Times New Roman" w:hAnsiTheme="minorBidi"/>
          <w:kern w:val="0"/>
          <w14:ligatures w14:val="none"/>
        </w:rPr>
        <w:t>For data scientists, it is a reminder that responsible data handling is not optional</w:t>
      </w:r>
      <w:r w:rsidRPr="002507A0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836C6C">
        <w:rPr>
          <w:rFonts w:asciiTheme="minorBidi" w:eastAsia="Times New Roman" w:hAnsiTheme="minorBidi"/>
          <w:kern w:val="0"/>
          <w14:ligatures w14:val="none"/>
        </w:rPr>
        <w:t>it is foundational to trustworthy analytics and sustainable public confidence.</w:t>
      </w:r>
    </w:p>
    <w:p w14:paraId="12089462" w14:textId="7F19EE18" w:rsidR="00836C6C" w:rsidRPr="00836C6C" w:rsidRDefault="00836C6C" w:rsidP="002507A0">
      <w:pPr>
        <w:spacing w:after="0" w:line="276" w:lineRule="auto"/>
        <w:jc w:val="both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836C6C">
        <w:rPr>
          <w:rFonts w:asciiTheme="minorBidi" w:eastAsia="Times New Roman" w:hAnsiTheme="minorBidi"/>
          <w:b/>
          <w:bCs/>
          <w:kern w:val="0"/>
          <w14:ligatures w14:val="none"/>
        </w:rPr>
        <w:t>References</w:t>
      </w:r>
    </w:p>
    <w:p w14:paraId="7FE3BB19" w14:textId="21D5C18D" w:rsidR="002507A0" w:rsidRPr="002507A0" w:rsidRDefault="002507A0" w:rsidP="002507A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Association for Computing Machinery (2018). ACM Code of Ethics and Professional Conduct.</w:t>
      </w:r>
    </w:p>
    <w:p w14:paraId="2EEE9080" w14:textId="7332D35E" w:rsidR="002507A0" w:rsidRPr="002507A0" w:rsidRDefault="002507A0" w:rsidP="002507A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British Computer Society (BCS). Code of Conduct.</w:t>
      </w:r>
    </w:p>
    <w:p w14:paraId="6E313C5B" w14:textId="7C06E0E4" w:rsidR="00836C6C" w:rsidRDefault="00836C6C" w:rsidP="002507A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Confessore, N. (2018). Cambridge Analytica and Facebook: The scandal and the fallout. New York Times.</w:t>
      </w:r>
    </w:p>
    <w:p w14:paraId="03033309" w14:textId="2D3C5127" w:rsidR="002507A0" w:rsidRPr="00836C6C" w:rsidRDefault="002507A0" w:rsidP="002507A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European Union (2016). General Data Protection Regulation (GDPR), Article 5.</w:t>
      </w:r>
    </w:p>
    <w:p w14:paraId="71E55735" w14:textId="77777777" w:rsidR="00836C6C" w:rsidRPr="00836C6C" w:rsidRDefault="00836C6C" w:rsidP="002507A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Federal Trade Commission (2019). FTC Imposes $5 Billion Penalty and Sweeping Privacy Restrictions on Facebook.</w:t>
      </w:r>
    </w:p>
    <w:p w14:paraId="064F7887" w14:textId="77777777" w:rsidR="00836C6C" w:rsidRPr="00836C6C" w:rsidRDefault="00836C6C" w:rsidP="002507A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r w:rsidRPr="00836C6C">
        <w:rPr>
          <w:rFonts w:asciiTheme="minorBidi" w:eastAsia="Times New Roman" w:hAnsiTheme="minorBidi"/>
          <w:kern w:val="0"/>
          <w14:ligatures w14:val="none"/>
        </w:rPr>
        <w:t>UK Information Commissioner’s Office (2018). Facebook fined £500,000 for data breaches in Cambridge Analytica investigation.</w:t>
      </w:r>
    </w:p>
    <w:p w14:paraId="7B5FCBB5" w14:textId="647F204C" w:rsidR="00836C6C" w:rsidRPr="002507A0" w:rsidRDefault="00836C6C" w:rsidP="002507A0">
      <w:pPr>
        <w:spacing w:before="100" w:beforeAutospacing="1" w:after="100" w:afterAutospacing="1" w:line="276" w:lineRule="auto"/>
        <w:ind w:left="360"/>
        <w:jc w:val="both"/>
        <w:rPr>
          <w:rFonts w:asciiTheme="minorBidi" w:eastAsia="Times New Roman" w:hAnsiTheme="minorBidi"/>
          <w:kern w:val="0"/>
          <w14:ligatures w14:val="none"/>
        </w:rPr>
      </w:pPr>
    </w:p>
    <w:sectPr w:rsidR="00836C6C" w:rsidRPr="00250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33A17"/>
    <w:multiLevelType w:val="multilevel"/>
    <w:tmpl w:val="88BA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E1924"/>
    <w:multiLevelType w:val="multilevel"/>
    <w:tmpl w:val="5E00A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C4369"/>
    <w:multiLevelType w:val="multilevel"/>
    <w:tmpl w:val="A608F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91F7DBC"/>
    <w:multiLevelType w:val="multilevel"/>
    <w:tmpl w:val="ECBC6B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8038235">
    <w:abstractNumId w:val="1"/>
  </w:num>
  <w:num w:numId="2" w16cid:durableId="1042943793">
    <w:abstractNumId w:val="0"/>
  </w:num>
  <w:num w:numId="3" w16cid:durableId="1050500141">
    <w:abstractNumId w:val="2"/>
  </w:num>
  <w:num w:numId="4" w16cid:durableId="369578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6C"/>
    <w:rsid w:val="00054943"/>
    <w:rsid w:val="00063468"/>
    <w:rsid w:val="002507A0"/>
    <w:rsid w:val="002D4AB2"/>
    <w:rsid w:val="003F255F"/>
    <w:rsid w:val="00545C73"/>
    <w:rsid w:val="005617A9"/>
    <w:rsid w:val="00836C6C"/>
    <w:rsid w:val="00837DE3"/>
    <w:rsid w:val="00846333"/>
    <w:rsid w:val="00BD55FF"/>
    <w:rsid w:val="00C8250F"/>
    <w:rsid w:val="00CE586C"/>
    <w:rsid w:val="00CE7789"/>
    <w:rsid w:val="00D62B1D"/>
    <w:rsid w:val="00E71266"/>
    <w:rsid w:val="00F4698B"/>
    <w:rsid w:val="00F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AE84"/>
  <w15:chartTrackingRefBased/>
  <w15:docId w15:val="{B8FDBFB5-FD47-6B43-AE07-15337339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C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36C6C"/>
    <w:rPr>
      <w:b/>
      <w:bCs/>
    </w:rPr>
  </w:style>
  <w:style w:type="character" w:styleId="Emphasis">
    <w:name w:val="Emphasis"/>
    <w:basedOn w:val="DefaultParagraphFont"/>
    <w:uiPriority w:val="20"/>
    <w:qFormat/>
    <w:rsid w:val="00836C6C"/>
    <w:rPr>
      <w:i/>
      <w:iCs/>
    </w:rPr>
  </w:style>
  <w:style w:type="table" w:styleId="GridTable1Light-Accent1">
    <w:name w:val="Grid Table 1 Light Accent 1"/>
    <w:basedOn w:val="TableNormal"/>
    <w:uiPriority w:val="46"/>
    <w:rsid w:val="002507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z.am.88@hotmail.com</dc:creator>
  <cp:keywords/>
  <dc:description/>
  <cp:lastModifiedBy>z.am.88@hotmail.com</cp:lastModifiedBy>
  <cp:revision>1</cp:revision>
  <dcterms:created xsi:type="dcterms:W3CDTF">2025-10-11T16:40:00Z</dcterms:created>
  <dcterms:modified xsi:type="dcterms:W3CDTF">2025-10-18T05:12:00Z</dcterms:modified>
</cp:coreProperties>
</file>