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b/>
          <w:sz w:val="32"/>
        </w:rPr>
        <w:t>AI2AI Human Pilot — Data Report</w:t>
      </w:r>
    </w:p>
    <w:p>
      <w:r>
        <w:rPr>
          <w:i/>
          <w:color w:val="555555"/>
          <w:sz w:val="20"/>
        </w:rPr>
        <w:t>First real-human Prolific pilot. Analytical sample = the 40 participants who received the final completion code. Exploratory / descriptive throughout — small N; no confirmatory claims. Snapshot 2026-05-15.</w:t>
      </w:r>
    </w:p>
    <w:p>
      <w:pPr>
        <w:spacing w:before="320" w:after="120"/>
      </w:pPr>
      <w:r>
        <w:rPr>
          <w:b/>
          <w:sz w:val="32"/>
        </w:rPr>
        <w:t>1. Sample &amp;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2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u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1.1 — Sample flow.</w:t>
      </w:r>
    </w:p>
    <w:p>
      <w:r>
        <w:rPr>
          <w:i w:val="0"/>
        </w:rPr>
        <w:t>Of 59 enrolled, 40 received the completion code (the analytical sample); 27 of those reached an agreement. Non-completers are not analysed beyond this count.</w:t>
      </w:r>
    </w:p>
    <w:p>
      <w:r>
        <w:rPr>
          <w:b/>
          <w:sz w:val="20"/>
        </w:rPr>
        <w:t>Table 1.1 — Sample composition (mode × role × personality).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r>
        <w:rPr>
          <w:i w:val="0"/>
        </w:rPr>
        <w:t>The design is balanced at 10 participants per mode×role cell; opponent personality is roughly even (easygoing 15 / moderate 13 / tough 12).</w:t>
      </w:r>
    </w:p>
    <w:p>
      <w:pPr>
        <w:spacing w:before="320" w:after="120"/>
      </w:pPr>
      <w:r>
        <w:rPr>
          <w:b/>
          <w:sz w:val="32"/>
        </w:rPr>
        <w:t>2.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mograph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2.1 — Gender, experience, AI-familiarity by mode.</w:t>
      </w:r>
    </w:p>
    <w:p>
      <w:r>
        <w:rPr>
          <w:i w:val="0"/>
        </w:rPr>
        <w:t>Demographic make-up is broadly similar across AI-to-AI and Human-to-AI arms, supporting comparability of the two groups.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2.2 — Age distribution by mode.</w:t>
      </w:r>
    </w:p>
    <w:p>
      <w:r>
        <w:rPr>
          <w:i w:val="0"/>
        </w:rPr>
        <w:t>Age spans 19–73 (mean ≈ 41). No gross age skew between arms.</w:t>
      </w:r>
    </w:p>
    <w:p>
      <w:r>
        <w:rPr>
          <w:b/>
          <w:sz w:val="20"/>
        </w:rPr>
        <w:t>Table 2.1 — Who participated (n, % per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Prefer not to say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Non-binary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little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37.5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some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mean (SD)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41.0 (14.7)</w:t>
            </w:r>
          </w:p>
        </w:tc>
      </w:tr>
    </w:tbl>
    <w:p/>
    <w:p>
      <w:r>
        <w:rPr>
          <w:i w:val="0"/>
        </w:rPr>
        <w:t>Descriptive composition of the 40 completers.</w:t>
      </w:r>
    </w:p>
    <w:p>
      <w:pPr>
        <w:spacing w:before="320" w:after="120"/>
      </w:pPr>
      <w:r>
        <w:rPr>
          <w:b/>
          <w:sz w:val="32"/>
        </w:rPr>
        <w:t>3. Negotiation outcomes (descriptive)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41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utcom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3.1 — Outcome type by mode×role.</w:t>
      </w:r>
    </w:p>
    <w:p>
      <w:r>
        <w:rPr>
          <w:i w:val="0"/>
        </w:rPr>
        <w:t>Most negotiations reached agreement (27/40); rejections and impasses are spread across cells. Descriptive only — N too small per cell for inference 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ri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3.2 — Final agreed price by mode×role (n=27).</w:t>
      </w:r>
    </w:p>
    <w:p>
      <w:r>
        <w:rPr>
          <w:i w:val="0"/>
        </w:rPr>
        <w:t>Agreed prices cluster in the $22–24k band; cell medians differ modestly. Treated as descriptive (no test at n≈7/cell).</w:t>
      </w:r>
    </w:p>
    <w:p>
      <w:r>
        <w:rPr>
          <w:b/>
          <w:sz w:val="20"/>
        </w:rPr>
        <w:t>Table 3.1 — Outcome descriptives by cell.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agreement_rate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price_iqr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turns_median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time_median_s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23000-23500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13.5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150.4195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22875-23500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163.6255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24250.0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23750-24750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388.8565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22000-23000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349.4945</w:t>
            </w:r>
          </w:p>
        </w:tc>
      </w:tr>
    </w:tbl>
    <w:p/>
    <w:p>
      <w:r>
        <w:rPr>
          <w:i w:val="0"/>
        </w:rPr>
        <w:t>Agreement rate, price/turns/time medians per mode×role. No p-values in this section by design.</w:t>
      </w:r>
    </w:p>
    <w:p>
      <w:r>
        <w:rPr>
          <w:i w:val="0"/>
        </w:rPr>
        <w:t>Agreement rate — by mode: AI-to-AI 65% vs Human-to-AI 70% (Fisher's exact p=1.000, OR=0.80); by role: buyer 50% vs seller 85% (p=0.041, OR=0.18). Exploratory; 20 per side.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87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era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3.3 — Mode × Role on median agreed price (descriptive).</w:t>
      </w:r>
    </w:p>
    <w:p>
      <w:r>
        <w:rPr>
          <w:i w:val="0"/>
        </w:rPr>
        <w:t>Interaction pattern on the negotiation outcome; not tested (n≈7 agreed per cell).</w:t>
      </w:r>
    </w:p>
    <w:p>
      <w:pPr>
        <w:spacing w:before="320" w:after="120"/>
      </w:pPr>
      <w:r>
        <w:rPr>
          <w:b/>
          <w:sz w:val="32"/>
        </w:rPr>
        <w:t>4. Post-experience survey — the 9 DVs across the 4 groups</w:t>
      </w:r>
    </w:p>
    <w:p>
      <w:r>
        <w:rPr>
          <w:i/>
          <w:color w:val="555555"/>
          <w:sz w:val="20"/>
        </w:rPr>
        <w:t>Each survey item is a dependent variable. The 2×2 design (Mode × Role) yields four cells of n=10. Figures show every data point; statistics are exploratory (Scheirer–Ray–Hare per DV, no multiplicity correction, no pairwise post-hoc).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16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4.1 — Mean (1–7) per DV × group; priority DVs above the rule.</w:t>
      </w:r>
    </w:p>
    <w:p>
      <w:r>
        <w:rPr>
          <w:i w:val="0"/>
        </w:rPr>
        <w:t>All nine DV means across the four cells at a glance; diverging scale centered at the 1–7 midpoint.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satisfa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4.2 — satisfaction: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would_use_ag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4.3 — would_use_again: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agent_represen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4.4 — agent_represented: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cont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4.5 — control: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panel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4.6 — Secondary DVs (5) across the four groups.</w:t>
      </w:r>
    </w:p>
    <w:p>
      <w:r>
        <w:rPr>
          <w:i w:val="0"/>
        </w:rPr>
        <w:t>Same raincloud-style; flat 4-group view.</w:t>
      </w:r>
    </w:p>
    <w:p>
      <w:r>
        <w:rPr>
          <w:b/>
          <w:sz w:val="20"/>
        </w:rPr>
        <w:t>Table 4.1 — Descriptives per DV × group (n, M, SD, Mdn, IQR).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/>
            <w:r>
              <w:rPr>
                <w:b/>
                <w:sz w:val="18"/>
              </w:rPr>
              <w:t>dv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mode2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SD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Mdn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IQR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1.62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1.15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2.26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2.39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1.05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0.79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1.06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1.29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1.37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2.36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1.25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1.65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2.21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</w:tbl>
    <w:p/>
    <w:p>
      <w:r>
        <w:rPr>
          <w:i w:val="0"/>
        </w:rPr>
        <w:t>All nine DVs × four cells; priority DVs first.</w:t>
      </w:r>
    </w:p>
    <w:p>
      <w:pPr>
        <w:spacing w:before="320" w:after="120"/>
      </w:pPr>
      <w:r>
        <w:rPr>
          <w:b/>
          <w:sz w:val="32"/>
        </w:rPr>
        <w:t>5. Mode × Role effects on the DVs (exploratory)</w:t>
      </w:r>
    </w:p>
    <w:p>
      <w:r>
        <w:rPr>
          <w:i/>
          <w:color w:val="555555"/>
          <w:sz w:val="20"/>
        </w:rPr>
        <w:t>Per-DV nonparametric two-way (Scheirer–Ray–Hare): rank-based Mode, Role and Mode×Role tests. Strictly exploratory — n=10/cell, p uncorrected, no pairwise post-hoc.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satisfac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5.1 — satisfaction: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would_use_aga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5.2 — would_use_again: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agent_represen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5.3 — agent_represented: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contro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5.4 — control: Mode × Role (mean ± 95% CI).</w:t>
      </w:r>
    </w:p>
    <w:p>
      <w:r>
        <w:rPr>
          <w:i w:val="0"/>
        </w:rPr>
        <w:t>Lines = Role; x = Mode. Descriptive; exploratory.</w:t>
      </w:r>
    </w:p>
    <w:p>
      <w:r>
        <w:rPr>
          <w:b/>
          <w:sz w:val="20"/>
        </w:rPr>
        <w:t>Table 5.1 — Scheirer–Ray–Hare per DV (H, p, η²).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r/>
            <w:r>
              <w:rPr>
                <w:b/>
                <w:sz w:val="18"/>
              </w:rPr>
              <w:t>dv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0.886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0.3465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4.371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0.0366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0.4975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0.218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0.6405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1.812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0.1783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0.193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0.6603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0.877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0.5174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0.737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0.3906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0.7211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4.017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2.364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0.1242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0.061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0.095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0.7584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1.283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0.2573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0.8339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2.109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0.1465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0.054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0.243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0.6219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4.804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0.0284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4.641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4.175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0.107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1.932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0.1646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0.931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0.3347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0.9767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0.5811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0.008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0.3411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0.989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</w:tbl>
    <w:p/>
    <w:p>
      <w:r>
        <w:rPr>
          <w:i w:val="0"/>
        </w:rPr>
        <w:t>Mode / Role / Mode×Role rank-based omnibus per DV. p uncorrected, exploratory; η² = share of rank variance. Priority DVs first.</w:t>
      </w:r>
    </w:p>
    <w:p>
      <w:pPr>
        <w:spacing w:before="320" w:after="120"/>
      </w:pPr>
      <w:r>
        <w:rPr>
          <w:b/>
          <w:sz w:val="32"/>
        </w:rPr>
        <w:t>6. Data quality &amp; operational</w:t>
      </w:r>
    </w:p>
    <w:p>
      <w:r>
        <w:rPr>
          <w:b/>
          <w:sz w:val="20"/>
        </w:rPr>
        <w:t>Table 6.1 — Data-quality &amp; operational metrics.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participants with any clipboard/right-click attempt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total clipboard/right-click events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prompts (agent modes)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 length median (chars)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230</w:t>
            </w:r>
          </w:p>
        </w:tc>
      </w:tr>
    </w:tbl>
    <w:p/>
    <w:p>
      <w:r>
        <w:rPr>
          <w:i w:val="0"/>
        </w:rPr>
        <w:t>Clipboard/right-click attempts were blocked + logged; behaviour prompts captured for agent-mode completers.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5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rompt_l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6.1 — Behaviour-prompt length (agent modes).</w:t>
      </w:r>
    </w:p>
    <w:p>
      <w:r>
        <w:rPr>
          <w:i w:val="0"/>
        </w:rPr>
        <w:t>Distribution of authored agent-instruction lengths.</w:t>
      </w:r>
    </w:p>
    <w:p>
      <w:pPr>
        <w:spacing w:before="320" w:after="120"/>
      </w:pPr>
      <w:r>
        <w:rPr>
          <w:b/>
          <w:sz w:val="32"/>
        </w:rPr>
        <w:t>7. What you can do with this data</w:t>
      </w:r>
    </w:p>
    <w:p>
      <w:r>
        <w:rPr>
          <w:b/>
          <w:sz w:val="20"/>
        </w:rPr>
        <w:t>Table 7.1 — Analysable variables: now vs. when N grows.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now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when_n_grows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experiment_mode (mode2)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+ 20v20 exploratory test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mode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+ 20v20 exploratory test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role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only (≈13/level)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3-group KW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final_price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(agreed only)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price modelling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9 survey items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per-item δ + CI, FDR (exploratory)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item tests + subscales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mode × role × 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NOT analysable (cells 2-4)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3-way once ≥~15/cell</w:t>
            </w:r>
          </w:p>
        </w:tc>
      </w:tr>
    </w:tbl>
    <w:p/>
    <w:p>
      <w:r>
        <w:rPr>
          <w:i w:val="0"/>
        </w:rPr>
        <w:t>At current N the report supports descriptives + the two 20-vs-20 exploratory contrasts. Powered cell-level and 3-way analyses require a larger sample.</w:t>
      </w:r>
    </w:p>
    <w:p>
      <w:pPr>
        <w:spacing w:before="320" w:after="120"/>
      </w:pPr>
      <w:r>
        <w:rPr>
          <w:b/>
          <w:sz w:val="32"/>
        </w:rPr>
        <w:t>8. Qualitative analysis</w:t>
      </w:r>
    </w:p>
    <w:p>
      <w:r>
        <w:rPr>
          <w:i/>
          <w:color w:val="555555"/>
          <w:sz w:val="20"/>
        </w:rPr>
        <w:t>LLM-assisted coding disclosure: themes, taxonomy and comment sentiment were coded once on 2026-05-15 with claude-sonnet-4-6 against the fixed codebook. n=20 behaviour prompts / 20 comments. Codes are illustrative and hypothesis-generating, NOT theoretically saturated; no inter-rater reliability. The full coding sheet (qual_coding_sheet.csv) is committed for spot-checking.</w:t>
      </w:r>
    </w:p>
    <w:p>
      <w:pPr>
        <w:spacing w:before="240" w:after="80"/>
      </w:pPr>
      <w:r>
        <w:rPr>
          <w:b/>
          <w:color w:val="1B3F8B"/>
          <w:sz w:val="26"/>
        </w:rPr>
        <w:t>8A — Strategy themes (behaviour prompts, inductive)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a_them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8A.1 — Theme prevalence across 20 agent-mode prompts.</w:t>
      </w:r>
    </w:p>
    <w:p>
      <w:r>
        <w:rPr>
          <w:i w:val="0"/>
        </w:rPr>
        <w:t>How often each negotiation-strategy theme appears in participants' instructions to their delegated agent. Illustrative; n=20.</w:t>
      </w:r>
    </w:p>
    <w:p>
      <w:r>
        <w:rPr>
          <w:b/>
          <w:sz w:val="20"/>
        </w:rPr>
        <w:t>Table 8A.1 — Theme prevalence (count, 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theme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toughness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walkaway_threshold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concession_plan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relationship_tone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value_justification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anchor_high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urgency_framing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20.0</w:t>
            </w:r>
          </w:p>
        </w:tc>
      </w:tr>
    </w:tbl>
    <w:p/>
    <w:p>
      <w:r>
        <w:rPr>
          <w:i w:val="0"/>
        </w:rPr>
        <w:t>Most-instructed strategies first.</w:t>
      </w:r>
    </w:p>
    <w:p>
      <w:pPr>
        <w:spacing w:before="240" w:after="80"/>
      </w:pPr>
      <w:r>
        <w:rPr>
          <w:b/>
          <w:color w:val="1B3F8B"/>
          <w:sz w:val="26"/>
        </w:rPr>
        <w:t>8B — Strategy taxonomy (deductive)</w:t>
      </w:r>
    </w:p>
    <w:p>
      <w:r>
        <w:rPr>
          <w:b/>
          <w:sz w:val="20"/>
        </w:rPr>
        <w:t>Table 8B.1 — Taxonomy frequencies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r>
        <w:rPr>
          <w:i w:val="0"/>
        </w:rPr>
        <w:t>Distributive vs integrative orientation, anchor strength, threshold/politeness/info-strategy — buyer vs seller counts. Descriptive; no test (n=20).</w:t>
      </w:r>
    </w:p>
    <w:p>
      <w:pPr>
        <w:spacing w:before="240" w:after="80"/>
      </w:pPr>
      <w:r>
        <w:rPr>
          <w:b/>
          <w:color w:val="1B3F8B"/>
          <w:sz w:val="26"/>
        </w:rPr>
        <w:t>8C — Study-comment sentiment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30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c_sentim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3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8C.1 — Comment valence × topic (n=20, all non-blank).</w:t>
      </w:r>
    </w:p>
    <w:p>
      <w:r>
        <w:rPr>
          <w:i w:val="0"/>
        </w:rPr>
        <w:t>Tone and focus of the open-ended study comments.</w:t>
      </w:r>
    </w:p>
    <w:p>
      <w:pPr>
        <w:spacing w:before="240" w:after="80"/>
      </w:pPr>
      <w:r>
        <w:rPr>
          <w:b/>
          <w:color w:val="1B3F8B"/>
          <w:sz w:val="26"/>
        </w:rPr>
        <w:t>8D — Human-turn language (deterministic)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72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d_linguisti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7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8D.1 — Linguistic features, buyer vs seller (human modes).</w:t>
      </w:r>
    </w:p>
    <w:p>
      <w:r>
        <w:rPr>
          <w:i w:val="0"/>
        </w:rPr>
        <w:t>Politeness, hedging, questions, concession and directness per typed turn. Lexicon-based, fully reproducible, no LLM.</w:t>
      </w:r>
    </w:p>
    <w:p>
      <w:r>
        <w:rPr>
          <w:b/>
          <w:sz w:val="20"/>
        </w:rPr>
        <w:t>Table 8D.1 — Linguistic feature means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char_len_med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politeness_mean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hedges_mean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questions_mean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concession_mean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directness_mean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57.0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48.5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</w:tbl>
    <w:p/>
    <w:p>
      <w:r>
        <w:rPr>
          <w:i w:val="0"/>
        </w:rPr>
        <w:t>Per-turn means for human-mode participants.</w:t>
      </w:r>
    </w:p>
    <w:p>
      <w:pPr>
        <w:spacing w:before="240" w:after="80"/>
      </w:pPr>
      <w:r>
        <w:rPr>
          <w:b/>
          <w:color w:val="1B3F8B"/>
          <w:sz w:val="26"/>
        </w:rPr>
        <w:t>8E — Qualitative × quantitative link</w:t>
      </w:r>
    </w:p>
    <w:p>
      <w:r>
        <w:rPr>
          <w:b/>
          <w:sz w:val="20"/>
        </w:rPr>
        <w:t>Table 8E.1 — Outcomes by strategy / sentiment.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link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value_median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23500.0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positive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6.5</w:t>
            </w:r>
          </w:p>
        </w:tc>
      </w:tr>
    </w:tbl>
    <w:p/>
    <w:p>
      <w:r>
        <w:rPr>
          <w:i w:val="0"/>
        </w:rPr>
        <w:t>Agreed-price median by prompt orientation; satisfaction median by comment sentiment. Descriptive, illustrative, hypothesis-generating only — n is small.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