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B365D"/>
          <w:sz w:val="32"/>
        </w:rPr>
        <w:t>資產變化對照報告</w:t>
      </w:r>
    </w:p>
    <w:p>
      <w:pPr>
        <w:jc w:val="left"/>
      </w:pPr>
      <w:r>
        <w:rPr>
          <w:color w:val="6B7280"/>
          <w:sz w:val="20"/>
        </w:rPr>
        <w:t>報告日期：2026-07-19</w:t>
      </w:r>
      <w:r>
        <w:rPr>
          <w:color w:val="6B7280"/>
          <w:sz w:val="20"/>
        </w:rPr>
        <w:t xml:space="preserve">  |  資產監控 / 趨勢 / 巴菲特分析</w:t>
      </w:r>
    </w:p>
    <w:p/>
    <w:p>
      <w:pPr>
        <w:pStyle w:val="Heading1"/>
      </w:pPr>
      <w:r>
        <w:rPr>
          <w:color w:val="1B365D"/>
        </w:rPr>
        <w:t>第一章：資產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證券市值</w:t>
            </w:r>
          </w:p>
        </w:tc>
        <w:tc>
          <w:tcPr>
            <w:tcW w:type="dxa" w:w="216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保單現値</w:t>
            </w:r>
          </w:p>
        </w:tc>
        <w:tc>
          <w:tcPr>
            <w:tcW w:type="dxa" w:w="216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基金市值</w:t>
            </w:r>
          </w:p>
        </w:tc>
        <w:tc>
          <w:tcPr>
            <w:tcW w:type="dxa" w:w="216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現金部位</w:t>
            </w:r>
          </w:p>
        </w:tc>
      </w:tr>
      <w:tr>
        <w:tc>
          <w:tcPr>
            <w:tcW w:type="dxa" w:w="2160"/>
            <w:shd w:fill="F0F4F8"/>
          </w:tcPr>
          <w:p>
            <w:pPr>
              <w:jc w:val="right"/>
            </w:pPr>
            <w:r/>
            <w:r>
              <w:rPr>
                <w:b/>
                <w:color w:val="1F2937"/>
                <w:sz w:val="22"/>
              </w:rPr>
              <w:t>2,158,900</w:t>
            </w:r>
          </w:p>
        </w:tc>
        <w:tc>
          <w:tcPr>
            <w:tcW w:type="dxa" w:w="2160"/>
            <w:shd w:fill="F0F4F8"/>
          </w:tcPr>
          <w:p>
            <w:pPr>
              <w:jc w:val="right"/>
            </w:pPr>
            <w:r/>
            <w:r>
              <w:rPr>
                <w:b/>
                <w:color w:val="1F2937"/>
                <w:sz w:val="22"/>
              </w:rPr>
              <w:t>9,876,282</w:t>
            </w:r>
          </w:p>
        </w:tc>
        <w:tc>
          <w:tcPr>
            <w:tcW w:type="dxa" w:w="2160"/>
            <w:shd w:fill="F0F4F8"/>
          </w:tcPr>
          <w:p>
            <w:pPr>
              <w:jc w:val="right"/>
            </w:pPr>
            <w:r/>
            <w:r>
              <w:rPr>
                <w:b/>
                <w:color w:val="1F2937"/>
                <w:sz w:val="22"/>
              </w:rPr>
              <w:t>783,700</w:t>
            </w:r>
          </w:p>
        </w:tc>
        <w:tc>
          <w:tcPr>
            <w:tcW w:type="dxa" w:w="2160"/>
            <w:shd w:fill="F0F4F8"/>
          </w:tcPr>
          <w:p>
            <w:pPr>
              <w:jc w:val="right"/>
            </w:pPr>
            <w:r/>
            <w:r>
              <w:rPr>
                <w:b/>
                <w:color w:val="1F2937"/>
                <w:sz w:val="22"/>
              </w:rPr>
              <w:t>6,890,791</w:t>
            </w:r>
          </w:p>
        </w:tc>
      </w:tr>
    </w:tbl>
    <w:p/>
    <w:p>
      <w:pPr>
        <w:pStyle w:val="Heading2"/>
      </w:pPr>
      <w:r>
        <w:rPr>
          <w:color w:val="1B365D"/>
        </w:rPr>
        <w:t>證券明細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代號</w:t>
            </w:r>
          </w:p>
        </w:tc>
        <w:tc>
          <w:tcPr>
            <w:tcW w:type="dxa" w:w="1728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持股</w:t>
            </w:r>
          </w:p>
        </w:tc>
        <w:tc>
          <w:tcPr>
            <w:tcW w:type="dxa" w:w="1728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價格</w:t>
            </w:r>
          </w:p>
        </w:tc>
        <w:tc>
          <w:tcPr>
            <w:tcW w:type="dxa" w:w="1728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市值</w:t>
            </w:r>
          </w:p>
        </w:tc>
        <w:tc>
          <w:tcPr>
            <w:tcW w:type="dxa" w:w="1728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類型</w:t>
            </w:r>
          </w:p>
        </w:tc>
      </w:tr>
      <w:tr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0050</w:t>
            </w:r>
          </w:p>
        </w:tc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2000</w:t>
            </w:r>
          </w:p>
        </w:tc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100.15</w:t>
            </w:r>
          </w:p>
        </w:tc>
        <w:tc>
          <w:tcPr>
            <w:tcW w:type="dxa" w:w="1728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200,000</w:t>
            </w:r>
          </w:p>
        </w:tc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台股50大权值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006208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2000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227.75</w:t>
            </w:r>
          </w:p>
        </w:tc>
        <w:tc>
          <w:tcPr>
            <w:tcW w:type="dxa" w:w="1728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455,000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台股50大权值</w:t>
            </w:r>
          </w:p>
        </w:tc>
      </w:tr>
      <w:tr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009816</w:t>
            </w:r>
          </w:p>
        </w:tc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16000</w:t>
            </w:r>
          </w:p>
        </w:tc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14.28</w:t>
            </w:r>
          </w:p>
        </w:tc>
        <w:tc>
          <w:tcPr>
            <w:tcW w:type="dxa" w:w="1728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228,480</w:t>
            </w:r>
          </w:p>
        </w:tc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台股TOP50分散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00981A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4000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26.43</w:t>
            </w:r>
          </w:p>
        </w:tc>
        <w:tc>
          <w:tcPr>
            <w:tcW w:type="dxa" w:w="1728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105,720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主动型台股增长</w:t>
            </w:r>
          </w:p>
        </w:tc>
      </w:tr>
      <w:tr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00984A</w:t>
            </w:r>
          </w:p>
        </w:tc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10000</w:t>
            </w:r>
          </w:p>
        </w:tc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14.8</w:t>
            </w:r>
          </w:p>
        </w:tc>
        <w:tc>
          <w:tcPr>
            <w:tcW w:type="dxa" w:w="1728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148,000</w:t>
            </w:r>
          </w:p>
        </w:tc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主动型高息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00878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15000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31.81</w:t>
            </w:r>
          </w:p>
        </w:tc>
        <w:tc>
          <w:tcPr>
            <w:tcW w:type="dxa" w:w="1728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477,150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ESG高股息</w:t>
            </w:r>
          </w:p>
        </w:tc>
      </w:tr>
      <w:tr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00919</w:t>
            </w:r>
          </w:p>
        </w:tc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5000</w:t>
            </w:r>
          </w:p>
        </w:tc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28.93</w:t>
            </w:r>
          </w:p>
        </w:tc>
        <w:tc>
          <w:tcPr>
            <w:tcW w:type="dxa" w:w="1728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144,650</w:t>
            </w:r>
          </w:p>
        </w:tc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金融股为主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00713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2000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60.25</w:t>
            </w:r>
          </w:p>
        </w:tc>
        <w:tc>
          <w:tcPr>
            <w:tcW w:type="dxa" w:w="1728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120,500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高股息低波</w:t>
            </w:r>
          </w:p>
        </w:tc>
      </w:tr>
      <w:tr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0056</w:t>
            </w:r>
          </w:p>
        </w:tc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1000</w:t>
            </w:r>
          </w:p>
        </w:tc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50.75</w:t>
            </w:r>
          </w:p>
        </w:tc>
        <w:tc>
          <w:tcPr>
            <w:tcW w:type="dxa" w:w="1728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50,750</w:t>
            </w:r>
          </w:p>
        </w:tc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高股息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00646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1000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76.05</w:t>
            </w:r>
          </w:p>
        </w:tc>
        <w:tc>
          <w:tcPr>
            <w:tcW w:type="dxa" w:w="1728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76,050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美股S&amp;P500</w:t>
            </w:r>
          </w:p>
        </w:tc>
      </w:tr>
      <w:tr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009823</w:t>
            </w:r>
          </w:p>
        </w:tc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10000</w:t>
            </w:r>
          </w:p>
        </w:tc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10.32</w:t>
            </w:r>
          </w:p>
        </w:tc>
        <w:tc>
          <w:tcPr>
            <w:tcW w:type="dxa" w:w="1728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103,200</w:t>
            </w:r>
          </w:p>
        </w:tc>
        <w:tc>
          <w:tcPr>
            <w:tcW w:type="dxa" w:w="1728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美股S&amp;P500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009824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10000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9.94</w:t>
            </w:r>
          </w:p>
        </w:tc>
        <w:tc>
          <w:tcPr>
            <w:tcW w:type="dxa" w:w="1728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99,400</w:t>
            </w:r>
          </w:p>
        </w:tc>
        <w:tc>
          <w:tcPr>
            <w:tcW w:type="dxa" w:w="172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美股科技巨头</w:t>
            </w:r>
          </w:p>
        </w:tc>
      </w:tr>
      <w:tr>
        <w:tc>
          <w:tcPr>
            <w:tcW w:type="dxa" w:w="1728"/>
            <w:shd w:fill="FFF3CD"/>
          </w:tcPr>
          <w:p>
            <w:pPr>
              <w:jc w:val="left"/>
            </w:pPr>
            <w:r/>
            <w:r>
              <w:rPr>
                <w:b/>
                <w:color w:val="1F2937"/>
                <w:sz w:val="20"/>
              </w:rPr>
              <w:t>明細加總</w:t>
            </w:r>
          </w:p>
        </w:tc>
        <w:tc>
          <w:tcPr>
            <w:tcW w:type="dxa" w:w="1728"/>
            <w:shd w:fill="FFF3CD"/>
          </w:tcPr>
          <w:p/>
        </w:tc>
        <w:tc>
          <w:tcPr>
            <w:tcW w:type="dxa" w:w="1728"/>
            <w:shd w:fill="FFF3CD"/>
          </w:tcPr>
          <w:p/>
        </w:tc>
        <w:tc>
          <w:tcPr>
            <w:tcW w:type="dxa" w:w="1728"/>
            <w:shd w:fill="FFF3CD"/>
          </w:tcPr>
          <w:p>
            <w:pPr>
              <w:jc w:val="right"/>
            </w:pPr>
            <w:r/>
            <w:r>
              <w:rPr>
                <w:b/>
                <w:color w:val="1F2937"/>
                <w:sz w:val="20"/>
              </w:rPr>
              <w:t>2,208,900</w:t>
            </w:r>
          </w:p>
        </w:tc>
        <w:tc>
          <w:tcPr>
            <w:tcW w:type="dxa" w:w="1728"/>
            <w:shd w:fill="FFF3CD"/>
          </w:tcPr>
          <w:p/>
        </w:tc>
      </w:tr>
      <w:tr>
        <w:tc>
          <w:tcPr>
            <w:tcW w:type="dxa" w:w="1728"/>
            <w:shd w:fill="F0F4F8"/>
          </w:tcPr>
          <w:p>
            <w:pPr>
              <w:jc w:val="left"/>
            </w:pPr>
            <w:r/>
            <w:r>
              <w:rPr>
                <w:b/>
                <w:color w:val="1F2937"/>
                <w:sz w:val="20"/>
              </w:rPr>
              <w:t>證券總市值（market）</w:t>
            </w:r>
          </w:p>
        </w:tc>
        <w:tc>
          <w:tcPr>
            <w:tcW w:type="dxa" w:w="1728"/>
            <w:shd w:fill="F0F4F8"/>
          </w:tcPr>
          <w:p/>
        </w:tc>
        <w:tc>
          <w:tcPr>
            <w:tcW w:type="dxa" w:w="1728"/>
            <w:shd w:fill="F0F4F8"/>
          </w:tcPr>
          <w:p/>
        </w:tc>
        <w:tc>
          <w:tcPr>
            <w:tcW w:type="dxa" w:w="1728"/>
            <w:shd w:fill="F0F4F8"/>
          </w:tcPr>
          <w:p>
            <w:pPr>
              <w:jc w:val="right"/>
            </w:pPr>
            <w:r/>
            <w:r>
              <w:rPr>
                <w:b/>
                <w:color w:val="1B365D"/>
                <w:sz w:val="22"/>
              </w:rPr>
              <w:t>2,158,900</w:t>
            </w:r>
          </w:p>
        </w:tc>
        <w:tc>
          <w:tcPr>
            <w:tcW w:type="dxa" w:w="1728"/>
            <w:shd w:fill="F0F4F8"/>
          </w:tcPr>
          <w:p/>
        </w:tc>
      </w:tr>
    </w:tbl>
    <w:p>
      <w:r>
        <w:rPr>
          <w:color w:val="6B7280"/>
        </w:rPr>
        <w:t>證券總市值（market）：2,158,900 TWD</w:t>
      </w:r>
    </w:p>
    <w:p>
      <w:pPr>
        <w:pStyle w:val="Heading2"/>
      </w:pPr>
      <w:r>
        <w:rPr>
          <w:color w:val="1B365D"/>
        </w:rPr>
        <w:t>基金部位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基金名稱</w:t>
            </w:r>
          </w:p>
        </w:tc>
        <w:tc>
          <w:tcPr>
            <w:tcW w:type="dxa" w:w="288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市值（台幣）</w:t>
            </w:r>
          </w:p>
        </w:tc>
        <w:tc>
          <w:tcPr>
            <w:tcW w:type="dxa" w:w="288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幣別/備註</w:t>
            </w:r>
          </w:p>
        </w:tc>
      </w:tr>
      <w:tr>
        <w:tc>
          <w:tcPr>
            <w:tcW w:type="dxa" w:w="2880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台新美日台半導體A-日元</w:t>
            </w:r>
          </w:p>
        </w:tc>
        <w:tc>
          <w:tcPr>
            <w:tcW w:type="dxa" w:w="2880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129,595</w:t>
            </w:r>
          </w:p>
        </w:tc>
        <w:tc>
          <w:tcPr>
            <w:tcW w:type="dxa" w:w="2880"/>
            <w:shd w:fill="FAFBFC"/>
          </w:tcPr>
          <w:p>
            <w:pPr>
              <w:jc w:val="left"/>
            </w:pPr>
            <w:r/>
            <w:r>
              <w:rPr>
                <w:b w:val="0"/>
                <w:color w:val="6B7280"/>
                <w:sz w:val="20"/>
              </w:rPr>
              <w:t>JPY換算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台中銀台灣優息B配息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46,264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color w:val="6B7280"/>
                <w:sz w:val="20"/>
              </w:rPr>
              <w:t>TWD</w:t>
            </w:r>
          </w:p>
        </w:tc>
      </w:tr>
      <w:tr>
        <w:tc>
          <w:tcPr>
            <w:tcW w:type="dxa" w:w="2880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路博邁5G股票T月配</w:t>
            </w:r>
          </w:p>
        </w:tc>
        <w:tc>
          <w:tcPr>
            <w:tcW w:type="dxa" w:w="2880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87,790</w:t>
            </w:r>
          </w:p>
        </w:tc>
        <w:tc>
          <w:tcPr>
            <w:tcW w:type="dxa" w:w="2880"/>
            <w:shd w:fill="FAFBFC"/>
          </w:tcPr>
          <w:p>
            <w:pPr>
              <w:jc w:val="left"/>
            </w:pPr>
            <w:r/>
            <w:r>
              <w:rPr>
                <w:b w:val="0"/>
                <w:color w:val="6B7280"/>
                <w:sz w:val="20"/>
              </w:rPr>
              <w:t>TWD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0050連結B配息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44,914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color w:val="6B7280"/>
                <w:sz w:val="20"/>
              </w:rPr>
              <w:t>TWD</w:t>
            </w:r>
          </w:p>
        </w:tc>
      </w:tr>
      <w:tr>
        <w:tc>
          <w:tcPr>
            <w:tcW w:type="dxa" w:w="2880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路博邁5G股票T累積</w:t>
            </w:r>
          </w:p>
        </w:tc>
        <w:tc>
          <w:tcPr>
            <w:tcW w:type="dxa" w:w="2880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235,840</w:t>
            </w:r>
          </w:p>
        </w:tc>
        <w:tc>
          <w:tcPr>
            <w:tcW w:type="dxa" w:w="2880"/>
            <w:shd w:fill="FAFBFC"/>
          </w:tcPr>
          <w:p>
            <w:pPr>
              <w:jc w:val="left"/>
            </w:pPr>
            <w:r/>
            <w:r>
              <w:rPr>
                <w:b w:val="0"/>
                <w:color w:val="6B7280"/>
                <w:sz w:val="20"/>
              </w:rPr>
              <w:t>TWD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0050連結A不配息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103,415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color w:val="6B7280"/>
                <w:sz w:val="20"/>
              </w:rPr>
              <w:t>TWD</w:t>
            </w:r>
          </w:p>
        </w:tc>
      </w:tr>
      <w:tr>
        <w:tc>
          <w:tcPr>
            <w:tcW w:type="dxa" w:w="2880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統一奔騰</w:t>
            </w:r>
          </w:p>
        </w:tc>
        <w:tc>
          <w:tcPr>
            <w:tcW w:type="dxa" w:w="2880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83,279</w:t>
            </w:r>
          </w:p>
        </w:tc>
        <w:tc>
          <w:tcPr>
            <w:tcW w:type="dxa" w:w="2880"/>
            <w:shd w:fill="FAFBFC"/>
          </w:tcPr>
          <w:p>
            <w:pPr>
              <w:jc w:val="left"/>
            </w:pPr>
            <w:r/>
            <w:r>
              <w:rPr>
                <w:b w:val="0"/>
                <w:color w:val="6B7280"/>
                <w:sz w:val="20"/>
              </w:rPr>
              <w:t>TWD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其他基金部位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52,603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color w:val="6B7280"/>
                <w:sz w:val="20"/>
              </w:rPr>
              <w:t>TWD</w:t>
            </w:r>
          </w:p>
        </w:tc>
      </w:tr>
      <w:tr>
        <w:tc>
          <w:tcPr>
            <w:tcW w:type="dxa" w:w="2880"/>
            <w:shd w:fill="FFF3CD"/>
          </w:tcPr>
          <w:p>
            <w:pPr>
              <w:jc w:val="left"/>
            </w:pPr>
            <w:r/>
            <w:r>
              <w:rPr>
                <w:b/>
                <w:color w:val="1F2937"/>
                <w:sz w:val="20"/>
              </w:rPr>
              <w:t>明細加總</w:t>
            </w:r>
          </w:p>
        </w:tc>
        <w:tc>
          <w:tcPr>
            <w:tcW w:type="dxa" w:w="2880"/>
            <w:shd w:fill="FFF3CD"/>
          </w:tcPr>
          <w:p>
            <w:pPr>
              <w:jc w:val="right"/>
            </w:pPr>
            <w:r/>
            <w:r>
              <w:rPr>
                <w:b/>
                <w:color w:val="1F2937"/>
                <w:sz w:val="20"/>
              </w:rPr>
              <w:t>783,700</w:t>
            </w:r>
          </w:p>
        </w:tc>
        <w:tc>
          <w:tcPr>
            <w:tcW w:type="dxa" w:w="2880"/>
            <w:shd w:fill="FFF3CD"/>
          </w:tcPr>
          <w:p/>
        </w:tc>
      </w:tr>
      <w:tr>
        <w:tc>
          <w:tcPr>
            <w:tcW w:type="dxa" w:w="2880"/>
            <w:shd w:fill="F0F4F8"/>
          </w:tcPr>
          <w:p>
            <w:pPr>
              <w:jc w:val="left"/>
            </w:pPr>
            <w:r/>
            <w:r>
              <w:rPr>
                <w:b/>
                <w:color w:val="1F2937"/>
                <w:sz w:val="20"/>
              </w:rPr>
              <w:t>基金總市值（鉅亨網）</w:t>
            </w:r>
          </w:p>
        </w:tc>
        <w:tc>
          <w:tcPr>
            <w:tcW w:type="dxa" w:w="2880"/>
            <w:shd w:fill="F0F4F8"/>
          </w:tcPr>
          <w:p>
            <w:pPr>
              <w:jc w:val="right"/>
            </w:pPr>
            <w:r/>
            <w:r>
              <w:rPr>
                <w:b/>
                <w:color w:val="1B365D"/>
                <w:sz w:val="22"/>
              </w:rPr>
              <w:t>783,700</w:t>
            </w:r>
          </w:p>
        </w:tc>
        <w:tc>
          <w:tcPr>
            <w:tcW w:type="dxa" w:w="2880"/>
            <w:shd w:fill="F0F4F8"/>
          </w:tcPr>
          <w:p/>
        </w:tc>
      </w:tr>
    </w:tbl>
    <w:p>
      <w:r>
        <w:rPr>
          <w:color w:val="6B7280"/>
        </w:rPr>
        <w:t>基金總市值：783,700 TWD</w:t>
      </w:r>
    </w:p>
    <w:p>
      <w:pPr>
        <w:pStyle w:val="Heading2"/>
      </w:pPr>
      <w:r>
        <w:rPr>
          <w:color w:val="1B365D"/>
        </w:rPr>
        <w:t>保單明細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288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帳面價值</w:t>
            </w:r>
          </w:p>
        </w:tc>
        <w:tc>
          <w:tcPr>
            <w:tcW w:type="dxa" w:w="288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現值</w:t>
            </w:r>
          </w:p>
        </w:tc>
      </w:tr>
      <w:tr>
        <w:tc>
          <w:tcPr>
            <w:tcW w:type="dxa" w:w="2880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安聯保單 A (QL18610694)</w:t>
            </w:r>
          </w:p>
        </w:tc>
        <w:tc>
          <w:tcPr>
            <w:tcW w:type="dxa" w:w="2880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5,079,576</w:t>
            </w:r>
          </w:p>
        </w:tc>
        <w:tc>
          <w:tcPr>
            <w:tcW w:type="dxa" w:w="2880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5,075,393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安聯保單 B (QL18488224)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2,728,721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2,732,904</w:t>
            </w:r>
          </w:p>
        </w:tc>
      </w:tr>
      <w:tr>
        <w:tc>
          <w:tcPr>
            <w:tcW w:type="dxa" w:w="2880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第一金保單 FL65</w:t>
            </w:r>
          </w:p>
        </w:tc>
        <w:tc>
          <w:tcPr>
            <w:tcW w:type="dxa" w:w="2880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1,994,698</w:t>
            </w:r>
          </w:p>
        </w:tc>
        <w:tc>
          <w:tcPr>
            <w:tcW w:type="dxa" w:w="2880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1,994,698</w:t>
            </w:r>
          </w:p>
        </w:tc>
      </w:tr>
      <w:tr>
        <w:tc>
          <w:tcPr>
            <w:tcW w:type="dxa" w:w="2880"/>
            <w:shd w:fill="FFF3CD"/>
          </w:tcPr>
          <w:p>
            <w:pPr>
              <w:jc w:val="left"/>
            </w:pPr>
            <w:r/>
            <w:r>
              <w:rPr>
                <w:b/>
                <w:color w:val="1F2937"/>
                <w:sz w:val="20"/>
              </w:rPr>
              <w:t>明細加總</w:t>
            </w:r>
          </w:p>
        </w:tc>
        <w:tc>
          <w:tcPr>
            <w:tcW w:type="dxa" w:w="2880"/>
            <w:shd w:fill="FFF3CD"/>
          </w:tcPr>
          <w:p>
            <w:pPr>
              <w:jc w:val="right"/>
            </w:pPr>
            <w:r/>
            <w:r>
              <w:rPr>
                <w:b/>
                <w:color w:val="1F2937"/>
                <w:sz w:val="20"/>
              </w:rPr>
              <w:t>9,802,995</w:t>
            </w:r>
          </w:p>
        </w:tc>
        <w:tc>
          <w:tcPr>
            <w:tcW w:type="dxa" w:w="2880"/>
            <w:shd w:fill="FFF3CD"/>
          </w:tcPr>
          <w:p>
            <w:pPr>
              <w:jc w:val="right"/>
            </w:pPr>
            <w:r/>
            <w:r>
              <w:rPr>
                <w:b/>
                <w:color w:val="1F2937"/>
                <w:sz w:val="20"/>
              </w:rPr>
              <w:t>9,802,995</w:t>
            </w:r>
          </w:p>
        </w:tc>
      </w:tr>
      <w:tr>
        <w:tc>
          <w:tcPr>
            <w:tcW w:type="dxa" w:w="2880"/>
            <w:shd w:fill="F0F4F8"/>
          </w:tcPr>
          <w:p>
            <w:pPr>
              <w:jc w:val="left"/>
            </w:pPr>
            <w:r/>
            <w:r>
              <w:rPr>
                <w:b/>
                <w:color w:val="1F2937"/>
                <w:sz w:val="20"/>
              </w:rPr>
              <w:t>保單總現値（snapshot）</w:t>
            </w:r>
          </w:p>
        </w:tc>
        <w:tc>
          <w:tcPr>
            <w:tcW w:type="dxa" w:w="2880"/>
            <w:shd w:fill="F0F4F8"/>
          </w:tcPr>
          <w:p>
            <w:pPr>
              <w:jc w:val="right"/>
            </w:pPr>
            <w:r/>
            <w:r>
              <w:rPr>
                <w:b/>
                <w:color w:val="1F2937"/>
                <w:sz w:val="20"/>
              </w:rPr>
              <w:t>11,791,280</w:t>
            </w:r>
          </w:p>
        </w:tc>
        <w:tc>
          <w:tcPr>
            <w:tcW w:type="dxa" w:w="2880"/>
            <w:shd w:fill="F0F4F8"/>
          </w:tcPr>
          <w:p>
            <w:pPr>
              <w:jc w:val="right"/>
            </w:pPr>
            <w:r/>
            <w:r>
              <w:rPr>
                <w:b/>
                <w:color w:val="1B365D"/>
                <w:sz w:val="22"/>
              </w:rPr>
              <w:t>9,876,282</w:t>
            </w:r>
          </w:p>
        </w:tc>
      </w:tr>
    </w:tbl>
    <w:p/>
    <w:p>
      <w:r>
        <w:rPr>
          <w:color w:val="6B7280"/>
        </w:rPr>
        <w:t>保單總現値：9,876,282 TWD</w:t>
      </w:r>
      <w:r>
        <w:rPr>
          <w:color w:val="6B7280"/>
        </w:rPr>
        <w:t xml:space="preserve">  |  保單總帳面：11,791,280 TWD</w:t>
      </w:r>
    </w:p>
    <w:p>
      <w:pPr>
        <w:pStyle w:val="Heading2"/>
      </w:pPr>
      <w:r>
        <w:rPr>
          <w:color w:val="1B365D"/>
        </w:rPr>
        <w:t>現金部位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32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金額</w:t>
            </w:r>
          </w:p>
        </w:tc>
      </w:tr>
      <w:tr>
        <w:tc>
          <w:tcPr>
            <w:tcW w:type="dxa" w:w="4320"/>
            <w:shd w:fill="F0F4F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real_liquid_assets（總流動資產）</w:t>
            </w:r>
          </w:p>
        </w:tc>
        <w:tc>
          <w:tcPr>
            <w:tcW w:type="dxa" w:w="4320"/>
            <w:shd w:fill="F0F4F8"/>
          </w:tcPr>
          <w:p>
            <w:pPr>
              <w:jc w:val="right"/>
            </w:pPr>
            <w:r/>
            <w:r>
              <w:rPr>
                <w:b/>
                <w:color w:val="1B365D"/>
                <w:sz w:val="22"/>
              </w:rPr>
              <w:t>6,890,791</w:t>
            </w:r>
          </w:p>
        </w:tc>
      </w:tr>
    </w:tbl>
    <w:p>
      <w:r>
        <w:rPr>
          <w:color w:val="6B7280"/>
          <w:sz w:val="18"/>
        </w:rPr>
        <w:t>包含：高利活存 2,200,410 + Moneybook 活期 3,071,343</w:t>
      </w:r>
      <w:r>
        <w:rPr>
          <w:b/>
          <w:color w:val="10B981"/>
          <w:sz w:val="18"/>
        </w:rPr>
        <w:t xml:space="preserve"> ｜ 合併後唯一真值</w:t>
      </w:r>
    </w:p>
    <w:p>
      <w:pPr>
        <w:pStyle w:val="Heading2"/>
      </w:pPr>
      <w:r>
        <w:rPr>
          <w:color w:val="1B365D"/>
        </w:rPr>
        <w:t>資產佔比</w:t>
      </w:r>
    </w:p>
    <w:p>
      <w:r>
        <w:rPr>
          <w:color w:val="1F2937"/>
        </w:rPr>
        <w:t>證券市值：</w:t>
      </w:r>
      <w:r>
        <w:rPr>
          <w:b/>
        </w:rPr>
        <w:t>216萬</w:t>
      </w:r>
      <w:r>
        <w:rPr>
          <w:color w:val="1F2937"/>
        </w:rPr>
        <w:t>（</w:t>
      </w:r>
      <w:r>
        <w:rPr>
          <w:b/>
          <w:color w:val="1B365D"/>
        </w:rPr>
        <w:t>4.3%</w:t>
      </w:r>
      <w:r>
        <w:rPr>
          <w:color w:val="1F2937"/>
        </w:rPr>
        <w:t>）</w:t>
      </w:r>
    </w:p>
    <w:p>
      <w:r>
        <w:rPr>
          <w:color w:val="1F2937"/>
        </w:rPr>
        <w:t>保單現値：</w:t>
      </w:r>
      <w:r>
        <w:rPr>
          <w:b/>
        </w:rPr>
        <w:t>988萬</w:t>
      </w:r>
      <w:r>
        <w:rPr>
          <w:color w:val="1F2937"/>
        </w:rPr>
        <w:t>（</w:t>
      </w:r>
      <w:r>
        <w:rPr>
          <w:b/>
          <w:color w:val="1B365D"/>
        </w:rPr>
        <w:t>19.5%</w:t>
      </w:r>
      <w:r>
        <w:rPr>
          <w:color w:val="1F2937"/>
        </w:rPr>
        <w:t>）</w:t>
      </w:r>
    </w:p>
    <w:p>
      <w:r>
        <w:rPr>
          <w:color w:val="1F2937"/>
        </w:rPr>
        <w:t>基金市值：</w:t>
      </w:r>
      <w:r>
        <w:rPr>
          <w:b/>
        </w:rPr>
        <w:t>78萬</w:t>
      </w:r>
      <w:r>
        <w:rPr>
          <w:color w:val="1F2937"/>
        </w:rPr>
        <w:t>（</w:t>
      </w:r>
      <w:r>
        <w:rPr>
          <w:b/>
          <w:color w:val="1B365D"/>
        </w:rPr>
        <w:t>1.5%</w:t>
      </w:r>
      <w:r>
        <w:rPr>
          <w:color w:val="1F2937"/>
        </w:rPr>
        <w:t>）</w:t>
      </w:r>
    </w:p>
    <w:p>
      <w:r>
        <w:rPr>
          <w:color w:val="1F2937"/>
        </w:rPr>
        <w:t>現金部位：</w:t>
      </w:r>
      <w:r>
        <w:rPr>
          <w:b/>
        </w:rPr>
        <w:t>689萬</w:t>
      </w:r>
      <w:r>
        <w:rPr>
          <w:color w:val="1F2937"/>
        </w:rPr>
        <w:t>（</w:t>
      </w:r>
      <w:r>
        <w:rPr>
          <w:b/>
          <w:color w:val="1B365D"/>
        </w:rPr>
        <w:t>13.6%</w:t>
      </w:r>
      <w:r>
        <w:rPr>
          <w:color w:val="1F2937"/>
        </w:rPr>
        <w:t>）</w:t>
      </w:r>
    </w:p>
    <w:p>
      <w:r>
        <w:br w:type="page"/>
      </w:r>
    </w:p>
    <w:p>
      <w:pPr>
        <w:pStyle w:val="Heading1"/>
      </w:pPr>
      <w:r>
        <w:rPr>
          <w:color w:val="1B365D"/>
        </w:rPr>
        <w:t>第二章：負債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F444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總負債</w:t>
            </w:r>
          </w:p>
        </w:tc>
        <w:tc>
          <w:tcPr>
            <w:tcW w:type="dxa" w:w="2880"/>
            <w:shd w:fill="EF444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負債比率</w:t>
            </w:r>
          </w:p>
        </w:tc>
        <w:tc>
          <w:tcPr>
            <w:tcW w:type="dxa" w:w="2880"/>
            <w:shd w:fill="EF444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淨資產</w:t>
            </w:r>
          </w:p>
        </w:tc>
      </w:tr>
      <w:tr>
        <w:tc>
          <w:tcPr>
            <w:tcW w:type="dxa" w:w="2880"/>
            <w:shd w:fill="F0F4F8"/>
          </w:tcPr>
          <w:p>
            <w:pPr>
              <w:jc w:val="right"/>
            </w:pPr>
            <w:r/>
            <w:r>
              <w:rPr>
                <w:b/>
                <w:color w:val="1F2937"/>
                <w:sz w:val="22"/>
              </w:rPr>
              <w:t>22,000,000</w:t>
            </w:r>
          </w:p>
        </w:tc>
        <w:tc>
          <w:tcPr>
            <w:tcW w:type="dxa" w:w="2880"/>
            <w:shd w:fill="F0F4F8"/>
          </w:tcPr>
          <w:p>
            <w:pPr>
              <w:jc w:val="right"/>
            </w:pPr>
            <w:r/>
            <w:r>
              <w:rPr>
                <w:b/>
                <w:color w:val="1F2937"/>
                <w:sz w:val="22"/>
              </w:rPr>
              <w:t>43.4%</w:t>
            </w:r>
          </w:p>
        </w:tc>
        <w:tc>
          <w:tcPr>
            <w:tcW w:type="dxa" w:w="2880"/>
            <w:shd w:fill="F0F4F8"/>
          </w:tcPr>
          <w:p>
            <w:pPr>
              <w:jc w:val="right"/>
            </w:pPr>
            <w:r/>
            <w:r>
              <w:rPr>
                <w:b/>
                <w:color w:val="1F2937"/>
                <w:sz w:val="22"/>
              </w:rPr>
              <w:t>28,689,930</w:t>
            </w:r>
          </w:p>
        </w:tc>
      </w:tr>
    </w:tbl>
    <w:p/>
    <w:p>
      <w:pPr>
        <w:pStyle w:val="Heading2"/>
      </w:pPr>
      <w:r>
        <w:rPr>
          <w:color w:val="1B365D"/>
        </w:rPr>
        <w:t>負債明細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F444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2880"/>
            <w:shd w:fill="EF444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金額</w:t>
            </w:r>
          </w:p>
        </w:tc>
        <w:tc>
          <w:tcPr>
            <w:tcW w:type="dxa" w:w="2880"/>
            <w:shd w:fill="EF444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2880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星展房貸（大義街）</w:t>
            </w:r>
          </w:p>
        </w:tc>
        <w:tc>
          <w:tcPr>
            <w:tcW w:type="dxa" w:w="2880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8,800,000</w:t>
            </w:r>
          </w:p>
        </w:tc>
        <w:tc>
          <w:tcPr>
            <w:tcW w:type="dxa" w:w="2880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房貸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永豐房貸（洲際W）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6,000,000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房貸</w:t>
            </w:r>
          </w:p>
        </w:tc>
      </w:tr>
      <w:tr>
        <w:tc>
          <w:tcPr>
            <w:tcW w:type="dxa" w:w="2880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永豐週轉金</w:t>
            </w:r>
          </w:p>
        </w:tc>
        <w:tc>
          <w:tcPr>
            <w:tcW w:type="dxa" w:w="2880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7,000,000</w:t>
            </w:r>
          </w:p>
        </w:tc>
        <w:tc>
          <w:tcPr>
            <w:tcW w:type="dxa" w:w="2880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週轉金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凱基證券質押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1,000,000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證券質押</w:t>
            </w:r>
          </w:p>
        </w:tc>
      </w:tr>
      <w:tr>
        <w:tc>
          <w:tcPr>
            <w:tcW w:type="dxa" w:w="2880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保單質押借款</w:t>
            </w:r>
          </w:p>
        </w:tc>
        <w:tc>
          <w:tcPr>
            <w:tcW w:type="dxa" w:w="2880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4,000,000</w:t>
            </w:r>
          </w:p>
        </w:tc>
        <w:tc>
          <w:tcPr>
            <w:tcW w:type="dxa" w:w="2880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含安联A 2M + 安联B 1M + 第一金 1M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國泰轉貸（核貸中）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b/>
                <w:color w:val="EF4444"/>
                <w:sz w:val="20"/>
              </w:rPr>
              <w:t>待確認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核贷进行中，预计 8/2 完成，金额待银行确认，利率 2.6%</w:t>
            </w:r>
          </w:p>
        </w:tc>
      </w:tr>
      <w:tr>
        <w:tc>
          <w:tcPr>
            <w:tcW w:type="dxa" w:w="2880"/>
            <w:shd w:fill="F0F4F8"/>
          </w:tcPr>
          <w:p>
            <w:pPr>
              <w:jc w:val="left"/>
            </w:pPr>
            <w:r/>
            <w:r>
              <w:rPr>
                <w:b/>
                <w:color w:val="1F2937"/>
                <w:sz w:val="20"/>
              </w:rPr>
              <w:t>Total</w:t>
            </w:r>
          </w:p>
        </w:tc>
        <w:tc>
          <w:tcPr>
            <w:tcW w:type="dxa" w:w="2880"/>
            <w:shd w:fill="F0F4F8"/>
          </w:tcPr>
          <w:p>
            <w:pPr>
              <w:jc w:val="right"/>
            </w:pPr>
            <w:r/>
            <w:r>
              <w:rPr>
                <w:b/>
                <w:color w:val="1F2937"/>
                <w:sz w:val="20"/>
              </w:rPr>
              <w:t>22,000,000</w:t>
            </w:r>
          </w:p>
        </w:tc>
        <w:tc>
          <w:tcPr>
            <w:tcW w:type="dxa" w:w="2880"/>
            <w:shd w:fill="F0F4F8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</w:r>
          </w:p>
        </w:tc>
      </w:tr>
    </w:tbl>
    <w:p/>
    <w:p>
      <w:r>
        <w:rPr>
          <w:b/>
          <w:color w:val="EF4444"/>
        </w:rPr>
        <w:t>負債合計：22,000,000 TWD</w:t>
      </w:r>
      <w:r>
        <w:rPr>
          <w:color w:val="6B7280"/>
        </w:rPr>
        <w:t xml:space="preserve">  |  負債比率：43.4%</w:t>
      </w:r>
      <w:r>
        <w:rPr>
          <w:b/>
          <w:color w:val="10B981"/>
        </w:rPr>
        <w:t xml:space="preserve">  |  淨資產：28,689,930 TWD</w:t>
      </w:r>
    </w:p>
    <w:p>
      <w:r>
        <w:br w:type="page"/>
      </w:r>
    </w:p>
    <w:p>
      <w:pPr>
        <w:pStyle w:val="Heading1"/>
      </w:pPr>
      <w:r>
        <w:rPr>
          <w:color w:val="1B365D"/>
        </w:rPr>
        <w:t>第三章：分析</w:t>
      </w:r>
    </w:p>
    <w:p>
      <w:pPr>
        <w:pStyle w:val="Heading2"/>
      </w:pPr>
      <w:r>
        <w:rPr>
          <w:color w:val="1B365D"/>
        </w:rPr>
        <w:t>被動收入</w:t>
      </w:r>
    </w:p>
    <w:p>
      <w:r>
        <w:rPr>
          <w:b/>
          <w:color w:val="1B365D"/>
        </w:rPr>
        <w:t>房租收入（淨）</w:t>
      </w:r>
      <w:r>
        <w:rPr>
          <w:color w:val="1F2937"/>
        </w:rPr>
        <w:t>：80,100 TWD/月</w:t>
      </w:r>
    </w:p>
    <w:p>
      <w:r>
        <w:rPr>
          <w:color w:val="6B7280"/>
        </w:rPr>
        <w:t xml:space="preserve">  大義街店面：24,000  |  大義街二三樓：23,100  |  洲際W：33,000  |  合計：82,200</w:t>
      </w:r>
    </w:p>
    <w:p>
      <w:r>
        <w:rPr>
          <w:color w:val="6B7280"/>
        </w:rPr>
        <w:t>管理費（洲際W）</w:t>
      </w:r>
      <w:r>
        <w:rPr>
          <w:color w:val="EF4444"/>
        </w:rPr>
        <w:t>：</w:t>
      </w:r>
      <w:r>
        <w:rPr>
          <w:color w:val="1F2937"/>
        </w:rPr>
        <w:t>2,100 TWD/月</w:t>
      </w:r>
    </w:p>
    <w:p>
      <w:r>
        <w:rPr>
          <w:color w:val="6B7280"/>
        </w:rPr>
        <w:t>房租淨收入（增值）</w:t>
      </w:r>
      <w:r>
        <w:rPr>
          <w:color w:val="10B981"/>
        </w:rPr>
        <w:t>：</w:t>
      </w:r>
      <w:r>
        <w:rPr>
          <w:b/>
          <w:color w:val="10B981"/>
        </w:rPr>
        <w:t>80,100 TWD/月</w:t>
      </w:r>
    </w:p>
    <w:p>
      <w:r>
        <w:rPr>
          <w:color w:val="1F2937"/>
        </w:rPr>
        <w:t>基金配息（保守估）：</w:t>
      </w:r>
      <w:r>
        <w:rPr>
          <w:color w:val="1F2937"/>
        </w:rPr>
        <w:t>72,798 TWD/月</w:t>
      </w:r>
    </w:p>
    <w:p>
      <w:r>
        <w:rPr>
          <w:color w:val="1F2937"/>
        </w:rPr>
        <w:t>基金配息（實際）：</w:t>
      </w:r>
      <w:r>
        <w:rPr>
          <w:color w:val="1F2937"/>
        </w:rPr>
        <w:t>17,519 TWD/月</w:t>
      </w:r>
    </w:p>
    <w:p>
      <w:r>
        <w:rPr>
          <w:color w:val="1F2937"/>
        </w:rPr>
        <w:t>被動月收合計（保守）：</w:t>
      </w:r>
      <w:r>
        <w:rPr>
          <w:b/>
          <w:color w:val="10B981"/>
        </w:rPr>
        <w:t>152,898 TWD</w:t>
      </w:r>
    </w:p>
    <w:p>
      <w:r>
        <w:rPr>
          <w:color w:val="1F2937"/>
        </w:rPr>
        <w:t>被動收入覆蓋率：</w:t>
      </w:r>
      <w:r>
        <w:rPr>
          <w:b/>
          <w:color w:val="10B981"/>
        </w:rPr>
        <w:t>107.7%</w:t>
      </w:r>
    </w:p>
    <w:p>
      <w:pPr>
        <w:pStyle w:val="Heading2"/>
      </w:pPr>
      <w:r>
        <w:rPr>
          <w:color w:val="1B365D"/>
        </w:rPr>
        <w:t>月度支出</w:t>
      </w:r>
    </w:p>
    <w:p>
      <w:r>
        <w:rPr>
          <w:color w:val="1F2937"/>
        </w:rPr>
        <w:t>生活常規支出（snapshot canonical）：</w:t>
      </w:r>
      <w:r>
        <w:rPr>
          <w:b/>
        </w:rPr>
        <w:t>141,958</w:t>
      </w:r>
      <w:r>
        <w:rPr>
          <w:color w:val="6B7280"/>
        </w:rPr>
        <w:t xml:space="preserve"> TWD/月</w:t>
      </w:r>
    </w:p>
    <w:p>
      <w:r>
        <w:rPr>
          <w:color w:val="1F2937"/>
        </w:rPr>
        <w:t>MB 近30天明細支出：</w:t>
      </w:r>
      <w:r>
        <w:rPr>
          <w:b/>
        </w:rPr>
        <w:t>222,910</w:t>
      </w:r>
      <w:r>
        <w:rPr>
          <w:color w:val="6B7280"/>
        </w:rPr>
        <w:t xml:space="preserve"> TWD/月（不含互轉/貸款/投資）</w:t>
      </w:r>
    </w:p>
    <w:p>
      <w:r>
        <w:rPr>
          <w:color w:val="1F2937"/>
        </w:rPr>
        <w:t>管理費（洲際W）：</w:t>
      </w:r>
      <w:r>
        <w:rPr>
          <w:b/>
        </w:rPr>
        <w:t>2,100</w:t>
      </w:r>
      <w:r>
        <w:rPr>
          <w:color w:val="6B7280"/>
        </w:rPr>
        <w:t xml:space="preserve"> TWD/月（已從房租扣除）</w:t>
      </w:r>
    </w:p>
    <w:p>
      <w:pPr>
        <w:pStyle w:val="Heading2"/>
      </w:pPr>
      <w:r>
        <w:rPr>
          <w:color w:val="1B365D"/>
        </w:rPr>
        <w:t>資產變化（30天）</w:t>
      </w:r>
    </w:p>
    <w:p>
      <w:r>
        <w:rPr>
          <w:color w:val="6B7280"/>
        </w:rPr>
        <w:t>比較期間：2026-06-20 → 2026-07-19（共 30 天）</w:t>
      </w:r>
    </w:p>
    <w:p>
      <w:r>
        <w:rPr>
          <w:color w:val="1F2937"/>
        </w:rPr>
        <w:t>30天總資產變化：</w:t>
      </w:r>
      <w:r>
        <w:rPr>
          <w:b/>
          <w:color w:val="10B981"/>
        </w:rPr>
        <w:t>+779,999（+1.56%）</w:t>
      </w:r>
    </w:p>
    <w:p>
      <w:pPr>
        <w:pStyle w:val="Heading3"/>
      </w:pPr>
      <w:r>
        <w:rPr>
          <w:color w:val="1B365D"/>
        </w:rPr>
        <w:t>週別摘要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週期</w:t>
            </w:r>
          </w:p>
        </w:tc>
        <w:tc>
          <w:tcPr>
            <w:tcW w:type="dxa" w:w="216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期間總資產</w:t>
            </w:r>
          </w:p>
        </w:tc>
        <w:tc>
          <w:tcPr>
            <w:tcW w:type="dxa" w:w="216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週增減</w:t>
            </w:r>
          </w:p>
        </w:tc>
        <w:tc>
          <w:tcPr>
            <w:tcW w:type="dxa" w:w="216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百分比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第1週 (2026-06-20~2026-06-26)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50,261,966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/>
                <w:color w:val="10B981"/>
                <w:sz w:val="20"/>
              </w:rPr>
              <w:t>+352,035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/>
                <w:color w:val="10B981"/>
                <w:sz w:val="20"/>
              </w:rPr>
              <w:t>+0.71%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第2週 (2026-06-27~2026-07-03)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50,331,802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/>
                <w:color w:val="10B981"/>
                <w:sz w:val="20"/>
              </w:rPr>
              <w:t>+199,642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/>
                <w:color w:val="10B981"/>
                <w:sz w:val="20"/>
              </w:rPr>
              <w:t>+0.40%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第3週 (2026-07-04~2026-07-10)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50,801,037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/>
                <w:color w:val="10B981"/>
                <w:sz w:val="20"/>
              </w:rPr>
              <w:t>+454,385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/>
                <w:color w:val="10B981"/>
                <w:sz w:val="20"/>
              </w:rPr>
              <w:t>+0.90%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第4週 (2026-07-11~2026-07-19)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50,689,930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/>
                <w:color w:val="EF4444"/>
                <w:sz w:val="20"/>
              </w:rPr>
              <w:t>-375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/>
                <w:color w:val="EF4444"/>
                <w:sz w:val="20"/>
              </w:rPr>
              <w:t>-0.00%</w:t>
            </w:r>
          </w:p>
        </w:tc>
      </w:tr>
    </w:tbl>
    <w:p>
      <w:pPr>
        <w:pStyle w:val="Heading3"/>
      </w:pPr>
      <w:r>
        <w:rPr>
          <w:color w:val="1B365D"/>
        </w:rPr>
        <w:t>近7日資產變化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16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總資產</w:t>
            </w:r>
          </w:p>
        </w:tc>
        <w:tc>
          <w:tcPr>
            <w:tcW w:type="dxa" w:w="216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日增減</w:t>
            </w:r>
          </w:p>
        </w:tc>
        <w:tc>
          <w:tcPr>
            <w:tcW w:type="dxa" w:w="216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百分比</w:t>
            </w:r>
          </w:p>
        </w:tc>
      </w:tr>
      <w:tr>
        <w:tc>
          <w:tcPr>
            <w:tcW w:type="dxa" w:w="2160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2026-07-14</w:t>
            </w:r>
          </w:p>
        </w:tc>
        <w:tc>
          <w:tcPr>
            <w:tcW w:type="dxa" w:w="2160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50,470,430</w:t>
            </w:r>
          </w:p>
        </w:tc>
        <w:tc>
          <w:tcPr>
            <w:tcW w:type="dxa" w:w="2160"/>
            <w:shd w:fill="FAFBFC"/>
          </w:tcPr>
          <w:p>
            <w:pPr>
              <w:jc w:val="right"/>
            </w:pPr>
            <w:r/>
            <w:r>
              <w:rPr>
                <w:b/>
                <w:color w:val="EF4444"/>
                <w:sz w:val="20"/>
              </w:rPr>
              <w:t>-121,456</w:t>
            </w:r>
          </w:p>
        </w:tc>
        <w:tc>
          <w:tcPr>
            <w:tcW w:type="dxa" w:w="2160"/>
            <w:shd w:fill="FAFBFC"/>
          </w:tcPr>
          <w:p>
            <w:pPr>
              <w:jc w:val="right"/>
            </w:pPr>
            <w:r/>
            <w:r>
              <w:rPr>
                <w:b/>
                <w:color w:val="EF4444"/>
                <w:sz w:val="20"/>
              </w:rPr>
              <w:t>-0.24%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2026-07-15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50,537,499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/>
                <w:color w:val="10B981"/>
                <w:sz w:val="20"/>
              </w:rPr>
              <w:t>+67,069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/>
                <w:color w:val="10B981"/>
                <w:sz w:val="20"/>
              </w:rPr>
              <w:t>+0.13%</w:t>
            </w:r>
          </w:p>
        </w:tc>
      </w:tr>
      <w:tr>
        <w:tc>
          <w:tcPr>
            <w:tcW w:type="dxa" w:w="2160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2026-07-16</w:t>
            </w:r>
          </w:p>
        </w:tc>
        <w:tc>
          <w:tcPr>
            <w:tcW w:type="dxa" w:w="2160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50,653,262</w:t>
            </w:r>
          </w:p>
        </w:tc>
        <w:tc>
          <w:tcPr>
            <w:tcW w:type="dxa" w:w="2160"/>
            <w:shd w:fill="FAFBFC"/>
          </w:tcPr>
          <w:p>
            <w:pPr>
              <w:jc w:val="right"/>
            </w:pPr>
            <w:r/>
            <w:r>
              <w:rPr>
                <w:b/>
                <w:color w:val="10B981"/>
                <w:sz w:val="20"/>
              </w:rPr>
              <w:t>+115,763</w:t>
            </w:r>
          </w:p>
        </w:tc>
        <w:tc>
          <w:tcPr>
            <w:tcW w:type="dxa" w:w="2160"/>
            <w:shd w:fill="FAFBFC"/>
          </w:tcPr>
          <w:p>
            <w:pPr>
              <w:jc w:val="right"/>
            </w:pPr>
            <w:r/>
            <w:r>
              <w:rPr>
                <w:b/>
                <w:color w:val="10B981"/>
                <w:sz w:val="20"/>
              </w:rPr>
              <w:t>+0.23%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2026-07-17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50,453,586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/>
                <w:color w:val="EF4444"/>
                <w:sz w:val="20"/>
              </w:rPr>
              <w:t>-199,676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/>
                <w:color w:val="EF4444"/>
                <w:sz w:val="20"/>
              </w:rPr>
              <w:t>-0.39%</w:t>
            </w:r>
          </w:p>
        </w:tc>
      </w:tr>
      <w:tr>
        <w:tc>
          <w:tcPr>
            <w:tcW w:type="dxa" w:w="2160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2026-07-18</w:t>
            </w:r>
          </w:p>
        </w:tc>
        <w:tc>
          <w:tcPr>
            <w:tcW w:type="dxa" w:w="2160"/>
            <w:shd w:fill="FAFBFC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50,689,930</w:t>
            </w:r>
          </w:p>
        </w:tc>
        <w:tc>
          <w:tcPr>
            <w:tcW w:type="dxa" w:w="2160"/>
            <w:shd w:fill="FAFBFC"/>
          </w:tcPr>
          <w:p>
            <w:pPr>
              <w:jc w:val="right"/>
            </w:pPr>
            <w:r/>
            <w:r>
              <w:rPr>
                <w:b/>
                <w:color w:val="10B981"/>
                <w:sz w:val="20"/>
              </w:rPr>
              <w:t>+236,344</w:t>
            </w:r>
          </w:p>
        </w:tc>
        <w:tc>
          <w:tcPr>
            <w:tcW w:type="dxa" w:w="2160"/>
            <w:shd w:fill="FAFBFC"/>
          </w:tcPr>
          <w:p>
            <w:pPr>
              <w:jc w:val="right"/>
            </w:pPr>
            <w:r/>
            <w:r>
              <w:rPr>
                <w:b/>
                <w:color w:val="10B981"/>
                <w:sz w:val="20"/>
              </w:rPr>
              <w:t>+0.47%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2026-07-19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 w:val="0"/>
                <w:color w:val="1F2937"/>
                <w:sz w:val="20"/>
              </w:rPr>
              <w:t>50,689,930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 w:val="0"/>
                <w:color w:val="10B981"/>
                <w:sz w:val="20"/>
              </w:rPr>
              <w:t>+0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 w:val="0"/>
                <w:color w:val="10B981"/>
                <w:sz w:val="20"/>
              </w:rPr>
              <w:t>+0.00%</w:t>
            </w:r>
          </w:p>
        </w:tc>
      </w:tr>
    </w:tbl>
    <w:p>
      <w:pPr>
        <w:pStyle w:val="Heading2"/>
      </w:pPr>
      <w:r>
        <w:rPr>
          <w:color w:val="1B365D"/>
        </w:rPr>
        <w:t>資產配置目標</w:t>
      </w:r>
    </w:p>
    <w:p>
      <w:r>
        <w:rPr>
          <w:color w:val="6B7280"/>
        </w:rPr>
        <w:t>SAA 目標：成長 30% / 防禦 60% / 安全網 10%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分類</w:t>
            </w:r>
          </w:p>
        </w:tc>
        <w:tc>
          <w:tcPr>
            <w:tcW w:type="dxa" w:w="216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實際</w:t>
            </w:r>
          </w:p>
        </w:tc>
        <w:tc>
          <w:tcPr>
            <w:tcW w:type="dxa" w:w="216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目標</w:t>
            </w:r>
          </w:p>
        </w:tc>
        <w:tc>
          <w:tcPr>
            <w:tcW w:type="dxa" w:w="2160"/>
            <w:shd w:fill="1B365D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差距</w:t>
            </w:r>
          </w:p>
        </w:tc>
      </w:tr>
      <w:tr>
        <w:tc>
          <w:tcPr>
            <w:tcW w:type="dxa" w:w="2160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台股市值型成長</w:t>
            </w:r>
          </w:p>
        </w:tc>
        <w:tc>
          <w:tcPr>
            <w:tcW w:type="dxa" w:w="2160"/>
            <w:shd w:fill="FAFBFC"/>
          </w:tcPr>
          <w:p>
            <w:pPr>
              <w:jc w:val="center"/>
            </w:pPr>
            <w:r/>
            <w:r>
              <w:rPr>
                <w:b w:val="0"/>
                <w:color w:val="1F2937"/>
                <w:sz w:val="20"/>
              </w:rPr>
              <w:t>7.2%</w:t>
            </w:r>
          </w:p>
        </w:tc>
        <w:tc>
          <w:tcPr>
            <w:tcW w:type="dxa" w:w="2160"/>
            <w:shd w:fill="FAFBFC"/>
          </w:tcPr>
          <w:p>
            <w:pPr>
              <w:jc w:val="center"/>
            </w:pPr>
            <w:r/>
            <w:r>
              <w:rPr>
                <w:b w:val="0"/>
                <w:color w:val="1F2937"/>
                <w:sz w:val="20"/>
              </w:rPr>
              <w:t>0.0%</w:t>
            </w:r>
          </w:p>
        </w:tc>
        <w:tc>
          <w:tcPr>
            <w:tcW w:type="dxa" w:w="2160"/>
            <w:shd w:fill="FAFBFC"/>
          </w:tcPr>
          <w:p>
            <w:pPr>
              <w:jc w:val="center"/>
            </w:pPr>
            <w:r/>
            <w:r>
              <w:rPr>
                <w:b/>
                <w:color w:val="EF4444"/>
                <w:sz w:val="20"/>
              </w:rPr>
              <w:t>-32.8pp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美股市值型成長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1F2937"/>
                <w:sz w:val="20"/>
              </w:rPr>
              <w:t>46.1%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1F2937"/>
                <w:sz w:val="20"/>
              </w:rPr>
              <w:t>0.0%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color w:val="10B981"/>
                <w:sz w:val="20"/>
              </w:rPr>
              <w:t>+16.1pp</w:t>
            </w:r>
          </w:p>
        </w:tc>
      </w:tr>
      <w:tr>
        <w:tc>
          <w:tcPr>
            <w:tcW w:type="dxa" w:w="2160"/>
            <w:shd w:fill="FAFBFC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防守型配息</w:t>
            </w:r>
          </w:p>
        </w:tc>
        <w:tc>
          <w:tcPr>
            <w:tcW w:type="dxa" w:w="2160"/>
            <w:shd w:fill="FAFBFC"/>
          </w:tcPr>
          <w:p>
            <w:pPr>
              <w:jc w:val="center"/>
            </w:pPr>
            <w:r/>
            <w:r>
              <w:rPr>
                <w:b w:val="0"/>
                <w:color w:val="1F2937"/>
                <w:sz w:val="20"/>
              </w:rPr>
              <w:t>18.5%</w:t>
            </w:r>
          </w:p>
        </w:tc>
        <w:tc>
          <w:tcPr>
            <w:tcW w:type="dxa" w:w="2160"/>
            <w:shd w:fill="FAFBFC"/>
          </w:tcPr>
          <w:p>
            <w:pPr>
              <w:jc w:val="center"/>
            </w:pPr>
            <w:r/>
            <w:r>
              <w:rPr>
                <w:b w:val="0"/>
                <w:color w:val="1F2937"/>
                <w:sz w:val="20"/>
              </w:rPr>
              <w:t>0.0%</w:t>
            </w:r>
          </w:p>
        </w:tc>
        <w:tc>
          <w:tcPr>
            <w:tcW w:type="dxa" w:w="2160"/>
            <w:shd w:fill="FAFBFC"/>
          </w:tcPr>
          <w:p>
            <w:pPr>
              <w:jc w:val="center"/>
            </w:pPr>
            <w:r/>
            <w:r>
              <w:rPr>
                <w:b/>
                <w:color w:val="EF4444"/>
                <w:sz w:val="20"/>
              </w:rPr>
              <w:t>-11.5pp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b w:val="0"/>
                <w:color w:val="1F2937"/>
                <w:sz w:val="20"/>
              </w:rPr>
              <w:t>債券及安全現金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1F2937"/>
                <w:sz w:val="20"/>
              </w:rPr>
              <w:t>33.8%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1F2937"/>
                <w:sz w:val="20"/>
              </w:rPr>
              <w:t>0.0%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color w:val="10B981"/>
                <w:sz w:val="20"/>
              </w:rPr>
              <w:t>+8.8pp</w:t>
            </w:r>
          </w:p>
        </w:tc>
      </w:tr>
    </w:tbl>
    <w:p>
      <w:pPr>
        <w:pStyle w:val="Heading2"/>
      </w:pPr>
      <w:r>
        <w:rPr>
          <w:color w:val="1B365D"/>
        </w:rPr>
        <w:t>在家巴菲特分析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4A90E2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資產結構</w:t>
            </w:r>
          </w:p>
        </w:tc>
        <w:tc>
          <w:tcPr>
            <w:tcW w:type="dxa" w:w="2160"/>
            <w:shd w:fill="4A90E2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負債比率</w:t>
            </w:r>
          </w:p>
        </w:tc>
        <w:tc>
          <w:tcPr>
            <w:tcW w:type="dxa" w:w="2160"/>
            <w:shd w:fill="4A90E2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淨資產</w:t>
            </w:r>
          </w:p>
        </w:tc>
        <w:tc>
          <w:tcPr>
            <w:tcW w:type="dxa" w:w="2160"/>
            <w:shd w:fill="4A90E2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配息覆蓋率</w:t>
            </w:r>
          </w:p>
        </w:tc>
      </w:tr>
      <w:tr>
        <w:tc>
          <w:tcPr>
            <w:tcW w:type="dxa" w:w="2160"/>
            <w:shd w:fill="F0F4F8"/>
          </w:tcPr>
          <w:p>
            <w:pPr>
              <w:jc w:val="center"/>
            </w:pPr>
            <w:r/>
            <w:r>
              <w:rPr>
                <w:b w:val="0"/>
                <w:color w:val="1F2937"/>
                <w:sz w:val="18"/>
              </w:rPr>
              <w:t>證券 4.3% / 保單 19.5% / 基金 1.5%</w:t>
            </w:r>
          </w:p>
        </w:tc>
        <w:tc>
          <w:tcPr>
            <w:tcW w:type="dxa" w:w="2160"/>
            <w:shd w:fill="F0F4F8"/>
          </w:tcPr>
          <w:p>
            <w:pPr>
              <w:jc w:val="center"/>
            </w:pPr>
            <w:r/>
            <w:r>
              <w:rPr>
                <w:b/>
                <w:color w:val="1F2937"/>
                <w:sz w:val="20"/>
              </w:rPr>
              <w:t>43.4%</w:t>
            </w:r>
          </w:p>
        </w:tc>
        <w:tc>
          <w:tcPr>
            <w:tcW w:type="dxa" w:w="2160"/>
            <w:shd w:fill="F0F4F8"/>
          </w:tcPr>
          <w:p>
            <w:pPr>
              <w:jc w:val="right"/>
            </w:pPr>
            <w:r/>
            <w:r>
              <w:rPr>
                <w:b/>
                <w:color w:val="1F2937"/>
                <w:sz w:val="20"/>
              </w:rPr>
              <w:t>28,689,930</w:t>
            </w:r>
          </w:p>
        </w:tc>
        <w:tc>
          <w:tcPr>
            <w:tcW w:type="dxa" w:w="2160"/>
            <w:shd w:fill="F0F4F8"/>
          </w:tcPr>
          <w:p>
            <w:pPr>
              <w:jc w:val="center"/>
            </w:pPr>
            <w:r/>
            <w:r>
              <w:rPr>
                <w:b/>
                <w:color w:val="1F2937"/>
                <w:sz w:val="20"/>
              </w:rPr>
              <w:t>107.7%</w:t>
            </w:r>
          </w:p>
        </w:tc>
      </w:tr>
    </w:tbl>
    <w:p>
      <w:r>
        <w:rPr>
          <w:b/>
          <w:color w:val="EF4444"/>
        </w:rPr>
        <w:t>觀察點：</w:t>
      </w:r>
    </w:p>
    <w:p>
      <w:pPr>
        <w:pStyle w:val="ListBullet"/>
      </w:pPr>
      <w:r>
        <w:rPr>
          <w:color w:val="1F2937"/>
        </w:rPr>
        <w:t>• 保單質押借款 400 萬元待 8/2 國泰轉貸清償</w:t>
      </w:r>
    </w:p>
    <w:p>
      <w:pPr>
        <w:pStyle w:val="ListBullet"/>
      </w:pPr>
      <w:r>
        <w:rPr>
          <w:color w:val="1F2937"/>
        </w:rPr>
        <w:t>• 國泰轉貸金額待銀行確認，預計 8/2 完成</w:t>
      </w:r>
    </w:p>
    <w:p>
      <w:r>
        <w:rPr>
          <w:b/>
          <w:color w:val="10B981"/>
        </w:rPr>
        <w:t>建議：</w:t>
      </w:r>
    </w:p>
    <w:p>
      <w:pPr>
        <w:pStyle w:val="ListBullet"/>
      </w:pPr>
      <w:r>
        <w:rPr>
          <w:color w:val="1F2937"/>
        </w:rPr>
        <w:t>• 等待 8/2 國泰轉貸完成，清償 400 萬保單質押（金額以銀行核定為準）</w:t>
      </w:r>
    </w:p>
    <w:p>
      <w:pPr>
        <w:pStyle w:val="ListBullet"/>
      </w:pPr>
      <w:r>
        <w:rPr>
          <w:color w:val="1F2937"/>
        </w:rPr>
        <w:t>• 0050 權重集中台積電 ~57%，可考慮補碼分散</w:t>
      </w:r>
    </w:p>
    <w:p>
      <w:pPr>
        <w:pStyle w:val="ListBullet"/>
      </w:pPr>
      <w:r>
        <w:rPr>
          <w:color w:val="1F2937"/>
        </w:rPr>
        <w:t>• 保單 A+B 管理費 1.5% 偏高，定期複檢配息收益率</w:t>
      </w:r>
    </w:p>
    <w:p>
      <w:pPr>
        <w:pStyle w:val="Heading2"/>
      </w:pPr>
      <w:r>
        <w:rPr>
          <w:color w:val="1B365D"/>
        </w:rPr>
        <w:t>監控警示</w:t>
      </w:r>
    </w:p>
    <w:p>
      <w:r>
        <w:rPr>
          <w:color w:val="6B7280"/>
        </w:rPr>
        <w:t>單日資產下跌 ≥ 100,000 / 2.0%；證券下跌 ≥ 50,000 / ±3.0%</w:t>
      </w:r>
    </w:p>
    <w:p>
      <w:r>
        <w:rPr>
          <w:color w:val="1F2937"/>
        </w:rPr>
        <w:t>證券市值：</w:t>
      </w:r>
      <w:r>
        <w:rPr>
          <w:b/>
          <w:color w:val="10B981"/>
        </w:rPr>
        <w:t>+0</w:t>
      </w:r>
      <w:r>
        <w:rPr>
          <w:color w:val="1F2937"/>
        </w:rPr>
        <w:t>（+0.00%）</w:t>
      </w:r>
      <w:r>
        <w:rPr>
          <w:b/>
          <w:color w:val="10B981"/>
        </w:rPr>
        <w:t xml:space="preserve"> 正常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