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1B2A4A"/>
          <w:sz w:val="56"/>
          <w:szCs w:val="56"/>
        </w:rPr>
        <w:t xml:space="preserve">SPECTRA PLATFORM</w:t>
      </w:r>
    </w:p>
    <w:p>
      <w:pPr>
        <w:spacing w:after="80"/>
        <w:jc w:val="center"/>
      </w:pPr>
      <w:r>
        <w:rPr>
          <w:rFonts w:ascii="Arial" w:cs="Arial" w:eastAsia="Arial" w:hAnsi="Arial"/>
          <w:color w:val="2E75B6"/>
          <w:sz w:val="32"/>
          <w:szCs w:val="32"/>
        </w:rPr>
        <w:t xml:space="preserve">Technical Debt Audit &amp; Testing Strategy</w:t>
      </w:r>
    </w:p>
    <w:p>
      <w:pPr>
        <w:spacing w:after="80"/>
      </w:pPr>
    </w:p>
    <w:p>
      <w:pPr>
        <w:spacing w:after="60"/>
        <w:jc w:val="center"/>
      </w:pPr>
      <w:r>
        <w:rPr>
          <w:rFonts w:ascii="Arial" w:cs="Arial" w:eastAsia="Arial" w:hAnsi="Arial"/>
          <w:color w:val="666666"/>
          <w:sz w:val="24"/>
          <w:szCs w:val="24"/>
        </w:rPr>
        <w:t xml:space="preserve">Comprehensive Codebase Health Assessment</w:t>
      </w:r>
    </w:p>
    <w:p>
      <w:pPr>
        <w:spacing w:after="400"/>
        <w:jc w:val="center"/>
      </w:pPr>
      <w:r>
        <w:rPr>
          <w:rFonts w:ascii="Arial" w:cs="Arial" w:eastAsia="Arial" w:hAnsi="Arial"/>
          <w:color w:val="999999"/>
          <w:sz w:val="22"/>
          <w:szCs w:val="22"/>
        </w:rPr>
        <w:t xml:space="preserve">March 23, 2026</w:t>
      </w:r>
    </w:p>
    <w:p>
      <w:pPr>
        <w:spacing w:after="80"/>
      </w:pPr>
    </w:p>
    <w:p>
      <w:pPr>
        <w:spacing w:after="80"/>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none" w:sz="0"/>
              <w:left w:val="none" w:sz="0"/>
              <w:bottom w:val="none" w:sz="0"/>
              <w:right w:val="none" w:sz="0"/>
            </w:tcBorders>
            <w:shd w:fill="FDF2F2" w:val="clear"/>
            <w:tcMar>
              <w:top w:type="dxa" w:w="120"/>
              <w:left w:type="dxa" w:w="200"/>
              <w:bottom w:type="dxa" w:w="120"/>
              <w:right w:type="dxa" w:w="200"/>
            </w:tcMar>
          </w:tcPr>
          <w:p>
            <w:pPr>
              <w:jc w:val="center"/>
            </w:pPr>
            <w:r>
              <w:rPr>
                <w:rFonts w:ascii="Arial" w:cs="Arial" w:eastAsia="Arial" w:hAnsi="Arial"/>
                <w:b/>
                <w:bCs/>
                <w:color w:val="C0392B"/>
                <w:sz w:val="48"/>
                <w:szCs w:val="48"/>
              </w:rPr>
              <w:t xml:space="preserve">25</w:t>
            </w:r>
          </w:p>
          <w:p>
            <w:pPr>
              <w:jc w:val="center"/>
            </w:pPr>
            <w:r>
              <w:rPr>
                <w:rFonts w:ascii="Arial" w:cs="Arial" w:eastAsia="Arial" w:hAnsi="Arial"/>
                <w:color w:val="666666"/>
                <w:sz w:val="18"/>
                <w:szCs w:val="18"/>
              </w:rPr>
              <w:t xml:space="preserve">Debt Items Found</w:t>
            </w:r>
          </w:p>
        </w:tc>
        <w:tc>
          <w:tcPr>
            <w:tcW w:type="dxa" w:w="3000"/>
            <w:tcBorders>
              <w:top w:val="none" w:sz="0"/>
              <w:left w:val="none" w:sz="0"/>
              <w:bottom w:val="none" w:sz="0"/>
              <w:right w:val="none" w:sz="0"/>
            </w:tcBorders>
            <w:shd w:fill="FDF7E2" w:val="clear"/>
            <w:tcMar>
              <w:top w:type="dxa" w:w="120"/>
              <w:left w:type="dxa" w:w="200"/>
              <w:bottom w:type="dxa" w:w="120"/>
              <w:right w:type="dxa" w:w="200"/>
            </w:tcMar>
          </w:tcPr>
          <w:p>
            <w:pPr>
              <w:jc w:val="center"/>
            </w:pPr>
            <w:r>
              <w:rPr>
                <w:rFonts w:ascii="Arial" w:cs="Arial" w:eastAsia="Arial" w:hAnsi="Arial"/>
                <w:b/>
                <w:bCs/>
                <w:color w:val="E67E22"/>
                <w:sz w:val="48"/>
                <w:szCs w:val="48"/>
              </w:rPr>
              <w:t xml:space="preserve">4</w:t>
            </w:r>
          </w:p>
          <w:p>
            <w:pPr>
              <w:jc w:val="center"/>
            </w:pPr>
            <w:r>
              <w:rPr>
                <w:rFonts w:ascii="Arial" w:cs="Arial" w:eastAsia="Arial" w:hAnsi="Arial"/>
                <w:color w:val="666666"/>
                <w:sz w:val="18"/>
                <w:szCs w:val="18"/>
              </w:rPr>
              <w:t xml:space="preserve">Critical Security</w:t>
            </w:r>
          </w:p>
        </w:tc>
      </w:tr>
      <w:tr>
        <w:tc>
          <w:tcPr>
            <w:tcW w:type="dxa" w:w="3000"/>
            <w:tcBorders>
              <w:top w:val="none" w:sz="0"/>
              <w:left w:val="none" w:sz="0"/>
              <w:bottom w:val="none" w:sz="0"/>
              <w:right w:val="none" w:sz="0"/>
            </w:tcBorders>
            <w:shd w:fill="E8F5E9" w:val="clear"/>
            <w:tcMar>
              <w:top w:type="dxa" w:w="120"/>
              <w:left w:type="dxa" w:w="200"/>
              <w:bottom w:type="dxa" w:w="120"/>
              <w:right w:type="dxa" w:w="200"/>
            </w:tcMar>
          </w:tcPr>
          <w:p>
            <w:pPr>
              <w:jc w:val="center"/>
            </w:pPr>
            <w:r>
              <w:rPr>
                <w:rFonts w:ascii="Arial" w:cs="Arial" w:eastAsia="Arial" w:hAnsi="Arial"/>
                <w:b/>
                <w:bCs/>
                <w:color w:val="27AE60"/>
                <w:sz w:val="48"/>
                <w:szCs w:val="48"/>
              </w:rPr>
              <w:t xml:space="preserve">~0%</w:t>
            </w:r>
          </w:p>
          <w:p>
            <w:pPr>
              <w:jc w:val="center"/>
            </w:pPr>
            <w:r>
              <w:rPr>
                <w:rFonts w:ascii="Arial" w:cs="Arial" w:eastAsia="Arial" w:hAnsi="Arial"/>
                <w:color w:val="666666"/>
                <w:sz w:val="18"/>
                <w:szCs w:val="18"/>
              </w:rPr>
              <w:t xml:space="preserve">Test Coverage</w:t>
            </w:r>
          </w:p>
        </w:tc>
        <w:tc>
          <w:tcPr>
            <w:tcW w:type="dxa" w:w="3000"/>
            <w:tcBorders>
              <w:top w:val="none" w:sz="0"/>
              <w:left w:val="none" w:sz="0"/>
              <w:bottom w:val="none" w:sz="0"/>
              <w:right w:val="none" w:sz="0"/>
            </w:tcBorders>
            <w:shd w:fill="E3F2FD" w:val="clear"/>
            <w:tcMar>
              <w:top w:type="dxa" w:w="120"/>
              <w:left w:type="dxa" w:w="200"/>
              <w:bottom w:type="dxa" w:w="120"/>
              <w:right w:type="dxa" w:w="200"/>
            </w:tcMar>
          </w:tcPr>
          <w:p>
            <w:pPr>
              <w:jc w:val="center"/>
            </w:pPr>
            <w:r>
              <w:rPr>
                <w:rFonts w:ascii="Arial" w:cs="Arial" w:eastAsia="Arial" w:hAnsi="Arial"/>
                <w:b/>
                <w:bCs/>
                <w:color w:val="3498DB"/>
                <w:sz w:val="48"/>
                <w:szCs w:val="48"/>
              </w:rPr>
              <w:t xml:space="preserve">3</w:t>
            </w:r>
          </w:p>
          <w:p>
            <w:pPr>
              <w:jc w:val="center"/>
            </w:pPr>
            <w:r>
              <w:rPr>
                <w:rFonts w:ascii="Arial" w:cs="Arial" w:eastAsia="Arial" w:hAnsi="Arial"/>
                <w:color w:val="666666"/>
                <w:sz w:val="18"/>
                <w:szCs w:val="18"/>
              </w:rPr>
              <w:t xml:space="preserve">Remediation Phases</w:t>
            </w:r>
          </w:p>
        </w:tc>
      </w:tr>
    </w:tbl>
    <w:p>
      <w:r>
        <w:br w:type="page"/>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1. Executive Summary</w:t>
      </w:r>
    </w:p>
    <w:p>
      <w:pPr>
        <w:spacing w:after="120" w:line="276"/>
      </w:pPr>
      <w:r>
        <w:rPr>
          <w:rFonts w:ascii="Arial" w:cs="Arial" w:eastAsia="Arial" w:hAnsi="Arial"/>
          <w:sz w:val="22"/>
          <w:szCs w:val="22"/>
        </w:rPr>
        <w:t xml:space="preserve">This report presents a comprehensive technical debt audit of the Spectra platform, covering the Python CLI scanner, Express.js backend API, and Next.js frontend application. The audit identified 25 distinct debt items across security, architecture, code quality, testing, dependency management, and infrastructure concerns.</w:t>
      </w:r>
    </w:p>
    <w:p>
      <w:pPr>
        <w:spacing w:after="120" w:line="276"/>
      </w:pPr>
      <w:r>
        <w:rPr>
          <w:rFonts w:ascii="Arial" w:cs="Arial" w:eastAsia="Arial" w:hAnsi="Arial"/>
          <w:sz w:val="22"/>
          <w:szCs w:val="22"/>
        </w:rPr>
        <w:t xml:space="preserve">The most urgent finding is a near-total absence of automated tests: the Python scanner has a single 62-line test file, the backend has zero test files, and the frontend has zero test files. This, combined with four critical security vulnerabilities (command injection, disabled type safety, insecure JWT defaults, and timing-attack-vulnerable API key comparison), represents significant risk to production reliability and data security.</w:t>
      </w:r>
    </w:p>
    <w:p>
      <w:pPr>
        <w:spacing w:after="120" w:line="276"/>
      </w:pPr>
      <w:r>
        <w:rPr>
          <w:rFonts w:ascii="Arial" w:cs="Arial" w:eastAsia="Arial" w:hAnsi="Arial"/>
          <w:sz w:val="22"/>
          <w:szCs w:val="22"/>
        </w:rPr>
        <w:t xml:space="preserve">The remediation plan is organized into three phases spanning approximately 12 weeks, designed to be executed alongside ongoing feature work. Phase 1 (weeks 1–4) addresses all critical security issues and establishes a testing foundation. Phase 2 (weeks 5–8) tackles architectural debt and performance issues. Phase 3 (weeks 9–12) focuses on code quality, documentation, and monitoring.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2340"/>
      </w:tblGrid>
      <w:tr>
        <w:tc>
          <w:tcPr>
            <w:tcW w:type="dxa" w:w="2340"/>
            <w:tcBorders>
              <w:top w:val="single" w:color="B0C4DE" w:sz="1"/>
              <w:left w:val="single" w:color="B0C4DE" w:sz="1"/>
              <w:bottom w:val="single" w:color="B0C4DE" w:sz="1"/>
              <w:right w:val="single" w:color="B0C4DE"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Severity</w:t>
            </w:r>
          </w:p>
        </w:tc>
        <w:tc>
          <w:tcPr>
            <w:tcW w:type="dxa" w:w="1560"/>
            <w:tcBorders>
              <w:top w:val="single" w:color="B0C4DE" w:sz="1"/>
              <w:left w:val="single" w:color="B0C4DE" w:sz="1"/>
              <w:bottom w:val="single" w:color="B0C4DE" w:sz="1"/>
              <w:right w:val="single" w:color="B0C4DE"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Count</w:t>
            </w:r>
          </w:p>
        </w:tc>
        <w:tc>
          <w:tcPr>
            <w:tcW w:type="dxa" w:w="1560"/>
            <w:tcBorders>
              <w:top w:val="single" w:color="B0C4DE" w:sz="1"/>
              <w:left w:val="single" w:color="B0C4DE" w:sz="1"/>
              <w:bottom w:val="single" w:color="B0C4DE" w:sz="1"/>
              <w:right w:val="single" w:color="B0C4DE"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Security</w:t>
            </w:r>
          </w:p>
        </w:tc>
        <w:tc>
          <w:tcPr>
            <w:tcW w:type="dxa" w:w="1560"/>
            <w:tcBorders>
              <w:top w:val="single" w:color="B0C4DE" w:sz="1"/>
              <w:left w:val="single" w:color="B0C4DE" w:sz="1"/>
              <w:bottom w:val="single" w:color="B0C4DE" w:sz="1"/>
              <w:right w:val="single" w:color="B0C4DE"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Non-Security</w:t>
            </w:r>
          </w:p>
        </w:tc>
        <w:tc>
          <w:tcPr>
            <w:tcW w:type="dxa" w:w="2340"/>
            <w:tcBorders>
              <w:top w:val="single" w:color="B0C4DE" w:sz="1"/>
              <w:left w:val="single" w:color="B0C4DE" w:sz="1"/>
              <w:bottom w:val="single" w:color="B0C4DE" w:sz="1"/>
              <w:right w:val="single" w:color="B0C4DE"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Est. Total Effort</w:t>
            </w:r>
          </w:p>
        </w:tc>
      </w:tr>
      <w:tr>
        <w:tc>
          <w:tcPr>
            <w:tcW w:type="dxa" w:w="234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b/>
                <w:bCs/>
                <w:color w:val="C0392B"/>
                <w:sz w:val="20"/>
                <w:szCs w:val="20"/>
              </w:rPr>
              <w:t xml:space="preserve">CRITICAL</w:t>
            </w:r>
          </w:p>
        </w:tc>
        <w:tc>
          <w:tcPr>
            <w:tcW w:type="dxa" w:w="156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5</w:t>
            </w:r>
          </w:p>
        </w:tc>
        <w:tc>
          <w:tcPr>
            <w:tcW w:type="dxa" w:w="156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4</w:t>
            </w:r>
          </w:p>
        </w:tc>
        <w:tc>
          <w:tcPr>
            <w:tcW w:type="dxa" w:w="156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1</w:t>
            </w:r>
          </w:p>
        </w:tc>
        <w:tc>
          <w:tcPr>
            <w:tcW w:type="dxa" w:w="234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~3 weeks</w:t>
            </w:r>
          </w:p>
        </w:tc>
      </w:tr>
      <w:tr>
        <w:tc>
          <w:tcPr>
            <w:tcW w:type="dxa" w:w="234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b/>
                <w:bCs/>
                <w:color w:val="E67E22"/>
                <w:sz w:val="20"/>
                <w:szCs w:val="20"/>
              </w:rPr>
              <w:t xml:space="preserve">HIGH</w:t>
            </w:r>
          </w:p>
        </w:tc>
        <w:tc>
          <w:tcPr>
            <w:tcW w:type="dxa" w:w="15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10</w:t>
            </w:r>
          </w:p>
        </w:tc>
        <w:tc>
          <w:tcPr>
            <w:tcW w:type="dxa" w:w="15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3</w:t>
            </w:r>
          </w:p>
        </w:tc>
        <w:tc>
          <w:tcPr>
            <w:tcW w:type="dxa" w:w="15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7</w:t>
            </w:r>
          </w:p>
        </w:tc>
        <w:tc>
          <w:tcPr>
            <w:tcW w:type="dxa" w:w="234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~5 weeks</w:t>
            </w:r>
          </w:p>
        </w:tc>
      </w:tr>
      <w:tr>
        <w:tc>
          <w:tcPr>
            <w:tcW w:type="dxa" w:w="234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b/>
                <w:bCs/>
                <w:color w:val="F1C40F"/>
                <w:sz w:val="20"/>
                <w:szCs w:val="20"/>
              </w:rPr>
              <w:t xml:space="preserve">MEDIUM</w:t>
            </w:r>
          </w:p>
        </w:tc>
        <w:tc>
          <w:tcPr>
            <w:tcW w:type="dxa" w:w="156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8</w:t>
            </w:r>
          </w:p>
        </w:tc>
        <w:tc>
          <w:tcPr>
            <w:tcW w:type="dxa" w:w="156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0</w:t>
            </w:r>
          </w:p>
        </w:tc>
        <w:tc>
          <w:tcPr>
            <w:tcW w:type="dxa" w:w="156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8</w:t>
            </w:r>
          </w:p>
        </w:tc>
        <w:tc>
          <w:tcPr>
            <w:tcW w:type="dxa" w:w="234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~3 weeks</w:t>
            </w:r>
          </w:p>
        </w:tc>
      </w:tr>
      <w:tr>
        <w:tc>
          <w:tcPr>
            <w:tcW w:type="dxa" w:w="234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b/>
                <w:bCs/>
                <w:color w:val="27AE60"/>
                <w:sz w:val="20"/>
                <w:szCs w:val="20"/>
              </w:rPr>
              <w:t xml:space="preserve">LOW</w:t>
            </w:r>
          </w:p>
        </w:tc>
        <w:tc>
          <w:tcPr>
            <w:tcW w:type="dxa" w:w="15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2</w:t>
            </w:r>
          </w:p>
        </w:tc>
        <w:tc>
          <w:tcPr>
            <w:tcW w:type="dxa" w:w="15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0</w:t>
            </w:r>
          </w:p>
        </w:tc>
        <w:tc>
          <w:tcPr>
            <w:tcW w:type="dxa" w:w="15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2</w:t>
            </w:r>
          </w:p>
        </w:tc>
        <w:tc>
          <w:tcPr>
            <w:tcW w:type="dxa" w:w="234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~1 week</w:t>
            </w:r>
          </w:p>
        </w:tc>
      </w:tr>
    </w:tbl>
    <w:p>
      <w:r>
        <w:br w:type="page"/>
      </w:r>
    </w:p>
    <w:p>
      <w:pPr>
        <w:pStyle w:val="Heading1"/>
      </w:pPr>
      <w:r>
        <w:rPr>
          <w:rFonts w:ascii="Arial" w:cs="Arial" w:eastAsia="Arial" w:hAnsi="Arial"/>
        </w:rPr>
        <w:t xml:space="preserve">2. Prioritized Debt Inventory</w:t>
      </w:r>
    </w:p>
    <w:p>
      <w:pPr>
        <w:spacing w:after="120" w:line="276"/>
      </w:pPr>
      <w:r>
        <w:rPr>
          <w:rFonts w:ascii="Arial" w:cs="Arial" w:eastAsia="Arial" w:hAnsi="Arial"/>
          <w:sz w:val="22"/>
          <w:szCs w:val="22"/>
        </w:rPr>
        <w:t xml:space="preserve">Each item is scored using: Priority = (Impact + Risk) × (6 – Effort), where Impact and Risk are rated 1–5, and Effort is inverted so lower-effort fixes rank higher. Items are listed in descending priority order.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1200"/>
        <w:gridCol w:w="4360"/>
        <w:gridCol w:w="800"/>
        <w:gridCol w:w="1000"/>
      </w:tblGrid>
      <w:tr>
        <w:tc>
          <w:tcPr>
            <w:tcW w:type="dxa" w:w="800"/>
            <w:tcBorders>
              <w:top w:val="single" w:color="B0C4DE" w:sz="1"/>
              <w:left w:val="single" w:color="B0C4DE" w:sz="1"/>
              <w:bottom w:val="single" w:color="B0C4DE" w:sz="1"/>
              <w:right w:val="single" w:color="B0C4DE"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1200"/>
            <w:tcBorders>
              <w:top w:val="single" w:color="B0C4DE" w:sz="1"/>
              <w:left w:val="single" w:color="B0C4DE" w:sz="1"/>
              <w:bottom w:val="single" w:color="B0C4DE" w:sz="1"/>
              <w:right w:val="single" w:color="B0C4DE"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Severity</w:t>
            </w:r>
          </w:p>
        </w:tc>
        <w:tc>
          <w:tcPr>
            <w:tcW w:type="dxa" w:w="1200"/>
            <w:tcBorders>
              <w:top w:val="single" w:color="B0C4DE" w:sz="1"/>
              <w:left w:val="single" w:color="B0C4DE" w:sz="1"/>
              <w:bottom w:val="single" w:color="B0C4DE" w:sz="1"/>
              <w:right w:val="single" w:color="B0C4DE"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Category</w:t>
            </w:r>
          </w:p>
        </w:tc>
        <w:tc>
          <w:tcPr>
            <w:tcW w:type="dxa" w:w="4360"/>
            <w:tcBorders>
              <w:top w:val="single" w:color="B0C4DE" w:sz="1"/>
              <w:left w:val="single" w:color="B0C4DE" w:sz="1"/>
              <w:bottom w:val="single" w:color="B0C4DE" w:sz="1"/>
              <w:right w:val="single" w:color="B0C4DE"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Title</w:t>
            </w:r>
          </w:p>
        </w:tc>
        <w:tc>
          <w:tcPr>
            <w:tcW w:type="dxa" w:w="800"/>
            <w:tcBorders>
              <w:top w:val="single" w:color="B0C4DE" w:sz="1"/>
              <w:left w:val="single" w:color="B0C4DE" w:sz="1"/>
              <w:bottom w:val="single" w:color="B0C4DE" w:sz="1"/>
              <w:right w:val="single" w:color="B0C4DE"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Score</w:t>
            </w:r>
          </w:p>
        </w:tc>
        <w:tc>
          <w:tcPr>
            <w:tcW w:type="dxa" w:w="1000"/>
            <w:tcBorders>
              <w:top w:val="single" w:color="B0C4DE" w:sz="1"/>
              <w:left w:val="single" w:color="B0C4DE" w:sz="1"/>
              <w:bottom w:val="single" w:color="B0C4DE" w:sz="1"/>
              <w:right w:val="single" w:color="B0C4DE"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Phase</w:t>
            </w:r>
          </w:p>
        </w:tc>
      </w:tr>
      <w:tr>
        <w:tc>
          <w:tcPr>
            <w:tcW w:type="dxa" w:w="8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TD-03</w:t>
            </w:r>
          </w:p>
        </w:tc>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b/>
                <w:bCs/>
                <w:color w:val="C0392B"/>
                <w:sz w:val="20"/>
                <w:szCs w:val="20"/>
              </w:rPr>
              <w:t xml:space="preserve">CRITICAL</w:t>
            </w:r>
          </w:p>
        </w:tc>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Security</w:t>
            </w:r>
          </w:p>
        </w:tc>
        <w:tc>
          <w:tcPr>
            <w:tcW w:type="dxa" w:w="436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JWT secret insecure fallback in non-production</w:t>
            </w:r>
          </w:p>
        </w:tc>
        <w:tc>
          <w:tcPr>
            <w:tcW w:type="dxa" w:w="8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45</w:t>
            </w:r>
          </w:p>
        </w:tc>
        <w:tc>
          <w:tcPr>
            <w:tcW w:type="dxa" w:w="10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1</w:t>
            </w:r>
          </w:p>
        </w:tc>
      </w:tr>
      <w:tr>
        <w:tc>
          <w:tcPr>
            <w:tcW w:type="dxa" w:w="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TD-04</w:t>
            </w:r>
          </w:p>
        </w:tc>
        <w:tc>
          <w:tcPr>
            <w:tcW w:type="dxa" w:w="12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b/>
                <w:bCs/>
                <w:color w:val="C0392B"/>
                <w:sz w:val="20"/>
                <w:szCs w:val="20"/>
              </w:rPr>
              <w:t xml:space="preserve">CRITICAL</w:t>
            </w:r>
          </w:p>
        </w:tc>
        <w:tc>
          <w:tcPr>
            <w:tcW w:type="dxa" w:w="12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Security</w:t>
            </w:r>
          </w:p>
        </w:tc>
        <w:tc>
          <w:tcPr>
            <w:tcW w:type="dxa" w:w="43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API key comparison vulnerable to timing attacks</w:t>
            </w:r>
          </w:p>
        </w:tc>
        <w:tc>
          <w:tcPr>
            <w:tcW w:type="dxa" w:w="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45</w:t>
            </w:r>
          </w:p>
        </w:tc>
        <w:tc>
          <w:tcPr>
            <w:tcW w:type="dxa" w:w="10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1</w:t>
            </w:r>
          </w:p>
        </w:tc>
      </w:tr>
      <w:tr>
        <w:tc>
          <w:tcPr>
            <w:tcW w:type="dxa" w:w="8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TD-01</w:t>
            </w:r>
          </w:p>
        </w:tc>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b/>
                <w:bCs/>
                <w:color w:val="C0392B"/>
                <w:sz w:val="20"/>
                <w:szCs w:val="20"/>
              </w:rPr>
              <w:t xml:space="preserve">CRITICAL</w:t>
            </w:r>
          </w:p>
        </w:tc>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Security</w:t>
            </w:r>
          </w:p>
        </w:tc>
        <w:tc>
          <w:tcPr>
            <w:tcW w:type="dxa" w:w="436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Subprocess command injection in NucleiScanner</w:t>
            </w:r>
          </w:p>
        </w:tc>
        <w:tc>
          <w:tcPr>
            <w:tcW w:type="dxa" w:w="8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40</w:t>
            </w:r>
          </w:p>
        </w:tc>
        <w:tc>
          <w:tcPr>
            <w:tcW w:type="dxa" w:w="10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1</w:t>
            </w:r>
          </w:p>
        </w:tc>
      </w:tr>
      <w:tr>
        <w:tc>
          <w:tcPr>
            <w:tcW w:type="dxa" w:w="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TD-07</w:t>
            </w:r>
          </w:p>
        </w:tc>
        <w:tc>
          <w:tcPr>
            <w:tcW w:type="dxa" w:w="12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b/>
                <w:bCs/>
                <w:color w:val="E67E22"/>
                <w:sz w:val="20"/>
                <w:szCs w:val="20"/>
              </w:rPr>
              <w:t xml:space="preserve">HIGH</w:t>
            </w:r>
          </w:p>
        </w:tc>
        <w:tc>
          <w:tcPr>
            <w:tcW w:type="dxa" w:w="12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Security</w:t>
            </w:r>
          </w:p>
        </w:tc>
        <w:tc>
          <w:tcPr>
            <w:tcW w:type="dxa" w:w="43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Missing security headers in next.config.js</w:t>
            </w:r>
          </w:p>
        </w:tc>
        <w:tc>
          <w:tcPr>
            <w:tcW w:type="dxa" w:w="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35</w:t>
            </w:r>
          </w:p>
        </w:tc>
        <w:tc>
          <w:tcPr>
            <w:tcW w:type="dxa" w:w="10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1</w:t>
            </w:r>
          </w:p>
        </w:tc>
      </w:tr>
      <w:tr>
        <w:tc>
          <w:tcPr>
            <w:tcW w:type="dxa" w:w="8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TD-12</w:t>
            </w:r>
          </w:p>
        </w:tc>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b/>
                <w:bCs/>
                <w:color w:val="E67E22"/>
                <w:sz w:val="20"/>
                <w:szCs w:val="20"/>
              </w:rPr>
              <w:t xml:space="preserve">HIGH</w:t>
            </w:r>
          </w:p>
        </w:tc>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Code Debt</w:t>
            </w:r>
          </w:p>
        </w:tc>
        <w:tc>
          <w:tcPr>
            <w:tcW w:type="dxa" w:w="436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Database connection handling not thread-safe</w:t>
            </w:r>
          </w:p>
        </w:tc>
        <w:tc>
          <w:tcPr>
            <w:tcW w:type="dxa" w:w="8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32</w:t>
            </w:r>
          </w:p>
        </w:tc>
        <w:tc>
          <w:tcPr>
            <w:tcW w:type="dxa" w:w="10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2</w:t>
            </w:r>
          </w:p>
        </w:tc>
      </w:tr>
      <w:tr>
        <w:tc>
          <w:tcPr>
            <w:tcW w:type="dxa" w:w="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TD-02</w:t>
            </w:r>
          </w:p>
        </w:tc>
        <w:tc>
          <w:tcPr>
            <w:tcW w:type="dxa" w:w="12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b/>
                <w:bCs/>
                <w:color w:val="C0392B"/>
                <w:sz w:val="20"/>
                <w:szCs w:val="20"/>
              </w:rPr>
              <w:t xml:space="preserve">CRITICAL</w:t>
            </w:r>
          </w:p>
        </w:tc>
        <w:tc>
          <w:tcPr>
            <w:tcW w:type="dxa" w:w="12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Security</w:t>
            </w:r>
          </w:p>
        </w:tc>
        <w:tc>
          <w:tcPr>
            <w:tcW w:type="dxa" w:w="43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TypeScript strict mode disabled globally</w:t>
            </w:r>
          </w:p>
        </w:tc>
        <w:tc>
          <w:tcPr>
            <w:tcW w:type="dxa" w:w="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30</w:t>
            </w:r>
          </w:p>
        </w:tc>
        <w:tc>
          <w:tcPr>
            <w:tcW w:type="dxa" w:w="10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1</w:t>
            </w:r>
          </w:p>
        </w:tc>
      </w:tr>
      <w:tr>
        <w:tc>
          <w:tcPr>
            <w:tcW w:type="dxa" w:w="8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TD-23</w:t>
            </w:r>
          </w:p>
        </w:tc>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b/>
                <w:bCs/>
                <w:color w:val="F1C40F"/>
                <w:sz w:val="20"/>
                <w:szCs w:val="20"/>
              </w:rPr>
              <w:t xml:space="preserve">MEDIUM</w:t>
            </w:r>
          </w:p>
        </w:tc>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Code Debt</w:t>
            </w:r>
          </w:p>
        </w:tc>
        <w:tc>
          <w:tcPr>
            <w:tcW w:type="dxa" w:w="436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Ollama session leak - requests.Session() never closed</w:t>
            </w:r>
          </w:p>
        </w:tc>
        <w:tc>
          <w:tcPr>
            <w:tcW w:type="dxa" w:w="8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30</w:t>
            </w:r>
          </w:p>
        </w:tc>
        <w:tc>
          <w:tcPr>
            <w:tcW w:type="dxa" w:w="10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2</w:t>
            </w:r>
          </w:p>
        </w:tc>
      </w:tr>
      <w:tr>
        <w:tc>
          <w:tcPr>
            <w:tcW w:type="dxa" w:w="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TD-05</w:t>
            </w:r>
          </w:p>
        </w:tc>
        <w:tc>
          <w:tcPr>
            <w:tcW w:type="dxa" w:w="12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b/>
                <w:bCs/>
                <w:color w:val="E67E22"/>
                <w:sz w:val="20"/>
                <w:szCs w:val="20"/>
              </w:rPr>
              <w:t xml:space="preserve">HIGH</w:t>
            </w:r>
          </w:p>
        </w:tc>
        <w:tc>
          <w:tcPr>
            <w:tcW w:type="dxa" w:w="12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Security</w:t>
            </w:r>
          </w:p>
        </w:tc>
        <w:tc>
          <w:tcPr>
            <w:tcW w:type="dxa" w:w="43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Tenant isolation gaps in Prisma queries</w:t>
            </w:r>
          </w:p>
        </w:tc>
        <w:tc>
          <w:tcPr>
            <w:tcW w:type="dxa" w:w="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27</w:t>
            </w:r>
          </w:p>
        </w:tc>
        <w:tc>
          <w:tcPr>
            <w:tcW w:type="dxa" w:w="10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1</w:t>
            </w:r>
          </w:p>
        </w:tc>
      </w:tr>
      <w:tr>
        <w:tc>
          <w:tcPr>
            <w:tcW w:type="dxa" w:w="8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TD-18</w:t>
            </w:r>
          </w:p>
        </w:tc>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b/>
                <w:bCs/>
                <w:color w:val="E67E22"/>
                <w:sz w:val="20"/>
                <w:szCs w:val="20"/>
              </w:rPr>
              <w:t xml:space="preserve">HIGH</w:t>
            </w:r>
          </w:p>
        </w:tc>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Infrastructure</w:t>
            </w:r>
          </w:p>
        </w:tc>
        <w:tc>
          <w:tcPr>
            <w:tcW w:type="dxa" w:w="436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No CI/CD pipeline with test enforcement</w:t>
            </w:r>
          </w:p>
        </w:tc>
        <w:tc>
          <w:tcPr>
            <w:tcW w:type="dxa" w:w="8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27</w:t>
            </w:r>
          </w:p>
        </w:tc>
        <w:tc>
          <w:tcPr>
            <w:tcW w:type="dxa" w:w="10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1</w:t>
            </w:r>
          </w:p>
        </w:tc>
      </w:tr>
      <w:tr>
        <w:tc>
          <w:tcPr>
            <w:tcW w:type="dxa" w:w="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TD-06</w:t>
            </w:r>
          </w:p>
        </w:tc>
        <w:tc>
          <w:tcPr>
            <w:tcW w:type="dxa" w:w="12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b/>
                <w:bCs/>
                <w:color w:val="E67E22"/>
                <w:sz w:val="20"/>
                <w:szCs w:val="20"/>
              </w:rPr>
              <w:t xml:space="preserve">HIGH</w:t>
            </w:r>
          </w:p>
        </w:tc>
        <w:tc>
          <w:tcPr>
            <w:tcW w:type="dxa" w:w="12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Security</w:t>
            </w:r>
          </w:p>
        </w:tc>
        <w:tc>
          <w:tcPr>
            <w:tcW w:type="dxa" w:w="43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Memory leaks in process management Maps</w:t>
            </w:r>
          </w:p>
        </w:tc>
        <w:tc>
          <w:tcPr>
            <w:tcW w:type="dxa" w:w="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24</w:t>
            </w:r>
          </w:p>
        </w:tc>
        <w:tc>
          <w:tcPr>
            <w:tcW w:type="dxa" w:w="10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2</w:t>
            </w:r>
          </w:p>
        </w:tc>
      </w:tr>
      <w:tr>
        <w:tc>
          <w:tcPr>
            <w:tcW w:type="dxa" w:w="8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TD-11</w:t>
            </w:r>
          </w:p>
        </w:tc>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b/>
                <w:bCs/>
                <w:color w:val="E67E22"/>
                <w:sz w:val="20"/>
                <w:szCs w:val="20"/>
              </w:rPr>
              <w:t xml:space="preserve">HIGH</w:t>
            </w:r>
          </w:p>
        </w:tc>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Code Debt</w:t>
            </w:r>
          </w:p>
        </w:tc>
        <w:tc>
          <w:tcPr>
            <w:tcW w:type="dxa" w:w="436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Duplicated severity handling across 6+ files</w:t>
            </w:r>
          </w:p>
        </w:tc>
        <w:tc>
          <w:tcPr>
            <w:tcW w:type="dxa" w:w="8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24</w:t>
            </w:r>
          </w:p>
        </w:tc>
        <w:tc>
          <w:tcPr>
            <w:tcW w:type="dxa" w:w="10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2</w:t>
            </w:r>
          </w:p>
        </w:tc>
      </w:tr>
      <w:tr>
        <w:tc>
          <w:tcPr>
            <w:tcW w:type="dxa" w:w="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TD-20</w:t>
            </w:r>
          </w:p>
        </w:tc>
        <w:tc>
          <w:tcPr>
            <w:tcW w:type="dxa" w:w="12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b/>
                <w:bCs/>
                <w:color w:val="F1C40F"/>
                <w:sz w:val="20"/>
                <w:szCs w:val="20"/>
              </w:rPr>
              <w:t xml:space="preserve">MEDIUM</w:t>
            </w:r>
          </w:p>
        </w:tc>
        <w:tc>
          <w:tcPr>
            <w:tcW w:type="dxa" w:w="12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Architecture</w:t>
            </w:r>
          </w:p>
        </w:tc>
        <w:tc>
          <w:tcPr>
            <w:tcW w:type="dxa" w:w="43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No token refresh mechanism despite API existing</w:t>
            </w:r>
          </w:p>
        </w:tc>
        <w:tc>
          <w:tcPr>
            <w:tcW w:type="dxa" w:w="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24</w:t>
            </w:r>
          </w:p>
        </w:tc>
        <w:tc>
          <w:tcPr>
            <w:tcW w:type="dxa" w:w="10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2</w:t>
            </w:r>
          </w:p>
        </w:tc>
      </w:tr>
      <w:tr>
        <w:tc>
          <w:tcPr>
            <w:tcW w:type="dxa" w:w="8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TD-14</w:t>
            </w:r>
          </w:p>
        </w:tc>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b/>
                <w:bCs/>
                <w:color w:val="F1C40F"/>
                <w:sz w:val="20"/>
                <w:szCs w:val="20"/>
              </w:rPr>
              <w:t xml:space="preserve">MEDIUM</w:t>
            </w:r>
          </w:p>
        </w:tc>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Code Debt</w:t>
            </w:r>
          </w:p>
        </w:tc>
        <w:tc>
          <w:tcPr>
            <w:tcW w:type="dxa" w:w="436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Monolithic dashboard layout (452 lines) with duplicated nav</w:t>
            </w:r>
          </w:p>
        </w:tc>
        <w:tc>
          <w:tcPr>
            <w:tcW w:type="dxa" w:w="8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20</w:t>
            </w:r>
          </w:p>
        </w:tc>
        <w:tc>
          <w:tcPr>
            <w:tcW w:type="dxa" w:w="10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3</w:t>
            </w:r>
          </w:p>
        </w:tc>
      </w:tr>
      <w:tr>
        <w:tc>
          <w:tcPr>
            <w:tcW w:type="dxa" w:w="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TD-15</w:t>
            </w:r>
          </w:p>
        </w:tc>
        <w:tc>
          <w:tcPr>
            <w:tcW w:type="dxa" w:w="12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b/>
                <w:bCs/>
                <w:color w:val="F1C40F"/>
                <w:sz w:val="20"/>
                <w:szCs w:val="20"/>
              </w:rPr>
              <w:t xml:space="preserve">MEDIUM</w:t>
            </w:r>
          </w:p>
        </w:tc>
        <w:tc>
          <w:tcPr>
            <w:tcW w:type="dxa" w:w="12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Code Debt</w:t>
            </w:r>
          </w:p>
        </w:tc>
        <w:tc>
          <w:tcPr>
            <w:tcW w:type="dxa" w:w="43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11 useState calls in vulnerability page - state explosion</w:t>
            </w:r>
          </w:p>
        </w:tc>
        <w:tc>
          <w:tcPr>
            <w:tcW w:type="dxa" w:w="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20</w:t>
            </w:r>
          </w:p>
        </w:tc>
        <w:tc>
          <w:tcPr>
            <w:tcW w:type="dxa" w:w="10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3</w:t>
            </w:r>
          </w:p>
        </w:tc>
      </w:tr>
      <w:tr>
        <w:tc>
          <w:tcPr>
            <w:tcW w:type="dxa" w:w="8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TD-16</w:t>
            </w:r>
          </w:p>
        </w:tc>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b/>
                <w:bCs/>
                <w:color w:val="E67E22"/>
                <w:sz w:val="20"/>
                <w:szCs w:val="20"/>
              </w:rPr>
              <w:t xml:space="preserve">HIGH</w:t>
            </w:r>
          </w:p>
        </w:tc>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Dependency</w:t>
            </w:r>
          </w:p>
        </w:tc>
        <w:tc>
          <w:tcPr>
            <w:tcW w:type="dxa" w:w="436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Duplicate browser automation libraries (Puppeteer + Playwright)</w:t>
            </w:r>
          </w:p>
        </w:tc>
        <w:tc>
          <w:tcPr>
            <w:tcW w:type="dxa" w:w="8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20</w:t>
            </w:r>
          </w:p>
        </w:tc>
        <w:tc>
          <w:tcPr>
            <w:tcW w:type="dxa" w:w="10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2</w:t>
            </w:r>
          </w:p>
        </w:tc>
      </w:tr>
      <w:tr>
        <w:tc>
          <w:tcPr>
            <w:tcW w:type="dxa" w:w="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TD-24</w:t>
            </w:r>
          </w:p>
        </w:tc>
        <w:tc>
          <w:tcPr>
            <w:tcW w:type="dxa" w:w="12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b/>
                <w:bCs/>
                <w:color w:val="F1C40F"/>
                <w:sz w:val="20"/>
                <w:szCs w:val="20"/>
              </w:rPr>
              <w:t xml:space="preserve">MEDIUM</w:t>
            </w:r>
          </w:p>
        </w:tc>
        <w:tc>
          <w:tcPr>
            <w:tcW w:type="dxa" w:w="12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Code Debt</w:t>
            </w:r>
          </w:p>
        </w:tc>
        <w:tc>
          <w:tcPr>
            <w:tcW w:type="dxa" w:w="43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N+1 query patterns in scan service</w:t>
            </w:r>
          </w:p>
        </w:tc>
        <w:tc>
          <w:tcPr>
            <w:tcW w:type="dxa" w:w="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20</w:t>
            </w:r>
          </w:p>
        </w:tc>
        <w:tc>
          <w:tcPr>
            <w:tcW w:type="dxa" w:w="10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2</w:t>
            </w:r>
          </w:p>
        </w:tc>
      </w:tr>
      <w:tr>
        <w:tc>
          <w:tcPr>
            <w:tcW w:type="dxa" w:w="8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TD-22</w:t>
            </w:r>
          </w:p>
        </w:tc>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b/>
                <w:bCs/>
                <w:color w:val="F1C40F"/>
                <w:sz w:val="20"/>
                <w:szCs w:val="20"/>
              </w:rPr>
              <w:t xml:space="preserve">MEDIUM</w:t>
            </w:r>
          </w:p>
        </w:tc>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Infrastructure</w:t>
            </w:r>
          </w:p>
        </w:tc>
        <w:tc>
          <w:tcPr>
            <w:tcW w:type="dxa" w:w="436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No monitoring, metrics, or distributed tracing</w:t>
            </w:r>
          </w:p>
        </w:tc>
        <w:tc>
          <w:tcPr>
            <w:tcW w:type="dxa" w:w="8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18</w:t>
            </w:r>
          </w:p>
        </w:tc>
        <w:tc>
          <w:tcPr>
            <w:tcW w:type="dxa" w:w="10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3</w:t>
            </w:r>
          </w:p>
        </w:tc>
      </w:tr>
      <w:tr>
        <w:tc>
          <w:tcPr>
            <w:tcW w:type="dxa" w:w="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TD-09</w:t>
            </w:r>
          </w:p>
        </w:tc>
        <w:tc>
          <w:tcPr>
            <w:tcW w:type="dxa" w:w="12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b/>
                <w:bCs/>
                <w:color w:val="E67E22"/>
                <w:sz w:val="20"/>
                <w:szCs w:val="20"/>
              </w:rPr>
              <w:t xml:space="preserve">HIGH</w:t>
            </w:r>
          </w:p>
        </w:tc>
        <w:tc>
          <w:tcPr>
            <w:tcW w:type="dxa" w:w="12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Architecture</w:t>
            </w:r>
          </w:p>
        </w:tc>
        <w:tc>
          <w:tcPr>
            <w:tcW w:type="dxa" w:w="43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God objects in service layer (2400+ line services)</w:t>
            </w:r>
          </w:p>
        </w:tc>
        <w:tc>
          <w:tcPr>
            <w:tcW w:type="dxa" w:w="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16</w:t>
            </w:r>
          </w:p>
        </w:tc>
        <w:tc>
          <w:tcPr>
            <w:tcW w:type="dxa" w:w="10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2</w:t>
            </w:r>
          </w:p>
        </w:tc>
      </w:tr>
      <w:tr>
        <w:tc>
          <w:tcPr>
            <w:tcW w:type="dxa" w:w="8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TD-19</w:t>
            </w:r>
          </w:p>
        </w:tc>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b/>
                <w:bCs/>
                <w:color w:val="F1C40F"/>
                <w:sz w:val="20"/>
                <w:szCs w:val="20"/>
              </w:rPr>
              <w:t xml:space="preserve">MEDIUM</w:t>
            </w:r>
          </w:p>
        </w:tc>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Code Debt</w:t>
            </w:r>
          </w:p>
        </w:tc>
        <w:tc>
          <w:tcPr>
            <w:tcW w:type="dxa" w:w="436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Inconsistent logging (28 console.log/error instances)</w:t>
            </w:r>
          </w:p>
        </w:tc>
        <w:tc>
          <w:tcPr>
            <w:tcW w:type="dxa" w:w="8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16</w:t>
            </w:r>
          </w:p>
        </w:tc>
        <w:tc>
          <w:tcPr>
            <w:tcW w:type="dxa" w:w="10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3</w:t>
            </w:r>
          </w:p>
        </w:tc>
      </w:tr>
      <w:tr>
        <w:tc>
          <w:tcPr>
            <w:tcW w:type="dxa" w:w="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TD-13</w:t>
            </w:r>
          </w:p>
        </w:tc>
        <w:tc>
          <w:tcPr>
            <w:tcW w:type="dxa" w:w="12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b/>
                <w:bCs/>
                <w:color w:val="F1C40F"/>
                <w:sz w:val="20"/>
                <w:szCs w:val="20"/>
              </w:rPr>
              <w:t xml:space="preserve">MEDIUM</w:t>
            </w:r>
          </w:p>
        </w:tc>
        <w:tc>
          <w:tcPr>
            <w:tcW w:type="dxa" w:w="12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Code Debt</w:t>
            </w:r>
          </w:p>
        </w:tc>
        <w:tc>
          <w:tcPr>
            <w:tcW w:type="dxa" w:w="43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report_generator.py has 826-line save_html() method</w:t>
            </w:r>
          </w:p>
        </w:tc>
        <w:tc>
          <w:tcPr>
            <w:tcW w:type="dxa" w:w="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15</w:t>
            </w:r>
          </w:p>
        </w:tc>
        <w:tc>
          <w:tcPr>
            <w:tcW w:type="dxa" w:w="10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3</w:t>
            </w:r>
          </w:p>
        </w:tc>
      </w:tr>
      <w:tr>
        <w:tc>
          <w:tcPr>
            <w:tcW w:type="dxa" w:w="8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TD-17</w:t>
            </w:r>
          </w:p>
        </w:tc>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b/>
                <w:bCs/>
                <w:color w:val="F1C40F"/>
                <w:sz w:val="20"/>
                <w:szCs w:val="20"/>
              </w:rPr>
              <w:t xml:space="preserve">MEDIUM</w:t>
            </w:r>
          </w:p>
        </w:tc>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Dependency</w:t>
            </w:r>
          </w:p>
        </w:tc>
        <w:tc>
          <w:tcPr>
            <w:tcW w:type="dxa" w:w="436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Unused langchain/langsmith dependencies</w:t>
            </w:r>
          </w:p>
        </w:tc>
        <w:tc>
          <w:tcPr>
            <w:tcW w:type="dxa" w:w="8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15</w:t>
            </w:r>
          </w:p>
        </w:tc>
        <w:tc>
          <w:tcPr>
            <w:tcW w:type="dxa" w:w="10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3</w:t>
            </w:r>
          </w:p>
        </w:tc>
      </w:tr>
      <w:tr>
        <w:tc>
          <w:tcPr>
            <w:tcW w:type="dxa" w:w="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TD-10</w:t>
            </w:r>
          </w:p>
        </w:tc>
        <w:tc>
          <w:tcPr>
            <w:tcW w:type="dxa" w:w="12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b/>
                <w:bCs/>
                <w:color w:val="E67E22"/>
                <w:sz w:val="20"/>
                <w:szCs w:val="20"/>
              </w:rPr>
              <w:t xml:space="preserve">HIGH</w:t>
            </w:r>
          </w:p>
        </w:tc>
        <w:tc>
          <w:tcPr>
            <w:tcW w:type="dxa" w:w="12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Architecture</w:t>
            </w:r>
          </w:p>
        </w:tc>
        <w:tc>
          <w:tcPr>
            <w:tcW w:type="dxa" w:w="43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No dependency injection - all services are global singletons</w:t>
            </w:r>
          </w:p>
        </w:tc>
        <w:tc>
          <w:tcPr>
            <w:tcW w:type="dxa" w:w="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14</w:t>
            </w:r>
          </w:p>
        </w:tc>
        <w:tc>
          <w:tcPr>
            <w:tcW w:type="dxa" w:w="10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2</w:t>
            </w:r>
          </w:p>
        </w:tc>
      </w:tr>
      <w:tr>
        <w:tc>
          <w:tcPr>
            <w:tcW w:type="dxa" w:w="8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TD-21</w:t>
            </w:r>
          </w:p>
        </w:tc>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b/>
                <w:bCs/>
                <w:color w:val="27AE60"/>
                <w:sz w:val="20"/>
                <w:szCs w:val="20"/>
              </w:rPr>
              <w:t xml:space="preserve">LOW</w:t>
            </w:r>
          </w:p>
        </w:tc>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Documentation</w:t>
            </w:r>
          </w:p>
        </w:tc>
        <w:tc>
          <w:tcPr>
            <w:tcW w:type="dxa" w:w="436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80+ markdown files with stale/conflicting documentation</w:t>
            </w:r>
          </w:p>
        </w:tc>
        <w:tc>
          <w:tcPr>
            <w:tcW w:type="dxa" w:w="8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12</w:t>
            </w:r>
          </w:p>
        </w:tc>
        <w:tc>
          <w:tcPr>
            <w:tcW w:type="dxa" w:w="10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3</w:t>
            </w:r>
          </w:p>
        </w:tc>
      </w:tr>
      <w:tr>
        <w:tc>
          <w:tcPr>
            <w:tcW w:type="dxa" w:w="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TD-25</w:t>
            </w:r>
          </w:p>
        </w:tc>
        <w:tc>
          <w:tcPr>
            <w:tcW w:type="dxa" w:w="12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b/>
                <w:bCs/>
                <w:color w:val="27AE60"/>
                <w:sz w:val="20"/>
                <w:szCs w:val="20"/>
              </w:rPr>
              <w:t xml:space="preserve">LOW</w:t>
            </w:r>
          </w:p>
        </w:tc>
        <w:tc>
          <w:tcPr>
            <w:tcW w:type="dxa" w:w="12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Architecture</w:t>
            </w:r>
          </w:p>
        </w:tc>
        <w:tc>
          <w:tcPr>
            <w:tcW w:type="dxa" w:w="43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sys.path.append anti-pattern in CLI entry point</w:t>
            </w:r>
          </w:p>
        </w:tc>
        <w:tc>
          <w:tcPr>
            <w:tcW w:type="dxa" w:w="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12</w:t>
            </w:r>
          </w:p>
        </w:tc>
        <w:tc>
          <w:tcPr>
            <w:tcW w:type="dxa" w:w="10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3</w:t>
            </w:r>
          </w:p>
        </w:tc>
      </w:tr>
      <w:tr>
        <w:tc>
          <w:tcPr>
            <w:tcW w:type="dxa" w:w="8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TD-08</w:t>
            </w:r>
          </w:p>
        </w:tc>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b/>
                <w:bCs/>
                <w:color w:val="C0392B"/>
                <w:sz w:val="20"/>
                <w:szCs w:val="20"/>
              </w:rPr>
              <w:t xml:space="preserve">CRITICAL</w:t>
            </w:r>
          </w:p>
        </w:tc>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Test Debt</w:t>
            </w:r>
          </w:p>
        </w:tc>
        <w:tc>
          <w:tcPr>
            <w:tcW w:type="dxa" w:w="436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Near-zero test coverage across entire platform</w:t>
            </w:r>
          </w:p>
        </w:tc>
        <w:tc>
          <w:tcPr>
            <w:tcW w:type="dxa" w:w="8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10</w:t>
            </w:r>
          </w:p>
        </w:tc>
        <w:tc>
          <w:tcPr>
            <w:tcW w:type="dxa" w:w="10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1</w:t>
            </w:r>
          </w:p>
        </w:tc>
      </w:tr>
    </w:tbl>
    <w:p>
      <w:r>
        <w:br w:type="page"/>
      </w:r>
    </w:p>
    <w:p>
      <w:pPr>
        <w:pStyle w:val="Heading1"/>
      </w:pPr>
      <w:r>
        <w:rPr>
          <w:rFonts w:ascii="Arial" w:cs="Arial" w:eastAsia="Arial" w:hAnsi="Arial"/>
        </w:rPr>
        <w:t xml:space="preserve">3. Detailed Findings by Component</w:t>
      </w:r>
    </w:p>
    <w:p>
      <w:pPr>
        <w:pStyle w:val="Heading2"/>
      </w:pPr>
      <w:r>
        <w:rPr>
          <w:rFonts w:ascii="Arial" w:cs="Arial" w:eastAsia="Arial" w:hAnsi="Arial"/>
        </w:rPr>
        <w:t xml:space="preserve">3.1 Python CLI Scanner</w:t>
      </w:r>
    </w:p>
    <w:p>
      <w:pPr>
        <w:spacing w:after="120" w:line="276"/>
      </w:pPr>
      <w:r>
        <w:rPr>
          <w:rFonts w:ascii="Arial" w:cs="Arial" w:eastAsia="Arial" w:hAnsi="Arial"/>
          <w:sz w:val="22"/>
          <w:szCs w:val="22"/>
        </w:rPr>
        <w:t xml:space="preserve">The Python scanner consists of approximately 5,400 lines across core modules (src/) and root-level utilities. Key concerns include command injection vulnerabilities, thread-unsafe database access, duplicated business logic, and minimal test coverage.</w:t>
      </w:r>
    </w:p>
    <w:p>
      <w:pPr>
        <w:spacing w:after="80"/>
      </w:pPr>
    </w:p>
    <w:p>
      <w:pPr>
        <w:pStyle w:val="Heading3"/>
      </w:pPr>
      <w:r>
        <w:rPr>
          <w:rFonts w:ascii="Arial" w:cs="Arial" w:eastAsia="Arial" w:hAnsi="Arial"/>
        </w:rPr>
        <w:t xml:space="preserve">Security Vulnerabilities</w:t>
      </w:r>
    </w:p>
    <w:p>
      <w:pPr>
        <w:pStyle w:val="ListParagraph"/>
        <w:numPr>
          <w:ilvl w:val="0"/>
          <w:numId w:val="2"/>
        </w:numPr>
        <w:spacing w:after="80" w:line="276"/>
      </w:pPr>
      <w:r>
        <w:rPr>
          <w:rFonts w:ascii="Arial" w:cs="Arial" w:eastAsia="Arial" w:hAnsi="Arial"/>
          <w:b/>
          <w:bCs/>
          <w:sz w:val="22"/>
          <w:szCs w:val="22"/>
        </w:rPr>
        <w:t xml:space="preserve">Command Injection (TD-01): </w:t>
      </w:r>
      <w:r>
        <w:rPr>
          <w:rFonts w:ascii="Arial" w:cs="Arial" w:eastAsia="Arial" w:hAnsi="Arial"/>
          <w:sz w:val="22"/>
          <w:szCs w:val="22"/>
        </w:rPr>
        <w:t xml:space="preserve">nuclei_scanner.py passes user-supplied target URL directly to subprocess without sanitization. While shell=False prevents shell expansion, specially crafted URLs could still exploit Nuclei’s argument parser.</w:t>
      </w:r>
    </w:p>
    <w:p>
      <w:pPr>
        <w:pStyle w:val="ListParagraph"/>
        <w:numPr>
          <w:ilvl w:val="0"/>
          <w:numId w:val="2"/>
        </w:numPr>
        <w:spacing w:after="80" w:line="276"/>
      </w:pPr>
      <w:r>
        <w:rPr>
          <w:rFonts w:ascii="Arial" w:cs="Arial" w:eastAsia="Arial" w:hAnsi="Arial"/>
          <w:b/>
          <w:bCs/>
          <w:sz w:val="22"/>
          <w:szCs w:val="22"/>
        </w:rPr>
        <w:t xml:space="preserve">Timing Attack on API Keys (TD-04): </w:t>
      </w:r>
      <w:r>
        <w:rPr>
          <w:rFonts w:ascii="Arial" w:cs="Arial" w:eastAsia="Arial" w:hAnsi="Arial"/>
          <w:sz w:val="22"/>
          <w:szCs w:val="22"/>
        </w:rPr>
        <w:t xml:space="preserve">api/app.py uses Python == for API key comparison, enabling timing side-channel attacks to extract valid keys character by character.</w:t>
      </w:r>
    </w:p>
    <w:p>
      <w:pPr>
        <w:pStyle w:val="ListParagraph"/>
        <w:numPr>
          <w:ilvl w:val="0"/>
          <w:numId w:val="2"/>
        </w:numPr>
        <w:spacing w:after="80" w:line="276"/>
      </w:pPr>
      <w:r>
        <w:rPr>
          <w:rFonts w:ascii="Arial" w:cs="Arial" w:eastAsia="Arial" w:hAnsi="Arial"/>
          <w:b/>
          <w:bCs/>
          <w:sz w:val="22"/>
          <w:szCs w:val="22"/>
        </w:rPr>
        <w:t xml:space="preserve">Prompt Injection: </w:t>
      </w:r>
      <w:r>
        <w:rPr>
          <w:rFonts w:ascii="Arial" w:cs="Arial" w:eastAsia="Arial" w:hAnsi="Arial"/>
          <w:sz w:val="22"/>
          <w:szCs w:val="22"/>
        </w:rPr>
        <w:t xml:space="preserve">User-controlled vulnerability data is interpolated directly into Ollama prompts in ollama_vulnerability_analyzer.py without sanitization, allowing prompt injection.</w:t>
      </w:r>
    </w:p>
    <w:p>
      <w:pPr>
        <w:pStyle w:val="Heading3"/>
      </w:pPr>
      <w:r>
        <w:rPr>
          <w:rFonts w:ascii="Arial" w:cs="Arial" w:eastAsia="Arial" w:hAnsi="Arial"/>
        </w:rPr>
        <w:t xml:space="preserve">Code Quality Issues</w:t>
      </w:r>
    </w:p>
    <w:p>
      <w:pPr>
        <w:pStyle w:val="ListParagraph"/>
        <w:numPr>
          <w:ilvl w:val="0"/>
          <w:numId w:val="2"/>
        </w:numPr>
        <w:spacing w:after="80" w:line="276"/>
      </w:pPr>
      <w:r>
        <w:rPr>
          <w:rFonts w:ascii="Arial" w:cs="Arial" w:eastAsia="Arial" w:hAnsi="Arial"/>
          <w:sz w:val="22"/>
          <w:szCs w:val="22"/>
        </w:rPr>
        <w:t xml:space="preserve">Severity handling duplicated across 6+ files (ai_analyzer.py, ollama_vulnerability_analyzer.py, report_generator.py, etc.) with hardcoded lists and priority mappings.</w:t>
      </w:r>
    </w:p>
    <w:p>
      <w:pPr>
        <w:pStyle w:val="ListParagraph"/>
        <w:numPr>
          <w:ilvl w:val="0"/>
          <w:numId w:val="2"/>
        </w:numPr>
        <w:spacing w:after="80" w:line="276"/>
      </w:pPr>
      <w:r>
        <w:rPr>
          <w:rFonts w:ascii="Arial" w:cs="Arial" w:eastAsia="Arial" w:hAnsi="Arial"/>
          <w:sz w:val="22"/>
          <w:szCs w:val="22"/>
        </w:rPr>
        <w:t xml:space="preserve">report_generator.py contains an 826-line save_html() method with embedded CSS, inline JS, and duplicate markdown conversion logic.</w:t>
      </w:r>
    </w:p>
    <w:p>
      <w:pPr>
        <w:pStyle w:val="ListParagraph"/>
        <w:numPr>
          <w:ilvl w:val="0"/>
          <w:numId w:val="2"/>
        </w:numPr>
        <w:spacing w:after="80" w:line="276"/>
      </w:pPr>
      <w:r>
        <w:rPr>
          <w:rFonts w:ascii="Arial" w:cs="Arial" w:eastAsia="Arial" w:hAnsi="Arial"/>
          <w:sz w:val="22"/>
          <w:szCs w:val="22"/>
        </w:rPr>
        <w:t xml:space="preserve">Thread-unsafe SQLite: cache_manager.py and models.py open/close connections per operation with a global singleton that is not protected by locks.</w:t>
      </w:r>
    </w:p>
    <w:p>
      <w:pPr>
        <w:pStyle w:val="ListParagraph"/>
        <w:numPr>
          <w:ilvl w:val="0"/>
          <w:numId w:val="2"/>
        </w:numPr>
        <w:spacing w:after="80" w:line="276"/>
      </w:pPr>
      <w:r>
        <w:rPr>
          <w:rFonts w:ascii="Arial" w:cs="Arial" w:eastAsia="Arial" w:hAnsi="Arial"/>
          <w:sz w:val="22"/>
          <w:szCs w:val="22"/>
        </w:rPr>
        <w:t xml:space="preserve">requests.Session() created in OllamaVulnerabilityAnalyzer.__init__() but never closed, causing memory leaks in long-running batch scans.</w:t>
      </w:r>
    </w:p>
    <w:p>
      <w:pPr>
        <w:pStyle w:val="ListParagraph"/>
        <w:numPr>
          <w:ilvl w:val="0"/>
          <w:numId w:val="2"/>
        </w:numPr>
        <w:spacing w:after="80" w:line="276"/>
      </w:pPr>
      <w:r>
        <w:rPr>
          <w:rFonts w:ascii="Arial" w:cs="Arial" w:eastAsia="Arial" w:hAnsi="Arial"/>
          <w:sz w:val="22"/>
          <w:szCs w:val="22"/>
        </w:rPr>
        <w:t xml:space="preserve">Magic numbers throughout: worker counts (8, 16), SVG circumference (282.7), progress bar widths (80, 100), timeouts, all hardcoded without configuration.</w:t>
      </w:r>
    </w:p>
    <w:p>
      <w:pPr>
        <w:spacing w:after="80"/>
      </w:pPr>
    </w:p>
    <w:p>
      <w:pPr>
        <w:pStyle w:val="Heading2"/>
      </w:pPr>
      <w:r>
        <w:rPr>
          <w:rFonts w:ascii="Arial" w:cs="Arial" w:eastAsia="Arial" w:hAnsi="Arial"/>
        </w:rPr>
        <w:t xml:space="preserve">3.2 Platform Backend (Express.js)</w:t>
      </w:r>
    </w:p>
    <w:p>
      <w:pPr>
        <w:spacing w:after="120" w:line="276"/>
      </w:pPr>
      <w:r>
        <w:rPr>
          <w:rFonts w:ascii="Arial" w:cs="Arial" w:eastAsia="Arial" w:hAnsi="Arial"/>
          <w:sz w:val="22"/>
          <w:szCs w:val="22"/>
        </w:rPr>
        <w:t xml:space="preserve">The backend is the largest and most complex component with approximately 8,000+ lines across 25 services, 12 route files, and multiple middleware layers. The most pressing concerns are disabled TypeScript strict mode, god-object services, and complete absence of tests.</w:t>
      </w:r>
    </w:p>
    <w:p>
      <w:pPr>
        <w:spacing w:after="80"/>
      </w:pPr>
    </w:p>
    <w:p>
      <w:pPr>
        <w:pStyle w:val="Heading3"/>
      </w:pPr>
      <w:r>
        <w:rPr>
          <w:rFonts w:ascii="Arial" w:cs="Arial" w:eastAsia="Arial" w:hAnsi="Arial"/>
        </w:rPr>
        <w:t xml:space="preserve">Security Vulnerabilities</w:t>
      </w:r>
    </w:p>
    <w:p>
      <w:pPr>
        <w:pStyle w:val="ListParagraph"/>
        <w:numPr>
          <w:ilvl w:val="0"/>
          <w:numId w:val="2"/>
        </w:numPr>
        <w:spacing w:after="80" w:line="276"/>
      </w:pPr>
      <w:r>
        <w:rPr>
          <w:rFonts w:ascii="Arial" w:cs="Arial" w:eastAsia="Arial" w:hAnsi="Arial"/>
          <w:b/>
          <w:bCs/>
          <w:sz w:val="22"/>
          <w:szCs w:val="22"/>
        </w:rPr>
        <w:t xml:space="preserve">TypeScript Strict Disabled (TD-02): </w:t>
      </w:r>
      <w:r>
        <w:rPr>
          <w:rFonts w:ascii="Arial" w:cs="Arial" w:eastAsia="Arial" w:hAnsi="Arial"/>
          <w:sz w:val="22"/>
          <w:szCs w:val="22"/>
        </w:rPr>
        <w:t xml:space="preserve">tsconfig.json has strict: false, resulting in 455+ untyped ‘any’ usages. Routes use (req as any).user?.tenantId instead of properly typed requests. Type safety is completely compromised.</w:t>
      </w:r>
    </w:p>
    <w:p>
      <w:pPr>
        <w:pStyle w:val="ListParagraph"/>
        <w:numPr>
          <w:ilvl w:val="0"/>
          <w:numId w:val="2"/>
        </w:numPr>
        <w:spacing w:after="80" w:line="276"/>
      </w:pPr>
      <w:r>
        <w:rPr>
          <w:rFonts w:ascii="Arial" w:cs="Arial" w:eastAsia="Arial" w:hAnsi="Arial"/>
          <w:b/>
          <w:bCs/>
          <w:sz w:val="22"/>
          <w:szCs w:val="22"/>
        </w:rPr>
        <w:t xml:space="preserve">JWT Secret Fallback (TD-03): </w:t>
      </w:r>
      <w:r>
        <w:rPr>
          <w:rFonts w:ascii="Arial" w:cs="Arial" w:eastAsia="Arial" w:hAnsi="Arial"/>
          <w:sz w:val="22"/>
          <w:szCs w:val="22"/>
        </w:rPr>
        <w:t xml:space="preserve">auth.ts silently falls back to a hardcoded insecure secret when JWT_SECRET is missing. Token forgery is trivial in development, and misconfiguration in production could be catastrophic.</w:t>
      </w:r>
    </w:p>
    <w:p>
      <w:pPr>
        <w:pStyle w:val="ListParagraph"/>
        <w:numPr>
          <w:ilvl w:val="0"/>
          <w:numId w:val="2"/>
        </w:numPr>
        <w:spacing w:after="80" w:line="276"/>
      </w:pPr>
      <w:r>
        <w:rPr>
          <w:rFonts w:ascii="Arial" w:cs="Arial" w:eastAsia="Arial" w:hAnsi="Arial"/>
          <w:b/>
          <w:bCs/>
          <w:sz w:val="22"/>
          <w:szCs w:val="22"/>
        </w:rPr>
        <w:t xml:space="preserve">Tenant Isolation Gaps (TD-05): </w:t>
      </w:r>
      <w:r>
        <w:rPr>
          <w:rFonts w:ascii="Arial" w:cs="Arial" w:eastAsia="Arial" w:hAnsi="Arial"/>
          <w:sz w:val="22"/>
          <w:szCs w:val="22"/>
        </w:rPr>
        <w:t xml:space="preserve">Multiple services construct Prisma queries with ‘where: any’ types. Some updateMany calls don’t verify tenant ownership, risking cross-tenant data mutation.</w:t>
      </w:r>
    </w:p>
    <w:p>
      <w:pPr>
        <w:pStyle w:val="Heading3"/>
      </w:pPr>
      <w:r>
        <w:rPr>
          <w:rFonts w:ascii="Arial" w:cs="Arial" w:eastAsia="Arial" w:hAnsi="Arial"/>
        </w:rPr>
        <w:t xml:space="preserve">Architecture Issues</w:t>
      </w:r>
    </w:p>
    <w:p>
      <w:pPr>
        <w:pStyle w:val="ListParagraph"/>
        <w:numPr>
          <w:ilvl w:val="0"/>
          <w:numId w:val="2"/>
        </w:numPr>
        <w:spacing w:after="80" w:line="276"/>
      </w:pPr>
      <w:r>
        <w:rPr>
          <w:rFonts w:ascii="Arial" w:cs="Arial" w:eastAsia="Arial" w:hAnsi="Arial"/>
          <w:sz w:val="22"/>
          <w:szCs w:val="22"/>
        </w:rPr>
        <w:t xml:space="preserve">God Objects: recon.service.ts (2,399 lines), scan-orchestrator.service.ts (1,388 lines), scan.service.ts (1,221 lines). Each handles multiple unrelated concerns: DNS lookups, process management, artifact persistence, and business logic.</w:t>
      </w:r>
    </w:p>
    <w:p>
      <w:pPr>
        <w:pStyle w:val="ListParagraph"/>
        <w:numPr>
          <w:ilvl w:val="0"/>
          <w:numId w:val="2"/>
        </w:numPr>
        <w:spacing w:after="80" w:line="276"/>
      </w:pPr>
      <w:r>
        <w:rPr>
          <w:rFonts w:ascii="Arial" w:cs="Arial" w:eastAsia="Arial" w:hAnsi="Arial"/>
          <w:sz w:val="22"/>
          <w:szCs w:val="22"/>
        </w:rPr>
        <w:t xml:space="preserve">Global Singletons: All 25 services exported as module-level instances with no dependency injection. Circular dependencies possible, testing impossible without real infrastructure.</w:t>
      </w:r>
    </w:p>
    <w:p>
      <w:pPr>
        <w:pStyle w:val="ListParagraph"/>
        <w:numPr>
          <w:ilvl w:val="0"/>
          <w:numId w:val="2"/>
        </w:numPr>
        <w:spacing w:after="80" w:line="276"/>
      </w:pPr>
      <w:r>
        <w:rPr>
          <w:rFonts w:ascii="Arial" w:cs="Arial" w:eastAsia="Arial" w:hAnsi="Arial"/>
          <w:sz w:val="22"/>
          <w:szCs w:val="22"/>
        </w:rPr>
        <w:t xml:space="preserve">Memory Leaks: Child processes stored in Maps with no TTL-based cleanup. If scans crash before explicit cleanup, process trees leak indefinitely.</w:t>
      </w:r>
    </w:p>
    <w:p>
      <w:pPr>
        <w:pStyle w:val="ListParagraph"/>
        <w:numPr>
          <w:ilvl w:val="0"/>
          <w:numId w:val="2"/>
        </w:numPr>
        <w:spacing w:after="80" w:line="276"/>
      </w:pPr>
      <w:r>
        <w:rPr>
          <w:rFonts w:ascii="Arial" w:cs="Arial" w:eastAsia="Arial" w:hAnsi="Arial"/>
          <w:sz w:val="22"/>
          <w:szCs w:val="22"/>
        </w:rPr>
        <w:t xml:space="preserve">N+1 Queries: scan.service.ts fetches scans then loops to fetch vulnerabilities individually. No eager loading or batching.</w:t>
      </w:r>
    </w:p>
    <w:p>
      <w:pPr>
        <w:pStyle w:val="ListParagraph"/>
        <w:numPr>
          <w:ilvl w:val="0"/>
          <w:numId w:val="2"/>
        </w:numPr>
        <w:spacing w:after="80" w:line="276"/>
      </w:pPr>
      <w:r>
        <w:rPr>
          <w:rFonts w:ascii="Arial" w:cs="Arial" w:eastAsia="Arial" w:hAnsi="Arial"/>
          <w:sz w:val="22"/>
          <w:szCs w:val="22"/>
        </w:rPr>
        <w:t xml:space="preserve">No pagination bounds: asset and vulnerability routes accept arbitrary ?limit values (e.g., limit=999999999) with no maximum.</w:t>
      </w:r>
    </w:p>
    <w:p>
      <w:pPr>
        <w:spacing w:after="80"/>
      </w:pPr>
    </w:p>
    <w:p>
      <w:pPr>
        <w:pStyle w:val="Heading2"/>
      </w:pPr>
      <w:r>
        <w:rPr>
          <w:rFonts w:ascii="Arial" w:cs="Arial" w:eastAsia="Arial" w:hAnsi="Arial"/>
        </w:rPr>
        <w:t xml:space="preserve">3.3 Platform Frontend (Next.js)</w:t>
      </w:r>
    </w:p>
    <w:p>
      <w:pPr>
        <w:spacing w:after="120" w:line="276"/>
      </w:pPr>
      <w:r>
        <w:rPr>
          <w:rFonts w:ascii="Arial" w:cs="Arial" w:eastAsia="Arial" w:hAnsi="Arial"/>
          <w:sz w:val="22"/>
          <w:szCs w:val="22"/>
        </w:rPr>
        <w:t xml:space="preserve">The frontend comprises approximately 37 TypeScript/TSX files across the Next.js App Router structure. Primary concerns are component bloat, missing error boundaries, no token refresh, and zero test coverage.</w:t>
      </w:r>
    </w:p>
    <w:p>
      <w:pPr>
        <w:spacing w:after="80"/>
      </w:pPr>
    </w:p>
    <w:p>
      <w:pPr>
        <w:pStyle w:val="Heading3"/>
      </w:pPr>
      <w:r>
        <w:rPr>
          <w:rFonts w:ascii="Arial" w:cs="Arial" w:eastAsia="Arial" w:hAnsi="Arial"/>
        </w:rPr>
        <w:t xml:space="preserve">Key Issues</w:t>
      </w:r>
    </w:p>
    <w:p>
      <w:pPr>
        <w:pStyle w:val="ListParagraph"/>
        <w:numPr>
          <w:ilvl w:val="0"/>
          <w:numId w:val="2"/>
        </w:numPr>
        <w:spacing w:after="80" w:line="276"/>
      </w:pPr>
      <w:r>
        <w:rPr>
          <w:rFonts w:ascii="Arial" w:cs="Arial" w:eastAsia="Arial" w:hAnsi="Arial"/>
          <w:sz w:val="22"/>
          <w:szCs w:val="22"/>
        </w:rPr>
        <w:t xml:space="preserve">Monolithic Layout: dashboard/layout.tsx (452 lines) handles desktop sidebar, mobile sidebar, top bar, and content with duplicated navigation markup between desktop and mobile views.</w:t>
      </w:r>
    </w:p>
    <w:p>
      <w:pPr>
        <w:pStyle w:val="ListParagraph"/>
        <w:numPr>
          <w:ilvl w:val="0"/>
          <w:numId w:val="2"/>
        </w:numPr>
        <w:spacing w:after="80" w:line="276"/>
      </w:pPr>
      <w:r>
        <w:rPr>
          <w:rFonts w:ascii="Arial" w:cs="Arial" w:eastAsia="Arial" w:hAnsi="Arial"/>
          <w:sz w:val="22"/>
          <w:szCs w:val="22"/>
        </w:rPr>
        <w:t xml:space="preserve">State Explosion: vulnerabilities/page.tsx has 11 separate useState hooks mixing UI and data state. No useReducer or custom hooks for filter management.</w:t>
      </w:r>
    </w:p>
    <w:p>
      <w:pPr>
        <w:pStyle w:val="ListParagraph"/>
        <w:numPr>
          <w:ilvl w:val="0"/>
          <w:numId w:val="2"/>
        </w:numPr>
        <w:spacing w:after="80" w:line="276"/>
      </w:pPr>
      <w:r>
        <w:rPr>
          <w:rFonts w:ascii="Arial" w:cs="Arial" w:eastAsia="Arial" w:hAnsi="Arial"/>
          <w:sz w:val="22"/>
          <w:szCs w:val="22"/>
        </w:rPr>
        <w:t xml:space="preserve">No Token Refresh: AuthContext has no auto-refresh despite authAPI.refreshToken() existing in the API layer. Sessions expire silently, forcing re-login.</w:t>
      </w:r>
    </w:p>
    <w:p>
      <w:pPr>
        <w:pStyle w:val="ListParagraph"/>
        <w:numPr>
          <w:ilvl w:val="0"/>
          <w:numId w:val="2"/>
        </w:numPr>
        <w:spacing w:after="80" w:line="276"/>
      </w:pPr>
      <w:r>
        <w:rPr>
          <w:rFonts w:ascii="Arial" w:cs="Arial" w:eastAsia="Arial" w:hAnsi="Arial"/>
          <w:sz w:val="22"/>
          <w:szCs w:val="22"/>
        </w:rPr>
        <w:t xml:space="preserve">Missing Security Headers: next.config.js has no headers() export for X-Content-Type-Options, X-Frame-Options, or CSP.</w:t>
      </w:r>
    </w:p>
    <w:p>
      <w:pPr>
        <w:pStyle w:val="ListParagraph"/>
        <w:numPr>
          <w:ilvl w:val="0"/>
          <w:numId w:val="2"/>
        </w:numPr>
        <w:spacing w:after="80" w:line="276"/>
      </w:pPr>
      <w:r>
        <w:rPr>
          <w:rFonts w:ascii="Arial" w:cs="Arial" w:eastAsia="Arial" w:hAnsi="Arial"/>
          <w:sz w:val="22"/>
          <w:szCs w:val="22"/>
        </w:rPr>
        <w:t xml:space="preserve">WebSocket Issues: No exponential backoff for reconnects, silent JSON parse failure, no ping/pong heartbeat for stale connection detection.</w:t>
      </w:r>
    </w:p>
    <w:p>
      <w:pPr>
        <w:pStyle w:val="ListParagraph"/>
        <w:numPr>
          <w:ilvl w:val="0"/>
          <w:numId w:val="2"/>
        </w:numPr>
        <w:spacing w:after="80" w:line="276"/>
      </w:pPr>
      <w:r>
        <w:rPr>
          <w:rFonts w:ascii="Arial" w:cs="Arial" w:eastAsia="Arial" w:hAnsi="Arial"/>
          <w:sz w:val="22"/>
          <w:szCs w:val="22"/>
        </w:rPr>
        <w:t xml:space="preserve">Inconsistent Data Fetching: Two similar fetch functions (fetchAPI and fetchAPIWithMeta) with duplicated error handling. API URLs hardcoded throughout.</w:t>
      </w:r>
    </w:p>
    <w:p>
      <w:r>
        <w:br w:type="page"/>
      </w:r>
    </w:p>
    <w:p>
      <w:pPr>
        <w:pStyle w:val="Heading1"/>
      </w:pPr>
      <w:r>
        <w:rPr>
          <w:rFonts w:ascii="Arial" w:cs="Arial" w:eastAsia="Arial" w:hAnsi="Arial"/>
        </w:rPr>
        <w:t xml:space="preserve">4. Testing Strategy</w:t>
      </w:r>
    </w:p>
    <w:p>
      <w:pPr>
        <w:spacing w:after="120" w:line="276"/>
      </w:pPr>
      <w:r>
        <w:rPr>
          <w:rFonts w:ascii="Arial" w:cs="Arial" w:eastAsia="Arial" w:hAnsi="Arial"/>
          <w:sz w:val="22"/>
          <w:szCs w:val="22"/>
        </w:rPr>
        <w:t xml:space="preserve">The current test coverage across the Spectra platform is effectively zero. This section presents a comprehensive testing strategy organized by component, with specific coverage targets and example test cases.</w:t>
      </w:r>
    </w:p>
    <w:p>
      <w:pPr>
        <w:spacing w:after="80"/>
      </w:pPr>
    </w:p>
    <w:p>
      <w:pPr>
        <w:pStyle w:val="Heading2"/>
      </w:pPr>
      <w:r>
        <w:rPr>
          <w:rFonts w:ascii="Arial" w:cs="Arial" w:eastAsia="Arial" w:hAnsi="Arial"/>
        </w:rPr>
        <w:t xml:space="preserve">4.1 Current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0C4DE" w:sz="1"/>
              <w:left w:val="single" w:color="B0C4DE" w:sz="1"/>
              <w:bottom w:val="single" w:color="B0C4DE" w:sz="1"/>
              <w:right w:val="single" w:color="B0C4DE"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Component</w:t>
            </w:r>
          </w:p>
        </w:tc>
        <w:tc>
          <w:tcPr>
            <w:tcW w:type="dxa" w:w="2340"/>
            <w:tcBorders>
              <w:top w:val="single" w:color="B0C4DE" w:sz="1"/>
              <w:left w:val="single" w:color="B0C4DE" w:sz="1"/>
              <w:bottom w:val="single" w:color="B0C4DE" w:sz="1"/>
              <w:right w:val="single" w:color="B0C4DE"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Test Files</w:t>
            </w:r>
          </w:p>
        </w:tc>
        <w:tc>
          <w:tcPr>
            <w:tcW w:type="dxa" w:w="2340"/>
            <w:tcBorders>
              <w:top w:val="single" w:color="B0C4DE" w:sz="1"/>
              <w:left w:val="single" w:color="B0C4DE" w:sz="1"/>
              <w:bottom w:val="single" w:color="B0C4DE" w:sz="1"/>
              <w:right w:val="single" w:color="B0C4DE"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Coverage</w:t>
            </w:r>
          </w:p>
        </w:tc>
        <w:tc>
          <w:tcPr>
            <w:tcW w:type="dxa" w:w="2340"/>
            <w:tcBorders>
              <w:top w:val="single" w:color="B0C4DE" w:sz="1"/>
              <w:left w:val="single" w:color="B0C4DE" w:sz="1"/>
              <w:bottom w:val="single" w:color="B0C4DE" w:sz="1"/>
              <w:right w:val="single" w:color="B0C4DE"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Framework</w:t>
            </w:r>
          </w:p>
        </w:tc>
      </w:tr>
      <w:tr>
        <w:tc>
          <w:tcPr>
            <w:tcW w:type="dxa" w:w="234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Python Scanner</w:t>
            </w:r>
          </w:p>
        </w:tc>
        <w:tc>
          <w:tcPr>
            <w:tcW w:type="dxa" w:w="234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1 file (62 lines)</w:t>
            </w:r>
          </w:p>
        </w:tc>
        <w:tc>
          <w:tcPr>
            <w:tcW w:type="dxa" w:w="234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C0392B"/>
                <w:sz w:val="20"/>
                <w:szCs w:val="20"/>
              </w:rPr>
              <w:t xml:space="preserve">~2%</w:t>
            </w:r>
          </w:p>
        </w:tc>
        <w:tc>
          <w:tcPr>
            <w:tcW w:type="dxa" w:w="234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pytest</w:t>
            </w:r>
          </w:p>
        </w:tc>
      </w:tr>
      <w:tr>
        <w:tc>
          <w:tcPr>
            <w:tcW w:type="dxa" w:w="234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Backend API</w:t>
            </w:r>
          </w:p>
        </w:tc>
        <w:tc>
          <w:tcPr>
            <w:tcW w:type="dxa" w:w="234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color w:val="C0392B"/>
                <w:sz w:val="20"/>
                <w:szCs w:val="20"/>
                <w:shd/>
              </w:rPr>
              <w:t xml:space="preserve">0 files</w:t>
            </w:r>
          </w:p>
        </w:tc>
        <w:tc>
          <w:tcPr>
            <w:tcW w:type="dxa" w:w="234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color w:val="C0392B"/>
                <w:sz w:val="20"/>
                <w:szCs w:val="20"/>
                <w:shd/>
              </w:rPr>
              <w:t xml:space="preserve">0%</w:t>
            </w:r>
          </w:p>
        </w:tc>
        <w:tc>
          <w:tcPr>
            <w:tcW w:type="dxa" w:w="234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Jest (not installed)</w:t>
            </w:r>
          </w:p>
        </w:tc>
      </w:tr>
      <w:tr>
        <w:tc>
          <w:tcPr>
            <w:tcW w:type="dxa" w:w="234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Frontend</w:t>
            </w:r>
          </w:p>
        </w:tc>
        <w:tc>
          <w:tcPr>
            <w:tcW w:type="dxa" w:w="234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C0392B"/>
                <w:sz w:val="20"/>
                <w:szCs w:val="20"/>
              </w:rPr>
              <w:t xml:space="preserve">0 files</w:t>
            </w:r>
          </w:p>
        </w:tc>
        <w:tc>
          <w:tcPr>
            <w:tcW w:type="dxa" w:w="234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C0392B"/>
                <w:sz w:val="20"/>
                <w:szCs w:val="20"/>
              </w:rPr>
              <w:t xml:space="preserve">0%</w:t>
            </w:r>
          </w:p>
        </w:tc>
        <w:tc>
          <w:tcPr>
            <w:tcW w:type="dxa" w:w="234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None configured</w:t>
            </w:r>
          </w:p>
        </w:tc>
      </w:tr>
    </w:tbl>
    <w:p>
      <w:pPr>
        <w:spacing w:after="80"/>
      </w:pPr>
    </w:p>
    <w:p>
      <w:pPr>
        <w:pStyle w:val="Heading2"/>
      </w:pPr>
      <w:r>
        <w:rPr>
          <w:rFonts w:ascii="Arial" w:cs="Arial" w:eastAsia="Arial" w:hAnsi="Arial"/>
        </w:rPr>
        <w:t xml:space="preserve">4.2 Coverage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2340"/>
      </w:tblGrid>
      <w:tr>
        <w:tc>
          <w:tcPr>
            <w:tcW w:type="dxa" w:w="2340"/>
            <w:tcBorders>
              <w:top w:val="single" w:color="B0C4DE" w:sz="1"/>
              <w:left w:val="single" w:color="B0C4DE" w:sz="1"/>
              <w:bottom w:val="single" w:color="B0C4DE" w:sz="1"/>
              <w:right w:val="single" w:color="B0C4DE"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Component</w:t>
            </w:r>
          </w:p>
        </w:tc>
        <w:tc>
          <w:tcPr>
            <w:tcW w:type="dxa" w:w="1560"/>
            <w:tcBorders>
              <w:top w:val="single" w:color="B0C4DE" w:sz="1"/>
              <w:left w:val="single" w:color="B0C4DE" w:sz="1"/>
              <w:bottom w:val="single" w:color="B0C4DE" w:sz="1"/>
              <w:right w:val="single" w:color="B0C4DE"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Phase 1</w:t>
            </w:r>
          </w:p>
        </w:tc>
        <w:tc>
          <w:tcPr>
            <w:tcW w:type="dxa" w:w="1560"/>
            <w:tcBorders>
              <w:top w:val="single" w:color="B0C4DE" w:sz="1"/>
              <w:left w:val="single" w:color="B0C4DE" w:sz="1"/>
              <w:bottom w:val="single" w:color="B0C4DE" w:sz="1"/>
              <w:right w:val="single" w:color="B0C4DE"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Phase 2</w:t>
            </w:r>
          </w:p>
        </w:tc>
        <w:tc>
          <w:tcPr>
            <w:tcW w:type="dxa" w:w="1560"/>
            <w:tcBorders>
              <w:top w:val="single" w:color="B0C4DE" w:sz="1"/>
              <w:left w:val="single" w:color="B0C4DE" w:sz="1"/>
              <w:bottom w:val="single" w:color="B0C4DE" w:sz="1"/>
              <w:right w:val="single" w:color="B0C4DE"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Phase 3</w:t>
            </w:r>
          </w:p>
        </w:tc>
        <w:tc>
          <w:tcPr>
            <w:tcW w:type="dxa" w:w="2340"/>
            <w:tcBorders>
              <w:top w:val="single" w:color="B0C4DE" w:sz="1"/>
              <w:left w:val="single" w:color="B0C4DE" w:sz="1"/>
              <w:bottom w:val="single" w:color="B0C4DE" w:sz="1"/>
              <w:right w:val="single" w:color="B0C4DE"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Steady State</w:t>
            </w:r>
          </w:p>
        </w:tc>
      </w:tr>
      <w:tr>
        <w:tc>
          <w:tcPr>
            <w:tcW w:type="dxa" w:w="234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Python Scanner</w:t>
            </w:r>
          </w:p>
        </w:tc>
        <w:tc>
          <w:tcPr>
            <w:tcW w:type="dxa" w:w="156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30%</w:t>
            </w:r>
          </w:p>
        </w:tc>
        <w:tc>
          <w:tcPr>
            <w:tcW w:type="dxa" w:w="156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60%</w:t>
            </w:r>
          </w:p>
        </w:tc>
        <w:tc>
          <w:tcPr>
            <w:tcW w:type="dxa" w:w="156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75%</w:t>
            </w:r>
          </w:p>
        </w:tc>
        <w:tc>
          <w:tcPr>
            <w:tcW w:type="dxa" w:w="234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80%+</w:t>
            </w:r>
          </w:p>
        </w:tc>
      </w:tr>
      <w:tr>
        <w:tc>
          <w:tcPr>
            <w:tcW w:type="dxa" w:w="234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Backend API</w:t>
            </w:r>
          </w:p>
        </w:tc>
        <w:tc>
          <w:tcPr>
            <w:tcW w:type="dxa" w:w="15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25%</w:t>
            </w:r>
          </w:p>
        </w:tc>
        <w:tc>
          <w:tcPr>
            <w:tcW w:type="dxa" w:w="15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55%</w:t>
            </w:r>
          </w:p>
        </w:tc>
        <w:tc>
          <w:tcPr>
            <w:tcW w:type="dxa" w:w="15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70%</w:t>
            </w:r>
          </w:p>
        </w:tc>
        <w:tc>
          <w:tcPr>
            <w:tcW w:type="dxa" w:w="234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80%+</w:t>
            </w:r>
          </w:p>
        </w:tc>
      </w:tr>
      <w:tr>
        <w:tc>
          <w:tcPr>
            <w:tcW w:type="dxa" w:w="234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Frontend</w:t>
            </w:r>
          </w:p>
        </w:tc>
        <w:tc>
          <w:tcPr>
            <w:tcW w:type="dxa" w:w="156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15%</w:t>
            </w:r>
          </w:p>
        </w:tc>
        <w:tc>
          <w:tcPr>
            <w:tcW w:type="dxa" w:w="156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40%</w:t>
            </w:r>
          </w:p>
        </w:tc>
        <w:tc>
          <w:tcPr>
            <w:tcW w:type="dxa" w:w="156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60%</w:t>
            </w:r>
          </w:p>
        </w:tc>
        <w:tc>
          <w:tcPr>
            <w:tcW w:type="dxa" w:w="234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70%+</w:t>
            </w:r>
          </w:p>
        </w:tc>
      </w:tr>
    </w:tbl>
    <w:p>
      <w:pPr>
        <w:spacing w:after="80"/>
      </w:pPr>
    </w:p>
    <w:p>
      <w:pPr>
        <w:pStyle w:val="Heading2"/>
      </w:pPr>
      <w:r>
        <w:rPr>
          <w:rFonts w:ascii="Arial" w:cs="Arial" w:eastAsia="Arial" w:hAnsi="Arial"/>
        </w:rPr>
        <w:t xml:space="preserve">4.3 Python Scanner Test Plan</w:t>
      </w:r>
    </w:p>
    <w:p>
      <w:pPr>
        <w:spacing w:after="120" w:line="276"/>
      </w:pPr>
      <w:r>
        <w:rPr>
          <w:rFonts w:ascii="Arial" w:cs="Arial" w:eastAsia="Arial" w:hAnsi="Arial"/>
          <w:sz w:val="22"/>
          <w:szCs w:val="22"/>
        </w:rPr>
        <w:t xml:space="preserve">Framework: pytest + pytest-cov (already in requirements.txt). Focus on security-critical paths first.</w:t>
      </w:r>
    </w:p>
    <w:p>
      <w:pPr>
        <w:spacing w:after="80"/>
      </w:pPr>
    </w:p>
    <w:p>
      <w:pPr>
        <w:pStyle w:val="Heading3"/>
      </w:pPr>
      <w:r>
        <w:rPr>
          <w:rFonts w:ascii="Arial" w:cs="Arial" w:eastAsia="Arial" w:hAnsi="Arial"/>
        </w:rPr>
        <w:t xml:space="preserve">Unit Tests (Priority)</w:t>
      </w:r>
    </w:p>
    <w:p>
      <w:pPr>
        <w:pStyle w:val="ListParagraph"/>
        <w:numPr>
          <w:ilvl w:val="0"/>
          <w:numId w:val="2"/>
        </w:numPr>
        <w:spacing w:after="80" w:line="276"/>
      </w:pPr>
      <w:r>
        <w:rPr>
          <w:rFonts w:ascii="Arial" w:cs="Arial" w:eastAsia="Arial" w:hAnsi="Arial"/>
          <w:b/>
          <w:bCs/>
          <w:sz w:val="22"/>
          <w:szCs w:val="22"/>
        </w:rPr>
        <w:t xml:space="preserve">NucleiScanner: </w:t>
      </w:r>
      <w:r>
        <w:rPr>
          <w:rFonts w:ascii="Arial" w:cs="Arial" w:eastAsia="Arial" w:hAnsi="Arial"/>
          <w:sz w:val="22"/>
          <w:szCs w:val="22"/>
        </w:rPr>
        <w:t xml:space="preserve">Test command building with malicious URLs (XSS payloads, shell metacharacters, Unicode). Mock subprocess.run. Verify all user inputs are sanitized.</w:t>
      </w:r>
    </w:p>
    <w:p>
      <w:pPr>
        <w:pStyle w:val="ListParagraph"/>
        <w:numPr>
          <w:ilvl w:val="0"/>
          <w:numId w:val="2"/>
        </w:numPr>
        <w:spacing w:after="80" w:line="276"/>
      </w:pPr>
      <w:r>
        <w:rPr>
          <w:rFonts w:ascii="Arial" w:cs="Arial" w:eastAsia="Arial" w:hAnsi="Arial"/>
          <w:b/>
          <w:bCs/>
          <w:sz w:val="22"/>
          <w:szCs w:val="22"/>
        </w:rPr>
        <w:t xml:space="preserve">AIAnalyzer: </w:t>
      </w:r>
      <w:r>
        <w:rPr>
          <w:rFonts w:ascii="Arial" w:cs="Arial" w:eastAsia="Arial" w:hAnsi="Arial"/>
          <w:sz w:val="22"/>
          <w:szCs w:val="22"/>
        </w:rPr>
        <w:t xml:space="preserve">Test risk score calculation edge cases (empty results, all-critical, all-info). Test Ollama fallback behavior. Test prompt injection resistance.</w:t>
      </w:r>
    </w:p>
    <w:p>
      <w:pPr>
        <w:pStyle w:val="ListParagraph"/>
        <w:numPr>
          <w:ilvl w:val="0"/>
          <w:numId w:val="2"/>
        </w:numPr>
        <w:spacing w:after="80" w:line="276"/>
      </w:pPr>
      <w:r>
        <w:rPr>
          <w:rFonts w:ascii="Arial" w:cs="Arial" w:eastAsia="Arial" w:hAnsi="Arial"/>
          <w:b/>
          <w:bCs/>
          <w:sz w:val="22"/>
          <w:szCs w:val="22"/>
        </w:rPr>
        <w:t xml:space="preserve">Database models: </w:t>
      </w:r>
      <w:r>
        <w:rPr>
          <w:rFonts w:ascii="Arial" w:cs="Arial" w:eastAsia="Arial" w:hAnsi="Arial"/>
          <w:sz w:val="22"/>
          <w:szCs w:val="22"/>
        </w:rPr>
        <w:t xml:space="preserve">Test concurrent access, transaction rollback on error, JSON serialization edge cases.</w:t>
      </w:r>
    </w:p>
    <w:p>
      <w:pPr>
        <w:pStyle w:val="ListParagraph"/>
        <w:numPr>
          <w:ilvl w:val="0"/>
          <w:numId w:val="2"/>
        </w:numPr>
        <w:spacing w:after="80" w:line="276"/>
      </w:pPr>
      <w:r>
        <w:rPr>
          <w:rFonts w:ascii="Arial" w:cs="Arial" w:eastAsia="Arial" w:hAnsi="Arial"/>
          <w:b/>
          <w:bCs/>
          <w:sz w:val="22"/>
          <w:szCs w:val="22"/>
        </w:rPr>
        <w:t xml:space="preserve">CacheManager: </w:t>
      </w:r>
      <w:r>
        <w:rPr>
          <w:rFonts w:ascii="Arial" w:cs="Arial" w:eastAsia="Arial" w:hAnsi="Arial"/>
          <w:sz w:val="22"/>
          <w:szCs w:val="22"/>
        </w:rPr>
        <w:t xml:space="preserve">Test cache expiration, key collision detection, thread-safety under concurrent access.</w:t>
      </w:r>
    </w:p>
    <w:p>
      <w:pPr>
        <w:pStyle w:val="ListParagraph"/>
        <w:numPr>
          <w:ilvl w:val="0"/>
          <w:numId w:val="2"/>
        </w:numPr>
        <w:spacing w:after="80" w:line="276"/>
      </w:pPr>
      <w:r>
        <w:rPr>
          <w:rFonts w:ascii="Arial" w:cs="Arial" w:eastAsia="Arial" w:hAnsi="Arial"/>
          <w:b/>
          <w:bCs/>
          <w:sz w:val="22"/>
          <w:szCs w:val="22"/>
        </w:rPr>
        <w:t xml:space="preserve">ReportGenerator: </w:t>
      </w:r>
      <w:r>
        <w:rPr>
          <w:rFonts w:ascii="Arial" w:cs="Arial" w:eastAsia="Arial" w:hAnsi="Arial"/>
          <w:sz w:val="22"/>
          <w:szCs w:val="22"/>
        </w:rPr>
        <w:t xml:space="preserve">Test HTML output sanitization (XSS in vulnerability data), file I/O errors, Unicode handling, all output formats.</w:t>
      </w:r>
    </w:p>
    <w:p>
      <w:pPr>
        <w:pStyle w:val="Heading3"/>
      </w:pPr>
      <w:r>
        <w:rPr>
          <w:rFonts w:ascii="Arial" w:cs="Arial" w:eastAsia="Arial" w:hAnsi="Arial"/>
        </w:rPr>
        <w:t xml:space="preserve">Integration Tests</w:t>
      </w:r>
    </w:p>
    <w:p>
      <w:pPr>
        <w:pStyle w:val="ListParagraph"/>
        <w:numPr>
          <w:ilvl w:val="0"/>
          <w:numId w:val="2"/>
        </w:numPr>
        <w:spacing w:after="80" w:line="276"/>
      </w:pPr>
      <w:r>
        <w:rPr>
          <w:rFonts w:ascii="Arial" w:cs="Arial" w:eastAsia="Arial" w:hAnsi="Arial"/>
          <w:sz w:val="22"/>
          <w:szCs w:val="22"/>
        </w:rPr>
        <w:t xml:space="preserve">Full pipeline: Scanner → Analyzer → Reporter → Database with mock Nuclei output and mock Ollama responses.</w:t>
      </w:r>
    </w:p>
    <w:p>
      <w:pPr>
        <w:pStyle w:val="ListParagraph"/>
        <w:numPr>
          <w:ilvl w:val="0"/>
          <w:numId w:val="2"/>
        </w:numPr>
        <w:spacing w:after="80" w:line="276"/>
      </w:pPr>
      <w:r>
        <w:rPr>
          <w:rFonts w:ascii="Arial" w:cs="Arial" w:eastAsia="Arial" w:hAnsi="Arial"/>
          <w:sz w:val="22"/>
          <w:szCs w:val="22"/>
        </w:rPr>
        <w:t xml:space="preserve">API endpoints: Test all Flask routes with mock services, verify auth enforcement, input validation, and error responses.</w:t>
      </w:r>
    </w:p>
    <w:p>
      <w:pPr>
        <w:pStyle w:val="ListParagraph"/>
        <w:numPr>
          <w:ilvl w:val="0"/>
          <w:numId w:val="2"/>
        </w:numPr>
        <w:spacing w:after="80" w:line="276"/>
      </w:pPr>
      <w:r>
        <w:rPr>
          <w:rFonts w:ascii="Arial" w:cs="Arial" w:eastAsia="Arial" w:hAnsi="Arial"/>
          <w:sz w:val="22"/>
          <w:szCs w:val="22"/>
        </w:rPr>
        <w:t xml:space="preserve">Batch processing: Test parallel_processor with varying worker counts, failure handling, and progress reporting.</w:t>
      </w:r>
    </w:p>
    <w:p>
      <w:pPr>
        <w:spacing w:after="80"/>
      </w:pPr>
    </w:p>
    <w:p>
      <w:pPr>
        <w:pStyle w:val="Heading2"/>
      </w:pPr>
      <w:r>
        <w:rPr>
          <w:rFonts w:ascii="Arial" w:cs="Arial" w:eastAsia="Arial" w:hAnsi="Arial"/>
        </w:rPr>
        <w:t xml:space="preserve">4.4 Backend API Test Plan</w:t>
      </w:r>
    </w:p>
    <w:p>
      <w:pPr>
        <w:spacing w:after="120" w:line="276"/>
      </w:pPr>
      <w:r>
        <w:rPr>
          <w:rFonts w:ascii="Arial" w:cs="Arial" w:eastAsia="Arial" w:hAnsi="Arial"/>
          <w:sz w:val="22"/>
          <w:szCs w:val="22"/>
        </w:rPr>
        <w:t xml:space="preserve">Framework: Jest + Supertest (must add jest, @types/jest, ts-jest, supertest to devDependencies). Critical gap: Jest is referenced in scripts but not installed.</w:t>
      </w:r>
    </w:p>
    <w:p>
      <w:pPr>
        <w:spacing w:after="80"/>
      </w:pPr>
    </w:p>
    <w:p>
      <w:pPr>
        <w:pStyle w:val="Heading3"/>
      </w:pPr>
      <w:r>
        <w:rPr>
          <w:rFonts w:ascii="Arial" w:cs="Arial" w:eastAsia="Arial" w:hAnsi="Arial"/>
        </w:rPr>
        <w:t xml:space="preserve">Unit Tests (Priority)</w:t>
      </w:r>
    </w:p>
    <w:p>
      <w:pPr>
        <w:pStyle w:val="ListParagraph"/>
        <w:numPr>
          <w:ilvl w:val="0"/>
          <w:numId w:val="2"/>
        </w:numPr>
        <w:spacing w:after="80" w:line="276"/>
      </w:pPr>
      <w:r>
        <w:rPr>
          <w:rFonts w:ascii="Arial" w:cs="Arial" w:eastAsia="Arial" w:hAnsi="Arial"/>
          <w:b/>
          <w:bCs/>
          <w:sz w:val="22"/>
          <w:szCs w:val="22"/>
        </w:rPr>
        <w:t xml:space="preserve">Auth middleware: </w:t>
      </w:r>
      <w:r>
        <w:rPr>
          <w:rFonts w:ascii="Arial" w:cs="Arial" w:eastAsia="Arial" w:hAnsi="Arial"/>
          <w:sz w:val="22"/>
          <w:szCs w:val="22"/>
        </w:rPr>
        <w:t xml:space="preserve">Test JWT validation, expired tokens, malformed tokens, missing tokens, role-based access control, tenant isolation enforcement.</w:t>
      </w:r>
    </w:p>
    <w:p>
      <w:pPr>
        <w:pStyle w:val="ListParagraph"/>
        <w:numPr>
          <w:ilvl w:val="0"/>
          <w:numId w:val="2"/>
        </w:numPr>
        <w:spacing w:after="80" w:line="276"/>
      </w:pPr>
      <w:r>
        <w:rPr>
          <w:rFonts w:ascii="Arial" w:cs="Arial" w:eastAsia="Arial" w:hAnsi="Arial"/>
          <w:b/>
          <w:bCs/>
          <w:sz w:val="22"/>
          <w:szCs w:val="22"/>
        </w:rPr>
        <w:t xml:space="preserve">Tenant isolation: </w:t>
      </w:r>
      <w:r>
        <w:rPr>
          <w:rFonts w:ascii="Arial" w:cs="Arial" w:eastAsia="Arial" w:hAnsi="Arial"/>
          <w:sz w:val="22"/>
          <w:szCs w:val="22"/>
        </w:rPr>
        <w:t xml:space="preserve">Verify every Prisma query includes tenantId. Test cross-tenant access attempts return 403.</w:t>
      </w:r>
    </w:p>
    <w:p>
      <w:pPr>
        <w:pStyle w:val="ListParagraph"/>
        <w:numPr>
          <w:ilvl w:val="0"/>
          <w:numId w:val="2"/>
        </w:numPr>
        <w:spacing w:after="80" w:line="276"/>
      </w:pPr>
      <w:r>
        <w:rPr>
          <w:rFonts w:ascii="Arial" w:cs="Arial" w:eastAsia="Arial" w:hAnsi="Arial"/>
          <w:b/>
          <w:bCs/>
          <w:sz w:val="22"/>
          <w:szCs w:val="22"/>
        </w:rPr>
        <w:t xml:space="preserve">Input validation: </w:t>
      </w:r>
      <w:r>
        <w:rPr>
          <w:rFonts w:ascii="Arial" w:cs="Arial" w:eastAsia="Arial" w:hAnsi="Arial"/>
          <w:sz w:val="22"/>
          <w:szCs w:val="22"/>
        </w:rPr>
        <w:t xml:space="preserve">Test all Zod schemas with boundary values, XSS payloads, SQL injection strings, and oversized inputs.</w:t>
      </w:r>
    </w:p>
    <w:p>
      <w:pPr>
        <w:pStyle w:val="ListParagraph"/>
        <w:numPr>
          <w:ilvl w:val="0"/>
          <w:numId w:val="2"/>
        </w:numPr>
        <w:spacing w:after="80" w:line="276"/>
      </w:pPr>
      <w:r>
        <w:rPr>
          <w:rFonts w:ascii="Arial" w:cs="Arial" w:eastAsia="Arial" w:hAnsi="Arial"/>
          <w:b/>
          <w:bCs/>
          <w:sz w:val="22"/>
          <w:szCs w:val="22"/>
        </w:rPr>
        <w:t xml:space="preserve">Vulnerability deduplication: </w:t>
      </w:r>
      <w:r>
        <w:rPr>
          <w:rFonts w:ascii="Arial" w:cs="Arial" w:eastAsia="Arial" w:hAnsi="Arial"/>
          <w:sz w:val="22"/>
          <w:szCs w:val="22"/>
        </w:rPr>
        <w:t xml:space="preserve">Test fingerprint generation, case sensitivity handling, collision scenarios.</w:t>
      </w:r>
    </w:p>
    <w:p>
      <w:pPr>
        <w:pStyle w:val="Heading3"/>
      </w:pPr>
      <w:r>
        <w:rPr>
          <w:rFonts w:ascii="Arial" w:cs="Arial" w:eastAsia="Arial" w:hAnsi="Arial"/>
        </w:rPr>
        <w:t xml:space="preserve">Integration Tests</w:t>
      </w:r>
    </w:p>
    <w:p>
      <w:pPr>
        <w:pStyle w:val="ListParagraph"/>
        <w:numPr>
          <w:ilvl w:val="0"/>
          <w:numId w:val="2"/>
        </w:numPr>
        <w:spacing w:after="80" w:line="276"/>
      </w:pPr>
      <w:r>
        <w:rPr>
          <w:rFonts w:ascii="Arial" w:cs="Arial" w:eastAsia="Arial" w:hAnsi="Arial"/>
          <w:sz w:val="22"/>
          <w:szCs w:val="22"/>
        </w:rPr>
        <w:t xml:space="preserve">Scan lifecycle: Create asset → Start scan → Monitor progress → View results. Test with mock Nuclei subprocess.</w:t>
      </w:r>
    </w:p>
    <w:p>
      <w:pPr>
        <w:pStyle w:val="ListParagraph"/>
        <w:numPr>
          <w:ilvl w:val="0"/>
          <w:numId w:val="2"/>
        </w:numPr>
        <w:spacing w:after="80" w:line="276"/>
      </w:pPr>
      <w:r>
        <w:rPr>
          <w:rFonts w:ascii="Arial" w:cs="Arial" w:eastAsia="Arial" w:hAnsi="Arial"/>
          <w:sz w:val="22"/>
          <w:szCs w:val="22"/>
        </w:rPr>
        <w:t xml:space="preserve">WebSocket events: Test real-time scan progress broadcasting, multi-tenant isolation of events, reconnection handling.</w:t>
      </w:r>
    </w:p>
    <w:p>
      <w:pPr>
        <w:pStyle w:val="ListParagraph"/>
        <w:numPr>
          <w:ilvl w:val="0"/>
          <w:numId w:val="2"/>
        </w:numPr>
        <w:spacing w:after="80" w:line="276"/>
      </w:pPr>
      <w:r>
        <w:rPr>
          <w:rFonts w:ascii="Arial" w:cs="Arial" w:eastAsia="Arial" w:hAnsi="Arial"/>
          <w:sz w:val="22"/>
          <w:szCs w:val="22"/>
        </w:rPr>
        <w:t xml:space="preserve">CLI ingest endpoint: Test POST /api/scans/ingest with valid/invalid/malformed scan data. Verify database persistence.</w:t>
      </w:r>
    </w:p>
    <w:p>
      <w:pPr>
        <w:spacing w:after="80"/>
      </w:pPr>
    </w:p>
    <w:p>
      <w:pPr>
        <w:pStyle w:val="Heading2"/>
      </w:pPr>
      <w:r>
        <w:rPr>
          <w:rFonts w:ascii="Arial" w:cs="Arial" w:eastAsia="Arial" w:hAnsi="Arial"/>
        </w:rPr>
        <w:t xml:space="preserve">4.5 Frontend Test Plan</w:t>
      </w:r>
    </w:p>
    <w:p>
      <w:pPr>
        <w:spacing w:after="120" w:line="276"/>
      </w:pPr>
      <w:r>
        <w:rPr>
          <w:rFonts w:ascii="Arial" w:cs="Arial" w:eastAsia="Arial" w:hAnsi="Arial"/>
          <w:sz w:val="22"/>
          <w:szCs w:val="22"/>
        </w:rPr>
        <w:t xml:space="preserve">Framework: Vitest + React Testing Library + MSW (Mock Service Worker). Must add to devDependencies.</w:t>
      </w:r>
    </w:p>
    <w:p>
      <w:pPr>
        <w:spacing w:after="80"/>
      </w:pPr>
    </w:p>
    <w:p>
      <w:pPr>
        <w:pStyle w:val="Heading3"/>
      </w:pPr>
      <w:r>
        <w:rPr>
          <w:rFonts w:ascii="Arial" w:cs="Arial" w:eastAsia="Arial" w:hAnsi="Arial"/>
        </w:rPr>
        <w:t xml:space="preserve">Component Tests (Priority)</w:t>
      </w:r>
    </w:p>
    <w:p>
      <w:pPr>
        <w:pStyle w:val="ListParagraph"/>
        <w:numPr>
          <w:ilvl w:val="0"/>
          <w:numId w:val="2"/>
        </w:numPr>
        <w:spacing w:after="80" w:line="276"/>
      </w:pPr>
      <w:r>
        <w:rPr>
          <w:rFonts w:ascii="Arial" w:cs="Arial" w:eastAsia="Arial" w:hAnsi="Arial"/>
          <w:b/>
          <w:bCs/>
          <w:sz w:val="22"/>
          <w:szCs w:val="22"/>
        </w:rPr>
        <w:t xml:space="preserve">AuthContext: </w:t>
      </w:r>
      <w:r>
        <w:rPr>
          <w:rFonts w:ascii="Arial" w:cs="Arial" w:eastAsia="Arial" w:hAnsi="Arial"/>
          <w:sz w:val="22"/>
          <w:szCs w:val="22"/>
        </w:rPr>
        <w:t xml:space="preserve">Test login/register/logout flows, token storage, error handling (invalid credentials vs server error), auto-redirect on auth failure.</w:t>
      </w:r>
    </w:p>
    <w:p>
      <w:pPr>
        <w:pStyle w:val="ListParagraph"/>
        <w:numPr>
          <w:ilvl w:val="0"/>
          <w:numId w:val="2"/>
        </w:numPr>
        <w:spacing w:after="80" w:line="276"/>
      </w:pPr>
      <w:r>
        <w:rPr>
          <w:rFonts w:ascii="Arial" w:cs="Arial" w:eastAsia="Arial" w:hAnsi="Arial"/>
          <w:b/>
          <w:bCs/>
          <w:sz w:val="22"/>
          <w:szCs w:val="22"/>
        </w:rPr>
        <w:t xml:space="preserve">WebSocketContext: </w:t>
      </w:r>
      <w:r>
        <w:rPr>
          <w:rFonts w:ascii="Arial" w:cs="Arial" w:eastAsia="Arial" w:hAnsi="Arial"/>
          <w:sz w:val="22"/>
          <w:szCs w:val="22"/>
        </w:rPr>
        <w:t xml:space="preserve">Test connection lifecycle, reconnection with backoff, message parsing, stale connection detection.</w:t>
      </w:r>
    </w:p>
    <w:p>
      <w:pPr>
        <w:pStyle w:val="ListParagraph"/>
        <w:numPr>
          <w:ilvl w:val="0"/>
          <w:numId w:val="2"/>
        </w:numPr>
        <w:spacing w:after="80" w:line="276"/>
      </w:pPr>
      <w:r>
        <w:rPr>
          <w:rFonts w:ascii="Arial" w:cs="Arial" w:eastAsia="Arial" w:hAnsi="Arial"/>
          <w:b/>
          <w:bCs/>
          <w:sz w:val="22"/>
          <w:szCs w:val="22"/>
        </w:rPr>
        <w:t xml:space="preserve">Dashboard page: </w:t>
      </w:r>
      <w:r>
        <w:rPr>
          <w:rFonts w:ascii="Arial" w:cs="Arial" w:eastAsia="Arial" w:hAnsi="Arial"/>
          <w:sz w:val="22"/>
          <w:szCs w:val="22"/>
        </w:rPr>
        <w:t xml:space="preserve">Test KPI rendering, chart data transformation, loading states, error states, empty states.</w:t>
      </w:r>
    </w:p>
    <w:p>
      <w:pPr>
        <w:pStyle w:val="ListParagraph"/>
        <w:numPr>
          <w:ilvl w:val="0"/>
          <w:numId w:val="2"/>
        </w:numPr>
        <w:spacing w:after="80" w:line="276"/>
      </w:pPr>
      <w:r>
        <w:rPr>
          <w:rFonts w:ascii="Arial" w:cs="Arial" w:eastAsia="Arial" w:hAnsi="Arial"/>
          <w:b/>
          <w:bCs/>
          <w:sz w:val="22"/>
          <w:szCs w:val="22"/>
        </w:rPr>
        <w:t xml:space="preserve">Error boundaries: </w:t>
      </w:r>
      <w:r>
        <w:rPr>
          <w:rFonts w:ascii="Arial" w:cs="Arial" w:eastAsia="Arial" w:hAnsi="Arial"/>
          <w:sz w:val="22"/>
          <w:szCs w:val="22"/>
        </w:rPr>
        <w:t xml:space="preserve">Test error catching, fallback rendering, error recovery, nested boundary behavior.</w:t>
      </w:r>
    </w:p>
    <w:p>
      <w:pPr>
        <w:pStyle w:val="Heading3"/>
      </w:pPr>
      <w:r>
        <w:rPr>
          <w:rFonts w:ascii="Arial" w:cs="Arial" w:eastAsia="Arial" w:hAnsi="Arial"/>
        </w:rPr>
        <w:t xml:space="preserve">E2E Tests (Phase 3)</w:t>
      </w:r>
    </w:p>
    <w:p>
      <w:pPr>
        <w:pStyle w:val="ListParagraph"/>
        <w:numPr>
          <w:ilvl w:val="0"/>
          <w:numId w:val="2"/>
        </w:numPr>
        <w:spacing w:after="80" w:line="276"/>
      </w:pPr>
      <w:r>
        <w:rPr>
          <w:rFonts w:ascii="Arial" w:cs="Arial" w:eastAsia="Arial" w:hAnsi="Arial"/>
          <w:sz w:val="22"/>
          <w:szCs w:val="22"/>
        </w:rPr>
        <w:t xml:space="preserve">Login → Dashboard → Start Scan → View Results (happy path)</w:t>
      </w:r>
    </w:p>
    <w:p>
      <w:pPr>
        <w:pStyle w:val="ListParagraph"/>
        <w:numPr>
          <w:ilvl w:val="0"/>
          <w:numId w:val="2"/>
        </w:numPr>
        <w:spacing w:after="80" w:line="276"/>
      </w:pPr>
      <w:r>
        <w:rPr>
          <w:rFonts w:ascii="Arial" w:cs="Arial" w:eastAsia="Arial" w:hAnsi="Arial"/>
          <w:sz w:val="22"/>
          <w:szCs w:val="22"/>
        </w:rPr>
        <w:t xml:space="preserve">Multi-tenant isolation: Verify user A cannot see user B’s data</w:t>
      </w:r>
    </w:p>
    <w:p>
      <w:pPr>
        <w:pStyle w:val="ListParagraph"/>
        <w:numPr>
          <w:ilvl w:val="0"/>
          <w:numId w:val="2"/>
        </w:numPr>
        <w:spacing w:after="80" w:line="276"/>
      </w:pPr>
      <w:r>
        <w:rPr>
          <w:rFonts w:ascii="Arial" w:cs="Arial" w:eastAsia="Arial" w:hAnsi="Arial"/>
          <w:sz w:val="22"/>
          <w:szCs w:val="22"/>
        </w:rPr>
        <w:t xml:space="preserve">Accessibility: Keyboard navigation, screen reader compatibility, color contrast</w:t>
      </w:r>
    </w:p>
    <w:p>
      <w:r>
        <w:br w:type="page"/>
      </w:r>
    </w:p>
    <w:p>
      <w:pPr>
        <w:pStyle w:val="Heading1"/>
      </w:pPr>
      <w:r>
        <w:rPr>
          <w:rFonts w:ascii="Arial" w:cs="Arial" w:eastAsia="Arial" w:hAnsi="Arial"/>
        </w:rPr>
        <w:t xml:space="preserve">5. Phased Remediation Plan</w:t>
      </w:r>
    </w:p>
    <w:p>
      <w:pPr>
        <w:spacing w:after="120" w:line="276"/>
      </w:pPr>
      <w:r>
        <w:rPr>
          <w:rFonts w:ascii="Arial" w:cs="Arial" w:eastAsia="Arial" w:hAnsi="Arial"/>
          <w:sz w:val="22"/>
          <w:szCs w:val="22"/>
        </w:rPr>
        <w:t xml:space="preserve">The following plan is designed to run alongside feature work, allocating approximately 30% of engineering capacity to debt reduction. Each phase builds on the previous, with the most critical security and testing items addressed first.</w:t>
      </w:r>
    </w:p>
    <w:p>
      <w:pPr>
        <w:spacing w:after="80"/>
      </w:pPr>
    </w:p>
    <w:p>
      <w:pPr>
        <w:pStyle w:val="Heading2"/>
      </w:pPr>
      <w:r>
        <w:rPr>
          <w:rFonts w:ascii="Arial" w:cs="Arial" w:eastAsia="Arial" w:hAnsi="Arial"/>
        </w:rPr>
        <w:t xml:space="preserve">5.1 Phase 1: Security &amp; Testing Foundation (Weeks 1–4)</w:t>
      </w:r>
    </w:p>
    <w:p>
      <w:pPr>
        <w:spacing w:after="120" w:line="276"/>
      </w:pPr>
      <w:r>
        <w:rPr>
          <w:rFonts w:ascii="Arial" w:cs="Arial" w:eastAsia="Arial" w:hAnsi="Arial"/>
          <w:sz w:val="22"/>
          <w:szCs w:val="22"/>
        </w:rPr>
        <w:t xml:space="preserve">Goal: Eliminate all critical security vulnerabilities and establish automated testing with CI enforcement.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560"/>
        <w:gridCol w:w="2000"/>
        <w:gridCol w:w="1500"/>
        <w:gridCol w:w="1500"/>
      </w:tblGrid>
      <w:tr>
        <w:tc>
          <w:tcPr>
            <w:tcW w:type="dxa" w:w="800"/>
            <w:tcBorders>
              <w:top w:val="single" w:color="B0C4DE" w:sz="1"/>
              <w:left w:val="single" w:color="B0C4DE" w:sz="1"/>
              <w:bottom w:val="single" w:color="B0C4DE" w:sz="1"/>
              <w:right w:val="single" w:color="B0C4DE"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3560"/>
            <w:tcBorders>
              <w:top w:val="single" w:color="B0C4DE" w:sz="1"/>
              <w:left w:val="single" w:color="B0C4DE" w:sz="1"/>
              <w:bottom w:val="single" w:color="B0C4DE" w:sz="1"/>
              <w:right w:val="single" w:color="B0C4DE"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Task</w:t>
            </w:r>
          </w:p>
        </w:tc>
        <w:tc>
          <w:tcPr>
            <w:tcW w:type="dxa" w:w="2000"/>
            <w:tcBorders>
              <w:top w:val="single" w:color="B0C4DE" w:sz="1"/>
              <w:left w:val="single" w:color="B0C4DE" w:sz="1"/>
              <w:bottom w:val="single" w:color="B0C4DE" w:sz="1"/>
              <w:right w:val="single" w:color="B0C4DE"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Component</w:t>
            </w:r>
          </w:p>
        </w:tc>
        <w:tc>
          <w:tcPr>
            <w:tcW w:type="dxa" w:w="1500"/>
            <w:tcBorders>
              <w:top w:val="single" w:color="B0C4DE" w:sz="1"/>
              <w:left w:val="single" w:color="B0C4DE" w:sz="1"/>
              <w:bottom w:val="single" w:color="B0C4DE" w:sz="1"/>
              <w:right w:val="single" w:color="B0C4DE"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Effort</w:t>
            </w:r>
          </w:p>
        </w:tc>
        <w:tc>
          <w:tcPr>
            <w:tcW w:type="dxa" w:w="1500"/>
            <w:tcBorders>
              <w:top w:val="single" w:color="B0C4DE" w:sz="1"/>
              <w:left w:val="single" w:color="B0C4DE" w:sz="1"/>
              <w:bottom w:val="single" w:color="B0C4DE" w:sz="1"/>
              <w:right w:val="single" w:color="B0C4DE"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Week</w:t>
            </w:r>
          </w:p>
        </w:tc>
      </w:tr>
      <w:tr>
        <w:tc>
          <w:tcPr>
            <w:tcW w:type="dxa" w:w="8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TD-04</w:t>
            </w:r>
          </w:p>
        </w:tc>
        <w:tc>
          <w:tcPr>
            <w:tcW w:type="dxa" w:w="356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Fix API key timing attack (hmac.compare_digest)</w:t>
            </w:r>
          </w:p>
        </w:tc>
        <w:tc>
          <w:tcPr>
            <w:tcW w:type="dxa" w:w="20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Scanner</w:t>
            </w:r>
          </w:p>
        </w:tc>
        <w:tc>
          <w:tcPr>
            <w:tcW w:type="dxa" w:w="15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2 hours</w:t>
            </w:r>
          </w:p>
        </w:tc>
        <w:tc>
          <w:tcPr>
            <w:tcW w:type="dxa" w:w="15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1</w:t>
            </w:r>
          </w:p>
        </w:tc>
      </w:tr>
      <w:tr>
        <w:tc>
          <w:tcPr>
            <w:tcW w:type="dxa" w:w="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TD-03</w:t>
            </w:r>
          </w:p>
        </w:tc>
        <w:tc>
          <w:tcPr>
            <w:tcW w:type="dxa" w:w="35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Remove JWT secret fallback, enforce env var</w:t>
            </w:r>
          </w:p>
        </w:tc>
        <w:tc>
          <w:tcPr>
            <w:tcW w:type="dxa" w:w="20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Backend</w:t>
            </w:r>
          </w:p>
        </w:tc>
        <w:tc>
          <w:tcPr>
            <w:tcW w:type="dxa" w:w="15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2 hours</w:t>
            </w:r>
          </w:p>
        </w:tc>
        <w:tc>
          <w:tcPr>
            <w:tcW w:type="dxa" w:w="15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1</w:t>
            </w:r>
          </w:p>
        </w:tc>
      </w:tr>
      <w:tr>
        <w:tc>
          <w:tcPr>
            <w:tcW w:type="dxa" w:w="8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TD-01</w:t>
            </w:r>
          </w:p>
        </w:tc>
        <w:tc>
          <w:tcPr>
            <w:tcW w:type="dxa" w:w="356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Add shlex.quote() + URL validation to scanner</w:t>
            </w:r>
          </w:p>
        </w:tc>
        <w:tc>
          <w:tcPr>
            <w:tcW w:type="dxa" w:w="20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Scanner</w:t>
            </w:r>
          </w:p>
        </w:tc>
        <w:tc>
          <w:tcPr>
            <w:tcW w:type="dxa" w:w="15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4 hours</w:t>
            </w:r>
          </w:p>
        </w:tc>
        <w:tc>
          <w:tcPr>
            <w:tcW w:type="dxa" w:w="15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1</w:t>
            </w:r>
          </w:p>
        </w:tc>
      </w:tr>
      <w:tr>
        <w:tc>
          <w:tcPr>
            <w:tcW w:type="dxa" w:w="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TD-07</w:t>
            </w:r>
          </w:p>
        </w:tc>
        <w:tc>
          <w:tcPr>
            <w:tcW w:type="dxa" w:w="35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Add security headers to next.config.js</w:t>
            </w:r>
          </w:p>
        </w:tc>
        <w:tc>
          <w:tcPr>
            <w:tcW w:type="dxa" w:w="20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Frontend</w:t>
            </w:r>
          </w:p>
        </w:tc>
        <w:tc>
          <w:tcPr>
            <w:tcW w:type="dxa" w:w="15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2 hours</w:t>
            </w:r>
          </w:p>
        </w:tc>
        <w:tc>
          <w:tcPr>
            <w:tcW w:type="dxa" w:w="15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1</w:t>
            </w:r>
          </w:p>
        </w:tc>
      </w:tr>
      <w:tr>
        <w:tc>
          <w:tcPr>
            <w:tcW w:type="dxa" w:w="8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TD-02</w:t>
            </w:r>
          </w:p>
        </w:tc>
        <w:tc>
          <w:tcPr>
            <w:tcW w:type="dxa" w:w="356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Enable TypeScript strict mode (incremental)</w:t>
            </w:r>
          </w:p>
        </w:tc>
        <w:tc>
          <w:tcPr>
            <w:tcW w:type="dxa" w:w="20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Backend</w:t>
            </w:r>
          </w:p>
        </w:tc>
        <w:tc>
          <w:tcPr>
            <w:tcW w:type="dxa" w:w="15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3 days</w:t>
            </w:r>
          </w:p>
        </w:tc>
        <w:tc>
          <w:tcPr>
            <w:tcW w:type="dxa" w:w="15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1–2</w:t>
            </w:r>
          </w:p>
        </w:tc>
      </w:tr>
      <w:tr>
        <w:tc>
          <w:tcPr>
            <w:tcW w:type="dxa" w:w="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TD-05</w:t>
            </w:r>
          </w:p>
        </w:tc>
        <w:tc>
          <w:tcPr>
            <w:tcW w:type="dxa" w:w="35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Audit &amp; fix all tenant isolation queries</w:t>
            </w:r>
          </w:p>
        </w:tc>
        <w:tc>
          <w:tcPr>
            <w:tcW w:type="dxa" w:w="20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Backend</w:t>
            </w:r>
          </w:p>
        </w:tc>
        <w:tc>
          <w:tcPr>
            <w:tcW w:type="dxa" w:w="15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3 days</w:t>
            </w:r>
          </w:p>
        </w:tc>
        <w:tc>
          <w:tcPr>
            <w:tcW w:type="dxa" w:w="15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2</w:t>
            </w:r>
          </w:p>
        </w:tc>
      </w:tr>
      <w:tr>
        <w:tc>
          <w:tcPr>
            <w:tcW w:type="dxa" w:w="8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TD-18</w:t>
            </w:r>
          </w:p>
        </w:tc>
        <w:tc>
          <w:tcPr>
            <w:tcW w:type="dxa" w:w="356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Set up CI/CD with GitHub Actions</w:t>
            </w:r>
          </w:p>
        </w:tc>
        <w:tc>
          <w:tcPr>
            <w:tcW w:type="dxa" w:w="20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All</w:t>
            </w:r>
          </w:p>
        </w:tc>
        <w:tc>
          <w:tcPr>
            <w:tcW w:type="dxa" w:w="15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2 days</w:t>
            </w:r>
          </w:p>
        </w:tc>
        <w:tc>
          <w:tcPr>
            <w:tcW w:type="dxa" w:w="15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2–3</w:t>
            </w:r>
          </w:p>
        </w:tc>
      </w:tr>
      <w:tr>
        <w:tc>
          <w:tcPr>
            <w:tcW w:type="dxa" w:w="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TD-08</w:t>
            </w:r>
          </w:p>
        </w:tc>
        <w:tc>
          <w:tcPr>
            <w:tcW w:type="dxa" w:w="35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Write security-critical unit tests (30% target)</w:t>
            </w:r>
          </w:p>
        </w:tc>
        <w:tc>
          <w:tcPr>
            <w:tcW w:type="dxa" w:w="20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All</w:t>
            </w:r>
          </w:p>
        </w:tc>
        <w:tc>
          <w:tcPr>
            <w:tcW w:type="dxa" w:w="15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5 days</w:t>
            </w:r>
          </w:p>
        </w:tc>
        <w:tc>
          <w:tcPr>
            <w:tcW w:type="dxa" w:w="15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3–4</w:t>
            </w:r>
          </w:p>
        </w:tc>
      </w:tr>
    </w:tbl>
    <w:p>
      <w:pPr>
        <w:spacing w:after="80"/>
      </w:pPr>
    </w:p>
    <w:p>
      <w:pPr>
        <w:pStyle w:val="Heading2"/>
      </w:pPr>
      <w:r>
        <w:rPr>
          <w:rFonts w:ascii="Arial" w:cs="Arial" w:eastAsia="Arial" w:hAnsi="Arial"/>
        </w:rPr>
        <w:t xml:space="preserve">5.2 Phase 2: Architecture &amp; Performance (Weeks 5–8)</w:t>
      </w:r>
    </w:p>
    <w:p>
      <w:pPr>
        <w:spacing w:after="120" w:line="276"/>
      </w:pPr>
      <w:r>
        <w:rPr>
          <w:rFonts w:ascii="Arial" w:cs="Arial" w:eastAsia="Arial" w:hAnsi="Arial"/>
          <w:sz w:val="22"/>
          <w:szCs w:val="22"/>
        </w:rPr>
        <w:t xml:space="preserve">Goal: Break apart god objects, introduce dependency injection, fix memory leaks, and reach 55–60% test coverage.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560"/>
        <w:gridCol w:w="2000"/>
        <w:gridCol w:w="1500"/>
        <w:gridCol w:w="1500"/>
      </w:tblGrid>
      <w:tr>
        <w:tc>
          <w:tcPr>
            <w:tcW w:type="dxa" w:w="800"/>
            <w:tcBorders>
              <w:top w:val="single" w:color="B0C4DE" w:sz="1"/>
              <w:left w:val="single" w:color="B0C4DE" w:sz="1"/>
              <w:bottom w:val="single" w:color="B0C4DE" w:sz="1"/>
              <w:right w:val="single" w:color="B0C4DE"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3560"/>
            <w:tcBorders>
              <w:top w:val="single" w:color="B0C4DE" w:sz="1"/>
              <w:left w:val="single" w:color="B0C4DE" w:sz="1"/>
              <w:bottom w:val="single" w:color="B0C4DE" w:sz="1"/>
              <w:right w:val="single" w:color="B0C4DE"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Task</w:t>
            </w:r>
          </w:p>
        </w:tc>
        <w:tc>
          <w:tcPr>
            <w:tcW w:type="dxa" w:w="2000"/>
            <w:tcBorders>
              <w:top w:val="single" w:color="B0C4DE" w:sz="1"/>
              <w:left w:val="single" w:color="B0C4DE" w:sz="1"/>
              <w:bottom w:val="single" w:color="B0C4DE" w:sz="1"/>
              <w:right w:val="single" w:color="B0C4DE"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Component</w:t>
            </w:r>
          </w:p>
        </w:tc>
        <w:tc>
          <w:tcPr>
            <w:tcW w:type="dxa" w:w="1500"/>
            <w:tcBorders>
              <w:top w:val="single" w:color="B0C4DE" w:sz="1"/>
              <w:left w:val="single" w:color="B0C4DE" w:sz="1"/>
              <w:bottom w:val="single" w:color="B0C4DE" w:sz="1"/>
              <w:right w:val="single" w:color="B0C4DE"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Effort</w:t>
            </w:r>
          </w:p>
        </w:tc>
        <w:tc>
          <w:tcPr>
            <w:tcW w:type="dxa" w:w="1500"/>
            <w:tcBorders>
              <w:top w:val="single" w:color="B0C4DE" w:sz="1"/>
              <w:left w:val="single" w:color="B0C4DE" w:sz="1"/>
              <w:bottom w:val="single" w:color="B0C4DE" w:sz="1"/>
              <w:right w:val="single" w:color="B0C4DE"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Week</w:t>
            </w:r>
          </w:p>
        </w:tc>
      </w:tr>
      <w:tr>
        <w:tc>
          <w:tcPr>
            <w:tcW w:type="dxa" w:w="8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TD-09</w:t>
            </w:r>
          </w:p>
        </w:tc>
        <w:tc>
          <w:tcPr>
            <w:tcW w:type="dxa" w:w="356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Split recon.service.ts into focused services</w:t>
            </w:r>
          </w:p>
        </w:tc>
        <w:tc>
          <w:tcPr>
            <w:tcW w:type="dxa" w:w="20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Backend</w:t>
            </w:r>
          </w:p>
        </w:tc>
        <w:tc>
          <w:tcPr>
            <w:tcW w:type="dxa" w:w="15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5 days</w:t>
            </w:r>
          </w:p>
        </w:tc>
        <w:tc>
          <w:tcPr>
            <w:tcW w:type="dxa" w:w="15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5–6</w:t>
            </w:r>
          </w:p>
        </w:tc>
      </w:tr>
      <w:tr>
        <w:tc>
          <w:tcPr>
            <w:tcW w:type="dxa" w:w="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TD-10</w:t>
            </w:r>
          </w:p>
        </w:tc>
        <w:tc>
          <w:tcPr>
            <w:tcW w:type="dxa" w:w="35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Introduce DI container (tsyringe)</w:t>
            </w:r>
          </w:p>
        </w:tc>
        <w:tc>
          <w:tcPr>
            <w:tcW w:type="dxa" w:w="20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Backend</w:t>
            </w:r>
          </w:p>
        </w:tc>
        <w:tc>
          <w:tcPr>
            <w:tcW w:type="dxa" w:w="15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3 days</w:t>
            </w:r>
          </w:p>
        </w:tc>
        <w:tc>
          <w:tcPr>
            <w:tcW w:type="dxa" w:w="15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5–6</w:t>
            </w:r>
          </w:p>
        </w:tc>
      </w:tr>
      <w:tr>
        <w:tc>
          <w:tcPr>
            <w:tcW w:type="dxa" w:w="8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TD-06</w:t>
            </w:r>
          </w:p>
        </w:tc>
        <w:tc>
          <w:tcPr>
            <w:tcW w:type="dxa" w:w="356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Fix process Map memory leaks + TTL cleanup</w:t>
            </w:r>
          </w:p>
        </w:tc>
        <w:tc>
          <w:tcPr>
            <w:tcW w:type="dxa" w:w="20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Backend</w:t>
            </w:r>
          </w:p>
        </w:tc>
        <w:tc>
          <w:tcPr>
            <w:tcW w:type="dxa" w:w="15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2 days</w:t>
            </w:r>
          </w:p>
        </w:tc>
        <w:tc>
          <w:tcPr>
            <w:tcW w:type="dxa" w:w="15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6</w:t>
            </w:r>
          </w:p>
        </w:tc>
      </w:tr>
      <w:tr>
        <w:tc>
          <w:tcPr>
            <w:tcW w:type="dxa" w:w="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TD-12</w:t>
            </w:r>
          </w:p>
        </w:tc>
        <w:tc>
          <w:tcPr>
            <w:tcW w:type="dxa" w:w="35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Thread-safe SQLite with connection pooling</w:t>
            </w:r>
          </w:p>
        </w:tc>
        <w:tc>
          <w:tcPr>
            <w:tcW w:type="dxa" w:w="20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Scanner</w:t>
            </w:r>
          </w:p>
        </w:tc>
        <w:tc>
          <w:tcPr>
            <w:tcW w:type="dxa" w:w="15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2 days</w:t>
            </w:r>
          </w:p>
        </w:tc>
        <w:tc>
          <w:tcPr>
            <w:tcW w:type="dxa" w:w="15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6–7</w:t>
            </w:r>
          </w:p>
        </w:tc>
      </w:tr>
      <w:tr>
        <w:tc>
          <w:tcPr>
            <w:tcW w:type="dxa" w:w="8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TD-11</w:t>
            </w:r>
          </w:p>
        </w:tc>
        <w:tc>
          <w:tcPr>
            <w:tcW w:type="dxa" w:w="356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Extract shared Severity enum</w:t>
            </w:r>
          </w:p>
        </w:tc>
        <w:tc>
          <w:tcPr>
            <w:tcW w:type="dxa" w:w="20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Scanner</w:t>
            </w:r>
          </w:p>
        </w:tc>
        <w:tc>
          <w:tcPr>
            <w:tcW w:type="dxa" w:w="15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1 day</w:t>
            </w:r>
          </w:p>
        </w:tc>
        <w:tc>
          <w:tcPr>
            <w:tcW w:type="dxa" w:w="15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7</w:t>
            </w:r>
          </w:p>
        </w:tc>
      </w:tr>
      <w:tr>
        <w:tc>
          <w:tcPr>
            <w:tcW w:type="dxa" w:w="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TD-16</w:t>
            </w:r>
          </w:p>
        </w:tc>
        <w:tc>
          <w:tcPr>
            <w:tcW w:type="dxa" w:w="35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Remove Puppeteer, standardize on Playwright</w:t>
            </w:r>
          </w:p>
        </w:tc>
        <w:tc>
          <w:tcPr>
            <w:tcW w:type="dxa" w:w="20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Backend</w:t>
            </w:r>
          </w:p>
        </w:tc>
        <w:tc>
          <w:tcPr>
            <w:tcW w:type="dxa" w:w="15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1 day</w:t>
            </w:r>
          </w:p>
        </w:tc>
        <w:tc>
          <w:tcPr>
            <w:tcW w:type="dxa" w:w="15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7</w:t>
            </w:r>
          </w:p>
        </w:tc>
      </w:tr>
      <w:tr>
        <w:tc>
          <w:tcPr>
            <w:tcW w:type="dxa" w:w="8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TD-20</w:t>
            </w:r>
          </w:p>
        </w:tc>
        <w:tc>
          <w:tcPr>
            <w:tcW w:type="dxa" w:w="356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Implement token refresh in AuthContext</w:t>
            </w:r>
          </w:p>
        </w:tc>
        <w:tc>
          <w:tcPr>
            <w:tcW w:type="dxa" w:w="20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Frontend</w:t>
            </w:r>
          </w:p>
        </w:tc>
        <w:tc>
          <w:tcPr>
            <w:tcW w:type="dxa" w:w="15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1 day</w:t>
            </w:r>
          </w:p>
        </w:tc>
        <w:tc>
          <w:tcPr>
            <w:tcW w:type="dxa" w:w="15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7</w:t>
            </w:r>
          </w:p>
        </w:tc>
      </w:tr>
      <w:tr>
        <w:tc>
          <w:tcPr>
            <w:tcW w:type="dxa" w:w="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TD-23</w:t>
            </w:r>
          </w:p>
        </w:tc>
        <w:tc>
          <w:tcPr>
            <w:tcW w:type="dxa" w:w="35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Fix Ollama session leak (context manager)</w:t>
            </w:r>
          </w:p>
        </w:tc>
        <w:tc>
          <w:tcPr>
            <w:tcW w:type="dxa" w:w="20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Scanner</w:t>
            </w:r>
          </w:p>
        </w:tc>
        <w:tc>
          <w:tcPr>
            <w:tcW w:type="dxa" w:w="15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2 hours</w:t>
            </w:r>
          </w:p>
        </w:tc>
        <w:tc>
          <w:tcPr>
            <w:tcW w:type="dxa" w:w="15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7</w:t>
            </w:r>
          </w:p>
        </w:tc>
      </w:tr>
      <w:tr>
        <w:tc>
          <w:tcPr>
            <w:tcW w:type="dxa" w:w="8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TD-24</w:t>
            </w:r>
          </w:p>
        </w:tc>
        <w:tc>
          <w:tcPr>
            <w:tcW w:type="dxa" w:w="356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Fix N+1 queries with Prisma includes</w:t>
            </w:r>
          </w:p>
        </w:tc>
        <w:tc>
          <w:tcPr>
            <w:tcW w:type="dxa" w:w="20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Backend</w:t>
            </w:r>
          </w:p>
        </w:tc>
        <w:tc>
          <w:tcPr>
            <w:tcW w:type="dxa" w:w="15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2 days</w:t>
            </w:r>
          </w:p>
        </w:tc>
        <w:tc>
          <w:tcPr>
            <w:tcW w:type="dxa" w:w="15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8</w:t>
            </w:r>
          </w:p>
        </w:tc>
      </w:tr>
      <w:tr>
        <w:tc>
          <w:tcPr>
            <w:tcW w:type="dxa" w:w="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TD-08</w:t>
            </w:r>
          </w:p>
        </w:tc>
        <w:tc>
          <w:tcPr>
            <w:tcW w:type="dxa" w:w="35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Expand test coverage to 55–60%</w:t>
            </w:r>
          </w:p>
        </w:tc>
        <w:tc>
          <w:tcPr>
            <w:tcW w:type="dxa" w:w="20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All</w:t>
            </w:r>
          </w:p>
        </w:tc>
        <w:tc>
          <w:tcPr>
            <w:tcW w:type="dxa" w:w="15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5 days</w:t>
            </w:r>
          </w:p>
        </w:tc>
        <w:tc>
          <w:tcPr>
            <w:tcW w:type="dxa" w:w="15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7–8</w:t>
            </w:r>
          </w:p>
        </w:tc>
      </w:tr>
    </w:tbl>
    <w:p>
      <w:pPr>
        <w:spacing w:after="80"/>
      </w:pPr>
    </w:p>
    <w:p>
      <w:pPr>
        <w:pStyle w:val="Heading2"/>
      </w:pPr>
      <w:r>
        <w:rPr>
          <w:rFonts w:ascii="Arial" w:cs="Arial" w:eastAsia="Arial" w:hAnsi="Arial"/>
        </w:rPr>
        <w:t xml:space="preserve">5.3 Phase 3: Code Quality &amp; Observability (Weeks 9–12)</w:t>
      </w:r>
    </w:p>
    <w:p>
      <w:pPr>
        <w:spacing w:after="120" w:line="276"/>
      </w:pPr>
      <w:r>
        <w:rPr>
          <w:rFonts w:ascii="Arial" w:cs="Arial" w:eastAsia="Arial" w:hAnsi="Arial"/>
          <w:sz w:val="22"/>
          <w:szCs w:val="22"/>
        </w:rPr>
        <w:t xml:space="preserve">Goal: Clean up code quality issues, consolidate documentation, add monitoring, and reach steady-state coverage targets.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560"/>
        <w:gridCol w:w="2000"/>
        <w:gridCol w:w="1500"/>
        <w:gridCol w:w="1500"/>
      </w:tblGrid>
      <w:tr>
        <w:tc>
          <w:tcPr>
            <w:tcW w:type="dxa" w:w="800"/>
            <w:tcBorders>
              <w:top w:val="single" w:color="B0C4DE" w:sz="1"/>
              <w:left w:val="single" w:color="B0C4DE" w:sz="1"/>
              <w:bottom w:val="single" w:color="B0C4DE" w:sz="1"/>
              <w:right w:val="single" w:color="B0C4DE"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3560"/>
            <w:tcBorders>
              <w:top w:val="single" w:color="B0C4DE" w:sz="1"/>
              <w:left w:val="single" w:color="B0C4DE" w:sz="1"/>
              <w:bottom w:val="single" w:color="B0C4DE" w:sz="1"/>
              <w:right w:val="single" w:color="B0C4DE"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Task</w:t>
            </w:r>
          </w:p>
        </w:tc>
        <w:tc>
          <w:tcPr>
            <w:tcW w:type="dxa" w:w="2000"/>
            <w:tcBorders>
              <w:top w:val="single" w:color="B0C4DE" w:sz="1"/>
              <w:left w:val="single" w:color="B0C4DE" w:sz="1"/>
              <w:bottom w:val="single" w:color="B0C4DE" w:sz="1"/>
              <w:right w:val="single" w:color="B0C4DE"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Component</w:t>
            </w:r>
          </w:p>
        </w:tc>
        <w:tc>
          <w:tcPr>
            <w:tcW w:type="dxa" w:w="1500"/>
            <w:tcBorders>
              <w:top w:val="single" w:color="B0C4DE" w:sz="1"/>
              <w:left w:val="single" w:color="B0C4DE" w:sz="1"/>
              <w:bottom w:val="single" w:color="B0C4DE" w:sz="1"/>
              <w:right w:val="single" w:color="B0C4DE"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Effort</w:t>
            </w:r>
          </w:p>
        </w:tc>
        <w:tc>
          <w:tcPr>
            <w:tcW w:type="dxa" w:w="1500"/>
            <w:tcBorders>
              <w:top w:val="single" w:color="B0C4DE" w:sz="1"/>
              <w:left w:val="single" w:color="B0C4DE" w:sz="1"/>
              <w:bottom w:val="single" w:color="B0C4DE" w:sz="1"/>
              <w:right w:val="single" w:color="B0C4DE"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Week</w:t>
            </w:r>
          </w:p>
        </w:tc>
      </w:tr>
      <w:tr>
        <w:tc>
          <w:tcPr>
            <w:tcW w:type="dxa" w:w="8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TD-13</w:t>
            </w:r>
          </w:p>
        </w:tc>
        <w:tc>
          <w:tcPr>
            <w:tcW w:type="dxa" w:w="356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Refactor report_generator.py (Jinja2 templates)</w:t>
            </w:r>
          </w:p>
        </w:tc>
        <w:tc>
          <w:tcPr>
            <w:tcW w:type="dxa" w:w="20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Scanner</w:t>
            </w:r>
          </w:p>
        </w:tc>
        <w:tc>
          <w:tcPr>
            <w:tcW w:type="dxa" w:w="15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3 days</w:t>
            </w:r>
          </w:p>
        </w:tc>
        <w:tc>
          <w:tcPr>
            <w:tcW w:type="dxa" w:w="15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9–10</w:t>
            </w:r>
          </w:p>
        </w:tc>
      </w:tr>
      <w:tr>
        <w:tc>
          <w:tcPr>
            <w:tcW w:type="dxa" w:w="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TD-14</w:t>
            </w:r>
          </w:p>
        </w:tc>
        <w:tc>
          <w:tcPr>
            <w:tcW w:type="dxa" w:w="35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Extract dashboard layout sub-components</w:t>
            </w:r>
          </w:p>
        </w:tc>
        <w:tc>
          <w:tcPr>
            <w:tcW w:type="dxa" w:w="20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Frontend</w:t>
            </w:r>
          </w:p>
        </w:tc>
        <w:tc>
          <w:tcPr>
            <w:tcW w:type="dxa" w:w="15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2 days</w:t>
            </w:r>
          </w:p>
        </w:tc>
        <w:tc>
          <w:tcPr>
            <w:tcW w:type="dxa" w:w="15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9</w:t>
            </w:r>
          </w:p>
        </w:tc>
      </w:tr>
      <w:tr>
        <w:tc>
          <w:tcPr>
            <w:tcW w:type="dxa" w:w="8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TD-15</w:t>
            </w:r>
          </w:p>
        </w:tc>
        <w:tc>
          <w:tcPr>
            <w:tcW w:type="dxa" w:w="356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Refactor vuln page state to useReducer</w:t>
            </w:r>
          </w:p>
        </w:tc>
        <w:tc>
          <w:tcPr>
            <w:tcW w:type="dxa" w:w="20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Frontend</w:t>
            </w:r>
          </w:p>
        </w:tc>
        <w:tc>
          <w:tcPr>
            <w:tcW w:type="dxa" w:w="15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1 day</w:t>
            </w:r>
          </w:p>
        </w:tc>
        <w:tc>
          <w:tcPr>
            <w:tcW w:type="dxa" w:w="15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9</w:t>
            </w:r>
          </w:p>
        </w:tc>
      </w:tr>
      <w:tr>
        <w:tc>
          <w:tcPr>
            <w:tcW w:type="dxa" w:w="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TD-19</w:t>
            </w:r>
          </w:p>
        </w:tc>
        <w:tc>
          <w:tcPr>
            <w:tcW w:type="dxa" w:w="35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Replace console.log with Winston everywhere</w:t>
            </w:r>
          </w:p>
        </w:tc>
        <w:tc>
          <w:tcPr>
            <w:tcW w:type="dxa" w:w="20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Backend</w:t>
            </w:r>
          </w:p>
        </w:tc>
        <w:tc>
          <w:tcPr>
            <w:tcW w:type="dxa" w:w="15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1 day</w:t>
            </w:r>
          </w:p>
        </w:tc>
        <w:tc>
          <w:tcPr>
            <w:tcW w:type="dxa" w:w="15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10</w:t>
            </w:r>
          </w:p>
        </w:tc>
      </w:tr>
      <w:tr>
        <w:tc>
          <w:tcPr>
            <w:tcW w:type="dxa" w:w="8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TD-22</w:t>
            </w:r>
          </w:p>
        </w:tc>
        <w:tc>
          <w:tcPr>
            <w:tcW w:type="dxa" w:w="356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Add Prometheus metrics + correlation IDs</w:t>
            </w:r>
          </w:p>
        </w:tc>
        <w:tc>
          <w:tcPr>
            <w:tcW w:type="dxa" w:w="20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Backend</w:t>
            </w:r>
          </w:p>
        </w:tc>
        <w:tc>
          <w:tcPr>
            <w:tcW w:type="dxa" w:w="15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3 days</w:t>
            </w:r>
          </w:p>
        </w:tc>
        <w:tc>
          <w:tcPr>
            <w:tcW w:type="dxa" w:w="15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10–11</w:t>
            </w:r>
          </w:p>
        </w:tc>
      </w:tr>
      <w:tr>
        <w:tc>
          <w:tcPr>
            <w:tcW w:type="dxa" w:w="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TD-17</w:t>
            </w:r>
          </w:p>
        </w:tc>
        <w:tc>
          <w:tcPr>
            <w:tcW w:type="dxa" w:w="35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Remove unused langchain dependencies</w:t>
            </w:r>
          </w:p>
        </w:tc>
        <w:tc>
          <w:tcPr>
            <w:tcW w:type="dxa" w:w="20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Scanner</w:t>
            </w:r>
          </w:p>
        </w:tc>
        <w:tc>
          <w:tcPr>
            <w:tcW w:type="dxa" w:w="15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1 hour</w:t>
            </w:r>
          </w:p>
        </w:tc>
        <w:tc>
          <w:tcPr>
            <w:tcW w:type="dxa" w:w="15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11</w:t>
            </w:r>
          </w:p>
        </w:tc>
      </w:tr>
      <w:tr>
        <w:tc>
          <w:tcPr>
            <w:tcW w:type="dxa" w:w="8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TD-25</w:t>
            </w:r>
          </w:p>
        </w:tc>
        <w:tc>
          <w:tcPr>
            <w:tcW w:type="dxa" w:w="356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Convert to proper Python package structure</w:t>
            </w:r>
          </w:p>
        </w:tc>
        <w:tc>
          <w:tcPr>
            <w:tcW w:type="dxa" w:w="20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Scanner</w:t>
            </w:r>
          </w:p>
        </w:tc>
        <w:tc>
          <w:tcPr>
            <w:tcW w:type="dxa" w:w="15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2 days</w:t>
            </w:r>
          </w:p>
        </w:tc>
        <w:tc>
          <w:tcPr>
            <w:tcW w:type="dxa" w:w="15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11</w:t>
            </w:r>
          </w:p>
        </w:tc>
      </w:tr>
      <w:tr>
        <w:tc>
          <w:tcPr>
            <w:tcW w:type="dxa" w:w="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TD-21</w:t>
            </w:r>
          </w:p>
        </w:tc>
        <w:tc>
          <w:tcPr>
            <w:tcW w:type="dxa" w:w="35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Consolidate 80+ markdown files into docs/</w:t>
            </w:r>
          </w:p>
        </w:tc>
        <w:tc>
          <w:tcPr>
            <w:tcW w:type="dxa" w:w="20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All</w:t>
            </w:r>
          </w:p>
        </w:tc>
        <w:tc>
          <w:tcPr>
            <w:tcW w:type="dxa" w:w="15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2 days</w:t>
            </w:r>
          </w:p>
        </w:tc>
        <w:tc>
          <w:tcPr>
            <w:tcW w:type="dxa" w:w="15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r>
              <w:rPr>
                <w:rFonts w:ascii="Arial" w:cs="Arial" w:eastAsia="Arial" w:hAnsi="Arial"/>
                <w:sz w:val="20"/>
                <w:szCs w:val="20"/>
                <w:shd/>
              </w:rPr>
              <w:t xml:space="preserve">12</w:t>
            </w:r>
          </w:p>
        </w:tc>
      </w:tr>
      <w:tr>
        <w:tc>
          <w:tcPr>
            <w:tcW w:type="dxa" w:w="8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TD-08</w:t>
            </w:r>
          </w:p>
        </w:tc>
        <w:tc>
          <w:tcPr>
            <w:tcW w:type="dxa" w:w="356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Reach 70–80% coverage, add E2E tests</w:t>
            </w:r>
          </w:p>
        </w:tc>
        <w:tc>
          <w:tcPr>
            <w:tcW w:type="dxa" w:w="20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All</w:t>
            </w:r>
          </w:p>
        </w:tc>
        <w:tc>
          <w:tcPr>
            <w:tcW w:type="dxa" w:w="15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5 days</w:t>
            </w:r>
          </w:p>
        </w:tc>
        <w:tc>
          <w:tcPr>
            <w:tcW w:type="dxa" w:w="15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20"/>
                <w:szCs w:val="20"/>
              </w:rPr>
              <w:t xml:space="preserve">11–12</w:t>
            </w:r>
          </w:p>
        </w:tc>
      </w:tr>
    </w:tbl>
    <w:p>
      <w:r>
        <w:br w:type="page"/>
      </w:r>
    </w:p>
    <w:p>
      <w:pPr>
        <w:pStyle w:val="Heading1"/>
      </w:pPr>
      <w:r>
        <w:rPr>
          <w:rFonts w:ascii="Arial" w:cs="Arial" w:eastAsia="Arial" w:hAnsi="Arial"/>
        </w:rPr>
        <w:t xml:space="preserve">6. Dependency Audit</w:t>
      </w:r>
    </w:p>
    <w:p>
      <w:pPr>
        <w:pStyle w:val="Heading2"/>
      </w:pPr>
      <w:r>
        <w:rPr>
          <w:rFonts w:ascii="Arial" w:cs="Arial" w:eastAsia="Arial" w:hAnsi="Arial"/>
        </w:rPr>
        <w:t xml:space="preserve">6.1 Python (requirements.txt)</w:t>
      </w:r>
    </w:p>
    <w:p>
      <w:pPr>
        <w:pStyle w:val="ListParagraph"/>
        <w:numPr>
          <w:ilvl w:val="0"/>
          <w:numId w:val="2"/>
        </w:numPr>
        <w:spacing w:after="80" w:line="276"/>
      </w:pPr>
      <w:r>
        <w:rPr>
          <w:rFonts w:ascii="Arial" w:cs="Arial" w:eastAsia="Arial" w:hAnsi="Arial"/>
          <w:b/>
          <w:bCs/>
          <w:sz w:val="22"/>
          <w:szCs w:val="22"/>
        </w:rPr>
        <w:t xml:space="preserve">Unused: </w:t>
      </w:r>
      <w:r>
        <w:rPr>
          <w:rFonts w:ascii="Arial" w:cs="Arial" w:eastAsia="Arial" w:hAnsi="Arial"/>
          <w:sz w:val="22"/>
          <w:szCs w:val="22"/>
        </w:rPr>
        <w:t xml:space="preserve">langchain, langchain-classic, langchain-community, langsmith — installed but not used in core scanner. Remove or move to optional extras.</w:t>
      </w:r>
    </w:p>
    <w:p>
      <w:pPr>
        <w:pStyle w:val="ListParagraph"/>
        <w:numPr>
          <w:ilvl w:val="0"/>
          <w:numId w:val="2"/>
        </w:numPr>
        <w:spacing w:after="80" w:line="276"/>
      </w:pPr>
      <w:r>
        <w:rPr>
          <w:rFonts w:ascii="Arial" w:cs="Arial" w:eastAsia="Arial" w:hAnsi="Arial"/>
          <w:b/>
          <w:bCs/>
          <w:sz w:val="22"/>
          <w:szCs w:val="22"/>
        </w:rPr>
        <w:t xml:space="preserve">Heavy: </w:t>
      </w:r>
      <w:r>
        <w:rPr>
          <w:rFonts w:ascii="Arial" w:cs="Arial" w:eastAsia="Arial" w:hAnsi="Arial"/>
          <w:sz w:val="22"/>
          <w:szCs w:val="22"/>
        </w:rPr>
        <w:t xml:space="preserve">playwright (1.57.0) installed for screenshot capture only. Consider lighter alternatives (Pillow + requests) or make optional.</w:t>
      </w:r>
    </w:p>
    <w:p>
      <w:pPr>
        <w:pStyle w:val="ListParagraph"/>
        <w:numPr>
          <w:ilvl w:val="0"/>
          <w:numId w:val="2"/>
        </w:numPr>
        <w:spacing w:after="80" w:line="276"/>
      </w:pPr>
      <w:r>
        <w:rPr>
          <w:rFonts w:ascii="Arial" w:cs="Arial" w:eastAsia="Arial" w:hAnsi="Arial"/>
          <w:b/>
          <w:bCs/>
          <w:sz w:val="22"/>
          <w:szCs w:val="22"/>
        </w:rPr>
        <w:t xml:space="preserve">Config mismatch: </w:t>
      </w:r>
      <w:r>
        <w:rPr>
          <w:rFonts w:ascii="Arial" w:cs="Arial" w:eastAsia="Arial" w:hAnsi="Arial"/>
          <w:sz w:val="22"/>
          <w:szCs w:val="22"/>
        </w:rPr>
        <w:t xml:space="preserve">config.yaml references model mannix/llama3.1-8b-abliterated but code uses hf.co/mlabonne/Meta-Llama-3.1-8B-Instruct-abliterated:BF16.</w:t>
      </w:r>
    </w:p>
    <w:p>
      <w:pPr>
        <w:pStyle w:val="ListParagraph"/>
        <w:numPr>
          <w:ilvl w:val="0"/>
          <w:numId w:val="2"/>
        </w:numPr>
        <w:spacing w:after="80" w:line="276"/>
      </w:pPr>
      <w:r>
        <w:rPr>
          <w:rFonts w:ascii="Arial" w:cs="Arial" w:eastAsia="Arial" w:hAnsi="Arial"/>
          <w:b/>
          <w:bCs/>
          <w:sz w:val="22"/>
          <w:szCs w:val="22"/>
        </w:rPr>
        <w:t xml:space="preserve">Missing: </w:t>
      </w:r>
      <w:r>
        <w:rPr>
          <w:rFonts w:ascii="Arial" w:cs="Arial" w:eastAsia="Arial" w:hAnsi="Arial"/>
          <w:sz w:val="22"/>
          <w:szCs w:val="22"/>
        </w:rPr>
        <w:t xml:space="preserve">No pydantic for API validation, no safety scanner (safety/pip-audit), no transitive dependency pinning.</w:t>
      </w:r>
    </w:p>
    <w:p>
      <w:pPr>
        <w:spacing w:after="80"/>
      </w:pPr>
    </w:p>
    <w:p>
      <w:pPr>
        <w:pStyle w:val="Heading2"/>
      </w:pPr>
      <w:r>
        <w:rPr>
          <w:rFonts w:ascii="Arial" w:cs="Arial" w:eastAsia="Arial" w:hAnsi="Arial"/>
        </w:rPr>
        <w:t xml:space="preserve">6.2 Backend (package.json)</w:t>
      </w:r>
    </w:p>
    <w:p>
      <w:pPr>
        <w:pStyle w:val="ListParagraph"/>
        <w:numPr>
          <w:ilvl w:val="0"/>
          <w:numId w:val="2"/>
        </w:numPr>
        <w:spacing w:after="80" w:line="276"/>
      </w:pPr>
      <w:r>
        <w:rPr>
          <w:rFonts w:ascii="Arial" w:cs="Arial" w:eastAsia="Arial" w:hAnsi="Arial"/>
          <w:b/>
          <w:bCs/>
          <w:sz w:val="22"/>
          <w:szCs w:val="22"/>
        </w:rPr>
        <w:t xml:space="preserve">Duplicate: </w:t>
      </w:r>
      <w:r>
        <w:rPr>
          <w:rFonts w:ascii="Arial" w:cs="Arial" w:eastAsia="Arial" w:hAnsi="Arial"/>
          <w:sz w:val="22"/>
          <w:szCs w:val="22"/>
        </w:rPr>
        <w:t xml:space="preserve">Both puppeteer (^24.36.0) and playwright (^1.58.0) installed. Standardize on one.</w:t>
      </w:r>
    </w:p>
    <w:p>
      <w:pPr>
        <w:pStyle w:val="ListParagraph"/>
        <w:numPr>
          <w:ilvl w:val="0"/>
          <w:numId w:val="2"/>
        </w:numPr>
        <w:spacing w:after="80" w:line="276"/>
      </w:pPr>
      <w:r>
        <w:rPr>
          <w:rFonts w:ascii="Arial" w:cs="Arial" w:eastAsia="Arial" w:hAnsi="Arial"/>
          <w:b/>
          <w:bCs/>
          <w:sz w:val="22"/>
          <w:szCs w:val="22"/>
        </w:rPr>
        <w:t xml:space="preserve">Missing test framework: </w:t>
      </w:r>
      <w:r>
        <w:rPr>
          <w:rFonts w:ascii="Arial" w:cs="Arial" w:eastAsia="Arial" w:hAnsi="Arial"/>
          <w:sz w:val="22"/>
          <w:szCs w:val="22"/>
        </w:rPr>
        <w:t xml:space="preserve">package.json scripts reference jest but jest is not in devDependencies. Must add jest, ts-jest, @types/jest, supertest.</w:t>
      </w:r>
    </w:p>
    <w:p>
      <w:pPr>
        <w:pStyle w:val="ListParagraph"/>
        <w:numPr>
          <w:ilvl w:val="0"/>
          <w:numId w:val="2"/>
        </w:numPr>
        <w:spacing w:after="80" w:line="276"/>
      </w:pPr>
      <w:r>
        <w:rPr>
          <w:rFonts w:ascii="Arial" w:cs="Arial" w:eastAsia="Arial" w:hAnsi="Arial"/>
          <w:b/>
          <w:bCs/>
          <w:sz w:val="22"/>
          <w:szCs w:val="22"/>
        </w:rPr>
        <w:t xml:space="preserve">Rate limiting: </w:t>
      </w:r>
      <w:r>
        <w:rPr>
          <w:rFonts w:ascii="Arial" w:cs="Arial" w:eastAsia="Arial" w:hAnsi="Arial"/>
          <w:sz w:val="22"/>
          <w:szCs w:val="22"/>
        </w:rPr>
        <w:t xml:space="preserve">express-rate-limit installed but not visibly applied to routes. Either configure or remove.</w:t>
      </w:r>
    </w:p>
    <w:p>
      <w:pPr>
        <w:pStyle w:val="ListParagraph"/>
        <w:numPr>
          <w:ilvl w:val="0"/>
          <w:numId w:val="2"/>
        </w:numPr>
        <w:spacing w:after="80" w:line="276"/>
      </w:pPr>
      <w:r>
        <w:rPr>
          <w:rFonts w:ascii="Arial" w:cs="Arial" w:eastAsia="Arial" w:hAnsi="Arial"/>
          <w:b/>
          <w:bCs/>
          <w:sz w:val="22"/>
          <w:szCs w:val="22"/>
        </w:rPr>
        <w:t xml:space="preserve">Security scanning: </w:t>
      </w:r>
      <w:r>
        <w:rPr>
          <w:rFonts w:ascii="Arial" w:cs="Arial" w:eastAsia="Arial" w:hAnsi="Arial"/>
          <w:sz w:val="22"/>
          <w:szCs w:val="22"/>
        </w:rPr>
        <w:t xml:space="preserve">No npm audit integration, no snyk or equivalent in CI pipeline.</w:t>
      </w:r>
    </w:p>
    <w:p>
      <w:pPr>
        <w:spacing w:after="80"/>
      </w:pPr>
    </w:p>
    <w:p>
      <w:pPr>
        <w:pStyle w:val="Heading2"/>
      </w:pPr>
      <w:r>
        <w:rPr>
          <w:rFonts w:ascii="Arial" w:cs="Arial" w:eastAsia="Arial" w:hAnsi="Arial"/>
        </w:rPr>
        <w:t xml:space="preserve">6.3 Frontend (package.json)</w:t>
      </w:r>
    </w:p>
    <w:p>
      <w:pPr>
        <w:pStyle w:val="ListParagraph"/>
        <w:numPr>
          <w:ilvl w:val="0"/>
          <w:numId w:val="2"/>
        </w:numPr>
        <w:spacing w:after="80" w:line="276"/>
      </w:pPr>
      <w:r>
        <w:rPr>
          <w:rFonts w:ascii="Arial" w:cs="Arial" w:eastAsia="Arial" w:hAnsi="Arial"/>
          <w:b/>
          <w:bCs/>
          <w:sz w:val="22"/>
          <w:szCs w:val="22"/>
        </w:rPr>
        <w:t xml:space="preserve">No testing: </w:t>
      </w:r>
      <w:r>
        <w:rPr>
          <w:rFonts w:ascii="Arial" w:cs="Arial" w:eastAsia="Arial" w:hAnsi="Arial"/>
          <w:sz w:val="22"/>
          <w:szCs w:val="22"/>
        </w:rPr>
        <w:t xml:space="preserve">No vitest, jest, @testing-library/react, or any test runner configured.</w:t>
      </w:r>
    </w:p>
    <w:p>
      <w:pPr>
        <w:pStyle w:val="ListParagraph"/>
        <w:numPr>
          <w:ilvl w:val="0"/>
          <w:numId w:val="2"/>
        </w:numPr>
        <w:spacing w:after="80" w:line="276"/>
      </w:pPr>
      <w:r>
        <w:rPr>
          <w:rFonts w:ascii="Arial" w:cs="Arial" w:eastAsia="Arial" w:hAnsi="Arial"/>
          <w:b/>
          <w:bCs/>
          <w:sz w:val="22"/>
          <w:szCs w:val="22"/>
        </w:rPr>
        <w:t xml:space="preserve">No accessibility linting: </w:t>
      </w:r>
      <w:r>
        <w:rPr>
          <w:rFonts w:ascii="Arial" w:cs="Arial" w:eastAsia="Arial" w:hAnsi="Arial"/>
          <w:sz w:val="22"/>
          <w:szCs w:val="22"/>
        </w:rPr>
        <w:t xml:space="preserve">eslint-plugin-jsx-a11y not installed despite dashboard-heavy UI.</w:t>
      </w:r>
    </w:p>
    <w:p>
      <w:pPr>
        <w:pStyle w:val="ListParagraph"/>
        <w:numPr>
          <w:ilvl w:val="0"/>
          <w:numId w:val="2"/>
        </w:numPr>
        <w:spacing w:after="80" w:line="276"/>
      </w:pPr>
      <w:r>
        <w:rPr>
          <w:rFonts w:ascii="Arial" w:cs="Arial" w:eastAsia="Arial" w:hAnsi="Arial"/>
          <w:b/>
          <w:bCs/>
          <w:sz w:val="22"/>
          <w:szCs w:val="22"/>
        </w:rPr>
        <w:t xml:space="preserve">No pre-commit hooks: </w:t>
      </w:r>
      <w:r>
        <w:rPr>
          <w:rFonts w:ascii="Arial" w:cs="Arial" w:eastAsia="Arial" w:hAnsi="Arial"/>
          <w:sz w:val="22"/>
          <w:szCs w:val="22"/>
        </w:rPr>
        <w:t xml:space="preserve">husky/lint-staged not configured. Lint and format checks only run if developer remembers.</w:t>
      </w:r>
    </w:p>
    <w:p>
      <w:r>
        <w:br w:type="page"/>
      </w:r>
    </w:p>
    <w:p>
      <w:pPr>
        <w:pStyle w:val="Heading1"/>
      </w:pPr>
      <w:r>
        <w:rPr>
          <w:rFonts w:ascii="Arial" w:cs="Arial" w:eastAsia="Arial" w:hAnsi="Arial"/>
        </w:rPr>
        <w:t xml:space="preserve">7. Recommendations Summary</w:t>
      </w:r>
    </w:p>
    <w:p>
      <w:pPr>
        <w:spacing w:after="120" w:line="276"/>
      </w:pPr>
      <w:r>
        <w:rPr>
          <w:rFonts w:ascii="Arial" w:cs="Arial" w:eastAsia="Arial" w:hAnsi="Arial"/>
          <w:sz w:val="22"/>
          <w:szCs w:val="22"/>
        </w:rPr>
        <w:t xml:space="preserve">The Spectra platform has strong product functionality but carries significant technical debt that poses real risk to production reliability, security, and development velocity. The four critical security items (TD-01 through TD-04) should be addressed within the first week, as they represent exploitable vulnerabilities with straightforward fixes.</w:t>
      </w:r>
    </w:p>
    <w:p>
      <w:pPr>
        <w:spacing w:after="120" w:line="276"/>
      </w:pPr>
      <w:r>
        <w:rPr>
          <w:rFonts w:ascii="Arial" w:cs="Arial" w:eastAsia="Arial" w:hAnsi="Arial"/>
          <w:sz w:val="22"/>
          <w:szCs w:val="22"/>
        </w:rPr>
        <w:t xml:space="preserve">The near-zero test coverage (TD-08) is the single most impactful debt item, as it enables all other issues to reach production undetected. Establishing a CI pipeline with test enforcement (TD-18) should run in parallel with the initial security fixes.</w:t>
      </w:r>
    </w:p>
    <w:p>
      <w:pPr>
        <w:spacing w:after="120" w:line="276"/>
      </w:pPr>
      <w:r>
        <w:rPr>
          <w:rFonts w:ascii="Arial" w:cs="Arial" w:eastAsia="Arial" w:hAnsi="Arial"/>
          <w:sz w:val="22"/>
          <w:szCs w:val="22"/>
        </w:rPr>
        <w:t xml:space="preserve">For the architectural debt (TD-09, TD-10), avoid the temptation to rewrite. Instead, extract one service at a time using the Strangler Fig pattern: create the new focused service, route new code through it, and gradually migrate existing callers.</w:t>
      </w:r>
    </w:p>
    <w:p>
      <w:pPr>
        <w:spacing w:after="120" w:line="276"/>
      </w:pPr>
      <w:r>
        <w:rPr>
          <w:rFonts w:ascii="Arial" w:cs="Arial" w:eastAsia="Arial" w:hAnsi="Arial"/>
          <w:sz w:val="22"/>
          <w:szCs w:val="22"/>
        </w:rPr>
        <w:t xml:space="preserve">The testing strategy follows the standard pyramid: many fast unit tests for business logic and security boundaries, fewer integration tests for API contracts and data flows, and minimal E2E tests for critical user journeys. Coverage targets are aggressive but achievable given the codebase size.</w:t>
      </w:r>
    </w:p>
    <w:p>
      <w:pPr>
        <w:spacing w:after="80"/>
      </w:pPr>
    </w:p>
    <w:p>
      <w:pPr>
        <w:pStyle w:val="Heading2"/>
      </w:pPr>
      <w:r>
        <w:rPr>
          <w:rFonts w:ascii="Arial" w:cs="Arial" w:eastAsia="Arial" w:hAnsi="Arial"/>
        </w:rPr>
        <w:t xml:space="preserve">Quick Wins (&lt; 1 day each)</w:t>
      </w:r>
    </w:p>
    <w:p>
      <w:pPr>
        <w:pStyle w:val="ListParagraph"/>
        <w:numPr>
          <w:ilvl w:val="0"/>
          <w:numId w:val="3"/>
        </w:numPr>
        <w:spacing w:after="80" w:line="276"/>
      </w:pPr>
      <w:r>
        <w:rPr>
          <w:rFonts w:ascii="Arial" w:cs="Arial" w:eastAsia="Arial" w:hAnsi="Arial"/>
          <w:sz w:val="22"/>
          <w:szCs w:val="22"/>
        </w:rPr>
        <w:t xml:space="preserve">Replace == with hmac.compare_digest() for API key check (TD-04, 2 hours)</w:t>
      </w:r>
    </w:p>
    <w:p>
      <w:pPr>
        <w:pStyle w:val="ListParagraph"/>
        <w:numPr>
          <w:ilvl w:val="0"/>
          <w:numId w:val="3"/>
        </w:numPr>
        <w:spacing w:after="80" w:line="276"/>
      </w:pPr>
      <w:r>
        <w:rPr>
          <w:rFonts w:ascii="Arial" w:cs="Arial" w:eastAsia="Arial" w:hAnsi="Arial"/>
          <w:sz w:val="22"/>
          <w:szCs w:val="22"/>
        </w:rPr>
        <w:t xml:space="preserve">Remove JWT secret fallback in auth.ts (TD-03, 2 hours)</w:t>
      </w:r>
    </w:p>
    <w:p>
      <w:pPr>
        <w:pStyle w:val="ListParagraph"/>
        <w:numPr>
          <w:ilvl w:val="0"/>
          <w:numId w:val="3"/>
        </w:numPr>
        <w:spacing w:after="80" w:line="276"/>
      </w:pPr>
      <w:r>
        <w:rPr>
          <w:rFonts w:ascii="Arial" w:cs="Arial" w:eastAsia="Arial" w:hAnsi="Arial"/>
          <w:sz w:val="22"/>
          <w:szCs w:val="22"/>
        </w:rPr>
        <w:t xml:space="preserve">Add security headers in next.config.js (TD-07, 2 hours)</w:t>
      </w:r>
    </w:p>
    <w:p>
      <w:pPr>
        <w:pStyle w:val="ListParagraph"/>
        <w:numPr>
          <w:ilvl w:val="0"/>
          <w:numId w:val="3"/>
        </w:numPr>
        <w:spacing w:after="80" w:line="276"/>
      </w:pPr>
      <w:r>
        <w:rPr>
          <w:rFonts w:ascii="Arial" w:cs="Arial" w:eastAsia="Arial" w:hAnsi="Arial"/>
          <w:sz w:val="22"/>
          <w:szCs w:val="22"/>
        </w:rPr>
        <w:t xml:space="preserve">Fix Ollama session leak with context manager (TD-23, 2 hours)</w:t>
      </w:r>
    </w:p>
    <w:p>
      <w:pPr>
        <w:pStyle w:val="ListParagraph"/>
        <w:numPr>
          <w:ilvl w:val="0"/>
          <w:numId w:val="3"/>
        </w:numPr>
        <w:spacing w:after="80" w:line="276"/>
      </w:pPr>
      <w:r>
        <w:rPr>
          <w:rFonts w:ascii="Arial" w:cs="Arial" w:eastAsia="Arial" w:hAnsi="Arial"/>
          <w:sz w:val="22"/>
          <w:szCs w:val="22"/>
        </w:rPr>
        <w:t xml:space="preserve">Remove unused langchain dependencies (TD-17, 1 hour)</w:t>
      </w:r>
    </w:p>
    <w:p>
      <w:pPr>
        <w:pStyle w:val="ListParagraph"/>
        <w:numPr>
          <w:ilvl w:val="0"/>
          <w:numId w:val="3"/>
        </w:numPr>
        <w:spacing w:after="80" w:line="276"/>
      </w:pPr>
      <w:r>
        <w:rPr>
          <w:rFonts w:ascii="Arial" w:cs="Arial" w:eastAsia="Arial" w:hAnsi="Arial"/>
          <w:sz w:val="22"/>
          <w:szCs w:val="22"/>
        </w:rPr>
        <w:t xml:space="preserve">Add shlex.quote() to scanner subprocess calls (TD-01, 4 hours)</w:t>
      </w:r>
    </w:p>
    <w:p>
      <w:pPr>
        <w:spacing w:after="80"/>
      </w:pPr>
    </w:p>
    <w:p>
      <w:pPr>
        <w:spacing w:after="120" w:line="276"/>
      </w:pPr>
      <w:r>
        <w:rPr>
          <w:rFonts w:ascii="Arial" w:cs="Arial" w:eastAsia="Arial" w:hAnsi="Arial"/>
          <w:i/>
          <w:iCs/>
          <w:color w:val="666666"/>
          <w:sz w:val="22"/>
          <w:szCs w:val="22"/>
        </w:rPr>
        <w:t xml:space="preserve">This report was generated from a comprehensive code-level analysis of 37 frontend files, 25+ backend services, and 15+ Python scanner modules. All findings include specific file paths and line numbers for immediate action.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999999"/>
        <w:sz w:val="18"/>
        <w:szCs w:val="18"/>
      </w:rPr>
      <w:t xml:space="preserve">Spectra Platform — Tech Debt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2026-03-23T08:31:30.102Z</dcterms:created>
  <dcterms:modified xsi:type="dcterms:W3CDTF">2026-03-23T08:31:30.103Z</dcterms:modified>
</cp:coreProperties>
</file>

<file path=docProps/custom.xml><?xml version="1.0" encoding="utf-8"?>
<Properties xmlns="http://schemas.openxmlformats.org/officeDocument/2006/custom-properties" xmlns:vt="http://schemas.openxmlformats.org/officeDocument/2006/docPropsVTypes"/>
</file>