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60"/>
        <w:jc w:val="center"/>
      </w:pPr>
      <w:r>
        <w:rPr>
          <w:rFonts w:ascii="Aptos" w:hAnsi="Aptos" w:cs="Aptos"/>
          <w:b/>
          <w:sz w:val="38"/>
        </w:rPr>
        <w:t>Текст излагања за одбрану мастер рада</w:t>
      </w:r>
    </w:p>
    <w:p>
      <w:pPr>
        <w:spacing w:after="360"/>
        <w:jc w:val="center"/>
      </w:pPr>
      <w:r>
        <w:rPr>
          <w:rFonts w:ascii="Aptos" w:hAnsi="Aptos" w:cs="Aptos"/>
          <w:i/>
          <w:sz w:val="22"/>
        </w:rPr>
        <w:t>Предвиђање временски променљивих међутржишних зависности између криптовалута и традиционалне имовине применом машинског учења</w:t>
        <w:br/>
        <w:t>Богдан Бабаев</w:t>
      </w:r>
    </w:p>
    <w:p>
      <w:pPr>
        <w:pStyle w:val="Heading1"/>
        <w:keepNext/>
        <w:keepLines/>
        <w:spacing w:before="280" w:after="140"/>
      </w:pPr>
      <w:r>
        <w:rPr>
          <w:rFonts w:ascii="Aptos" w:hAnsi="Aptos" w:cs="Aptos"/>
          <w:b/>
          <w:sz w:val="28"/>
        </w:rPr>
        <w:t>Титулни слајд</w:t>
      </w:r>
    </w:p>
    <w:p>
      <w:pPr>
        <w:spacing w:after="140" w:line="276" w:lineRule="auto"/>
      </w:pPr>
      <w:r>
        <w:rPr>
          <w:rFonts w:ascii="Aptos" w:hAnsi="Aptos" w:cs="Aptos"/>
          <w:b w:val="0"/>
          <w:sz w:val="24"/>
        </w:rPr>
        <w:t>Добар дан, поштовани чланови Комисије. Моје име је Богдан Бабаев.</w:t>
      </w:r>
    </w:p>
    <w:p>
      <w:pPr>
        <w:spacing w:after="140" w:line="276" w:lineRule="auto"/>
      </w:pPr>
      <w:r>
        <w:rPr>
          <w:rFonts w:ascii="Aptos" w:hAnsi="Aptos" w:cs="Aptos"/>
          <w:b w:val="0"/>
          <w:sz w:val="24"/>
        </w:rPr>
        <w:t xml:space="preserve">Тема мог мастер рада је </w:t>
      </w:r>
      <w:r>
        <w:rPr>
          <w:rFonts w:ascii="Aptos" w:hAnsi="Aptos" w:cs="Aptos"/>
          <w:b/>
          <w:sz w:val="24"/>
        </w:rPr>
        <w:t>„Предвиђање временски променљивих међутржишних зависности између криптовалута и традиционалне имовине применом машинског учења“</w:t>
      </w:r>
      <w:r>
        <w:rPr>
          <w:rFonts w:ascii="Aptos" w:hAnsi="Aptos" w:cs="Aptos"/>
          <w:b w:val="0"/>
          <w:sz w:val="24"/>
        </w:rPr>
        <w:t>.</w:t>
      </w:r>
    </w:p>
    <w:p>
      <w:pPr>
        <w:spacing w:after="140" w:line="276" w:lineRule="auto"/>
      </w:pPr>
      <w:r>
        <w:rPr>
          <w:rFonts w:ascii="Aptos" w:hAnsi="Aptos" w:cs="Aptos"/>
          <w:b w:val="0"/>
          <w:sz w:val="24"/>
        </w:rPr>
        <w:t>Bitcoin је од настанка 2009. године прешао пут од нишног дигиталног експеримента до ликвидне глобалне имовине коју инвеститори укључују у портфолије. Тај развој не значи да Bitcoin има једну, непроменљиву финансијску улогу. У различитим периодима тржиште га доживљава као спекулативну имовину, као заштиту од инфлације или као показатељ склоности ка ризику.</w:t>
      </w:r>
    </w:p>
    <w:p>
      <w:pPr>
        <w:spacing w:after="140" w:line="276" w:lineRule="auto"/>
      </w:pPr>
      <w:r>
        <w:rPr>
          <w:rFonts w:ascii="Aptos" w:hAnsi="Aptos" w:cs="Aptos"/>
          <w:b w:val="0"/>
          <w:sz w:val="24"/>
        </w:rPr>
        <w:t>У овом раду не покушавам да предвидим цену Bitcoin-а. Уместо тога, испитујем да ли је могуће предвидети колико ће се Bitcoin кретати заједно са акцијама, златом, сребром и индексом америчког долара. То је важно за инвеститора, јер диверсификација најчешће престаје да делује управо у периодима стреса, када различита тржишта почињу да падају истовремено.</w:t>
      </w:r>
    </w:p>
    <w:p>
      <w:pPr>
        <w:pStyle w:val="Heading1"/>
        <w:keepNext/>
        <w:keepLines/>
        <w:spacing w:before="280" w:after="140"/>
      </w:pPr>
      <w:r>
        <w:rPr>
          <w:rFonts w:ascii="Aptos" w:hAnsi="Aptos" w:cs="Aptos"/>
          <w:b/>
          <w:sz w:val="28"/>
        </w:rPr>
        <w:t>Слајд 1. Садржај</w:t>
      </w:r>
    </w:p>
    <w:p>
      <w:pPr>
        <w:spacing w:after="140" w:line="276" w:lineRule="auto"/>
      </w:pPr>
      <w:r>
        <w:rPr>
          <w:rFonts w:ascii="Aptos" w:hAnsi="Aptos" w:cs="Aptos"/>
          <w:b w:val="0"/>
          <w:sz w:val="24"/>
        </w:rPr>
        <w:t>Излагање има четири дела. Прво ћу укратко објаснити проблем и податке. Затим ћу представити циљну променљиву и методологију. После тога ћу показати главне резултате, а на крају практичну интерпретацију, ограничења и могуће наставке рада.</w:t>
      </w:r>
    </w:p>
    <w:p>
      <w:pPr>
        <w:pStyle w:val="Heading1"/>
        <w:keepNext/>
        <w:keepLines/>
        <w:spacing w:before="280" w:after="140"/>
      </w:pPr>
      <w:r>
        <w:rPr>
          <w:rFonts w:ascii="Aptos" w:hAnsi="Aptos" w:cs="Aptos"/>
          <w:b/>
          <w:sz w:val="28"/>
        </w:rPr>
        <w:t>Слајд 2. Зашто прогнозирати зависност</w:t>
      </w:r>
    </w:p>
    <w:p>
      <w:pPr>
        <w:spacing w:after="140" w:line="276" w:lineRule="auto"/>
      </w:pPr>
      <w:r>
        <w:rPr>
          <w:rFonts w:ascii="Aptos" w:hAnsi="Aptos" w:cs="Aptos"/>
          <w:b w:val="0"/>
          <w:sz w:val="24"/>
        </w:rPr>
        <w:t>Корелација је важна за диверсификацију, хеџинг и процену портфолио-ризика. У многим стандардним приступима она се третира као релативно константна величина.</w:t>
      </w:r>
    </w:p>
    <w:p>
      <w:pPr>
        <w:spacing w:after="140" w:line="276" w:lineRule="auto"/>
      </w:pPr>
      <w:r>
        <w:rPr>
          <w:rFonts w:ascii="Aptos" w:hAnsi="Aptos" w:cs="Aptos"/>
          <w:b w:val="0"/>
          <w:sz w:val="24"/>
        </w:rPr>
        <w:t>Класична теорија портфолија, почев од Markowitz-овог оквира, користи очекиване приносе, варијансе и коваријансе као улазе за расподелу капитала. У практичној примени ти улази често делују као стабилни. Ако се корелација два актива нагло промени, процена користи од диверсификације може постати нетачна управо када је ризик највећи.</w:t>
      </w:r>
    </w:p>
    <w:p>
      <w:pPr>
        <w:spacing w:after="140" w:line="276" w:lineRule="auto"/>
      </w:pPr>
      <w:r>
        <w:rPr>
          <w:rFonts w:ascii="Aptos" w:hAnsi="Aptos" w:cs="Aptos"/>
          <w:b w:val="0"/>
          <w:sz w:val="24"/>
        </w:rPr>
        <w:t>Међутим, у пракси корелације нису константне. У периоду лоших вести и тржишног стреса оне често расту. Актив који у мирном периоду изгледа као добар диверсификатор може у кризи почети да се креће заједно са акцијским тржиштем.</w:t>
      </w:r>
    </w:p>
    <w:p>
      <w:pPr>
        <w:spacing w:after="140" w:line="276" w:lineRule="auto"/>
      </w:pPr>
      <w:r>
        <w:rPr>
          <w:rFonts w:ascii="Aptos" w:hAnsi="Aptos" w:cs="Aptos"/>
          <w:b w:val="0"/>
          <w:sz w:val="24"/>
        </w:rPr>
        <w:t>Bitcoin је посебно занимљив у овом контексту јер се њиме тргује глобално и непрекидно. Његова улога на спектру ризика није фиксна. Зато просечна корелација за цео узорак прикрива режиме који су најважнији за управљање ризиком.</w:t>
      </w:r>
    </w:p>
    <w:p>
      <w:pPr>
        <w:pStyle w:val="Heading1"/>
        <w:keepNext/>
        <w:keepLines/>
        <w:spacing w:before="280" w:after="140"/>
      </w:pPr>
      <w:r>
        <w:rPr>
          <w:rFonts w:ascii="Aptos" w:hAnsi="Aptos" w:cs="Aptos"/>
          <w:b/>
          <w:sz w:val="28"/>
        </w:rPr>
        <w:t>Слајд 3. Истраживачка питања</w:t>
      </w:r>
    </w:p>
    <w:p>
      <w:pPr>
        <w:spacing w:after="140" w:line="276" w:lineRule="auto"/>
      </w:pPr>
      <w:r>
        <w:rPr>
          <w:rFonts w:ascii="Aptos" w:hAnsi="Aptos" w:cs="Aptos"/>
          <w:b w:val="0"/>
          <w:sz w:val="24"/>
        </w:rPr>
        <w:t>У раду постављам четири питања.</w:t>
      </w:r>
    </w:p>
    <w:p>
      <w:pPr>
        <w:spacing w:after="140" w:line="276" w:lineRule="auto"/>
      </w:pPr>
      <w:r>
        <w:rPr>
          <w:rFonts w:ascii="Aptos" w:hAnsi="Aptos" w:cs="Aptos"/>
          <w:b w:val="0"/>
          <w:sz w:val="24"/>
        </w:rPr>
        <w:t>Прво, да ли је временски променљива зависност прогнозива ван узорка?</w:t>
      </w:r>
    </w:p>
    <w:p>
      <w:pPr>
        <w:spacing w:after="140" w:line="276" w:lineRule="auto"/>
      </w:pPr>
      <w:r>
        <w:rPr>
          <w:rFonts w:ascii="Aptos" w:hAnsi="Aptos" w:cs="Aptos"/>
          <w:b w:val="0"/>
          <w:sz w:val="24"/>
        </w:rPr>
        <w:t>Друго, да ли машинско учење надмашује DCC-GARCH, као класични економетријски референтни модел?</w:t>
      </w:r>
    </w:p>
    <w:p>
      <w:pPr>
        <w:spacing w:after="140" w:line="276" w:lineRule="auto"/>
      </w:pPr>
      <w:r>
        <w:rPr>
          <w:rFonts w:ascii="Aptos" w:hAnsi="Aptos" w:cs="Aptos"/>
          <w:b w:val="0"/>
          <w:sz w:val="24"/>
        </w:rPr>
        <w:t>Треће, да ли надмашује једноставне моделе постојаности, као што је AR(1)?</w:t>
      </w:r>
    </w:p>
    <w:p>
      <w:pPr>
        <w:spacing w:after="140" w:line="276" w:lineRule="auto"/>
      </w:pPr>
      <w:r>
        <w:rPr>
          <w:rFonts w:ascii="Aptos" w:hAnsi="Aptos" w:cs="Aptos"/>
          <w:b w:val="0"/>
          <w:sz w:val="24"/>
        </w:rPr>
        <w:t>И четврто, да ли се прогноза зависности може употребити као додатни сигнал ризика за инвеститора?</w:t>
      </w:r>
    </w:p>
    <w:p>
      <w:pPr>
        <w:spacing w:after="140" w:line="276" w:lineRule="auto"/>
      </w:pPr>
      <w:r>
        <w:rPr>
          <w:rFonts w:ascii="Aptos" w:hAnsi="Aptos" w:cs="Aptos"/>
          <w:b w:val="0"/>
          <w:sz w:val="24"/>
        </w:rPr>
        <w:t>Кратак одговор је следећи: зависност јесте прогнозива; машинско учење има мању грешку од DCC-GARCH модела; али не показује доследну предност у односу на једноставну ауторегресију. Сигнал за инвеститора може бити користан као допунски индикатор, али не као самостална стратегија трговања.</w:t>
      </w:r>
    </w:p>
    <w:p>
      <w:pPr>
        <w:pStyle w:val="Heading1"/>
        <w:keepNext/>
        <w:keepLines/>
        <w:spacing w:before="280" w:after="140"/>
      </w:pPr>
      <w:r>
        <w:rPr>
          <w:rFonts w:ascii="Aptos" w:hAnsi="Aptos" w:cs="Aptos"/>
          <w:b/>
          <w:sz w:val="28"/>
        </w:rPr>
        <w:t>Слајд 4. Подаци</w:t>
      </w:r>
    </w:p>
    <w:p>
      <w:pPr>
        <w:spacing w:after="140" w:line="276" w:lineRule="auto"/>
      </w:pPr>
      <w:r>
        <w:rPr>
          <w:rFonts w:ascii="Aptos" w:hAnsi="Aptos" w:cs="Aptos"/>
          <w:b w:val="0"/>
          <w:sz w:val="24"/>
        </w:rPr>
        <w:t>Основни актив у истраживању је Bitcoin у америчким доларима. Упарујем га са индексима S&amp;P 500 и NASDAQ, са златом, сребром, индексом америчког долара и Ethereum-ом.</w:t>
      </w:r>
    </w:p>
    <w:p>
      <w:pPr>
        <w:spacing w:after="140" w:line="276" w:lineRule="auto"/>
      </w:pPr>
      <w:r>
        <w:rPr>
          <w:rFonts w:ascii="Aptos" w:hAnsi="Aptos" w:cs="Aptos"/>
          <w:b w:val="0"/>
          <w:sz w:val="24"/>
        </w:rPr>
        <w:t>Овај избор није случајан. S&amp;P 500 представља шире акцијско тржиште, NASDAQ његов технолошки и ризичнији сегмент, злато и сребро одражавају тражњу за заштитном имовином и инфлациона очекивања, а индекс америчког долара одражава снагу долара и заштитно позиционирање. Ethereum је крипто-крипто референтни пар, који омогућава поређење Bitcoin-ове везе са другом криптовалутом и са традиционалним активама.</w:t>
      </w:r>
    </w:p>
    <w:p>
      <w:pPr>
        <w:spacing w:after="140" w:line="276" w:lineRule="auto"/>
      </w:pPr>
      <w:r>
        <w:rPr>
          <w:rFonts w:ascii="Aptos" w:hAnsi="Aptos" w:cs="Aptos"/>
          <w:b w:val="0"/>
          <w:sz w:val="24"/>
        </w:rPr>
        <w:t>Период обухвата податке од 9. новембра 2017. до 16. маја 2026. године. После усклађивања календара добијено је 3.053 дневна посматрања.</w:t>
      </w:r>
    </w:p>
    <w:p>
      <w:pPr>
        <w:spacing w:after="140" w:line="276" w:lineRule="auto"/>
      </w:pPr>
      <w:r>
        <w:rPr>
          <w:rFonts w:ascii="Aptos" w:hAnsi="Aptos" w:cs="Aptos"/>
          <w:b w:val="0"/>
          <w:sz w:val="24"/>
        </w:rPr>
        <w:t>Користим дневне лог-приносе. Све серије су сведене на заједнички временски индекс, без празнина након поравнања. Почетни датум је одређен доступношћу података за Ethereum, који је део заједничког скупа актива.</w:t>
      </w:r>
    </w:p>
    <w:p>
      <w:pPr>
        <w:pStyle w:val="Heading1"/>
        <w:keepNext/>
        <w:keepLines/>
        <w:spacing w:before="280" w:after="140"/>
      </w:pPr>
      <w:r>
        <w:rPr>
          <w:rFonts w:ascii="Aptos" w:hAnsi="Aptos" w:cs="Aptos"/>
          <w:b/>
          <w:sz w:val="28"/>
        </w:rPr>
        <w:t>Слајд 5. Циљна променљива: склизна зависност и Fisher-z</w:t>
      </w:r>
    </w:p>
    <w:p>
      <w:pPr>
        <w:spacing w:after="140" w:line="276" w:lineRule="auto"/>
      </w:pPr>
      <w:r>
        <w:rPr>
          <w:rFonts w:ascii="Aptos" w:hAnsi="Aptos" w:cs="Aptos"/>
          <w:b w:val="0"/>
          <w:sz w:val="24"/>
        </w:rPr>
        <w:t>Циљна променљива је склизна Pearson-ова корелација између приноса Bitcoin-а и другог актива. Испитујем четири дужине прозора: 14, 30, 60 и 90 дана. Са шест парова актива то даје укупно 24 експеримента.</w:t>
      </w:r>
    </w:p>
    <w:p>
      <w:pPr>
        <w:spacing w:after="140" w:line="276" w:lineRule="auto"/>
      </w:pPr>
      <w:r>
        <w:rPr>
          <w:rFonts w:ascii="Aptos" w:hAnsi="Aptos" w:cs="Aptos"/>
          <w:b w:val="0"/>
          <w:sz w:val="24"/>
        </w:rPr>
        <w:t>Пошто је корелација ограничена на интервал од минус један до један, пре обуке модела користим Fisher-z трансформацију. Она пресликава корелацију на неограничену скалу, па се RMSE исправније тумачи близу граница.</w:t>
      </w:r>
    </w:p>
    <w:p>
      <w:pPr>
        <w:spacing w:after="140" w:line="276" w:lineRule="auto"/>
      </w:pPr>
      <w:r>
        <w:rPr>
          <w:rFonts w:ascii="Aptos" w:hAnsi="Aptos" w:cs="Aptos"/>
          <w:b w:val="0"/>
          <w:sz w:val="24"/>
        </w:rPr>
        <w:t>Теоријски разлог за ову трансформацију је што расподела корелације у близини граница није симетрична и њена варијанса није стабилна. Fisher-z трансформација ту скалу чини погоднијом за линеарне моделе и за поређење грешака прогнозе.</w:t>
      </w:r>
    </w:p>
    <w:p>
      <w:pPr>
        <w:spacing w:after="140" w:line="276" w:lineRule="auto"/>
      </w:pPr>
      <w:r>
        <w:rPr>
          <w:rFonts w:ascii="Aptos" w:hAnsi="Aptos" w:cs="Aptos"/>
          <w:b w:val="0"/>
          <w:sz w:val="24"/>
        </w:rPr>
        <w:t>Овде је важно разумети и природу циља. На пример, данашња и јучерашња корелација у прозору од 30 дана деле 29 од 30 посматрања. Зато је циљна променљива по конструкцији веома глатка и постојана. Та чињеница је кључна за каснију интерпретацију резултата.</w:t>
      </w:r>
    </w:p>
    <w:p>
      <w:pPr>
        <w:pStyle w:val="Heading1"/>
        <w:keepNext/>
        <w:keepLines/>
        <w:spacing w:before="280" w:after="140"/>
      </w:pPr>
      <w:r>
        <w:rPr>
          <w:rFonts w:ascii="Aptos" w:hAnsi="Aptos" w:cs="Aptos"/>
          <w:b/>
          <w:sz w:val="28"/>
        </w:rPr>
        <w:t>Слајд 6. Методологија</w:t>
      </w:r>
    </w:p>
    <w:p>
      <w:pPr>
        <w:spacing w:after="140" w:line="276" w:lineRule="auto"/>
      </w:pPr>
      <w:r>
        <w:rPr>
          <w:rFonts w:ascii="Aptos" w:hAnsi="Aptos" w:cs="Aptos"/>
          <w:b w:val="0"/>
          <w:sz w:val="24"/>
        </w:rPr>
        <w:t>За проверу модела користим walk-forward приступ са проширујућим прозором за обуку. Минимална величина обучавајућег узорка је 800 посматрања, а модели се поново оцењују после сваких 20 корака.</w:t>
      </w:r>
    </w:p>
    <w:p>
      <w:pPr>
        <w:spacing w:after="140" w:line="276" w:lineRule="auto"/>
      </w:pPr>
      <w:r>
        <w:rPr>
          <w:rFonts w:ascii="Aptos" w:hAnsi="Aptos" w:cs="Aptos"/>
          <w:b w:val="0"/>
          <w:sz w:val="24"/>
        </w:rPr>
        <w:t>Поред наивног модела последње вредности, поредим AR(1), HAR, Ridge, ElasticNet, Random Forest, Gradient Boosting, XGBoost и ансамбл. Као економетријски референтни модел реализован је DCC-GARCH(1,1).</w:t>
      </w:r>
    </w:p>
    <w:p>
      <w:pPr>
        <w:spacing w:after="140" w:line="276" w:lineRule="auto"/>
      </w:pPr>
      <w:r>
        <w:rPr>
          <w:rFonts w:ascii="Aptos" w:hAnsi="Aptos" w:cs="Aptos"/>
          <w:b w:val="0"/>
          <w:sz w:val="24"/>
        </w:rPr>
        <w:t>Ови модели су намерно постављени као лествица сложености. Naive модел претпоставља да је сутрашња вредност једнака данашњој. AR(1) формализује зависност од првог лага, а HAR користи кратку, средњу и дужу историју низа. Ridge и ElasticNet су регуларизоване линеарне методе, које ограничавају преобучавање када постоји више обележја. Random Forest, Gradient Boosting и XGBoost могу да открију нелинеарне односе, али им је за то потребна додатна, стабилна информација у подацима.</w:t>
      </w:r>
    </w:p>
    <w:p>
      <w:pPr>
        <w:spacing w:after="140" w:line="276" w:lineRule="auto"/>
      </w:pPr>
      <w:r>
        <w:rPr>
          <w:rFonts w:ascii="Aptos" w:hAnsi="Aptos" w:cs="Aptos"/>
          <w:b w:val="0"/>
          <w:sz w:val="24"/>
        </w:rPr>
        <w:t>Пуна матрица има 32 обележја: лагове саме зависности, њен моментум и режимски положај, приносе и волатилности оба актива, као и разлике између кратких и дужих прозора. Поређење модела по нивоима сложености омогућава да се утврди тачно у ком тренутку додатна сложеност престаје да доноси корист.</w:t>
      </w:r>
    </w:p>
    <w:p>
      <w:pPr>
        <w:spacing w:after="140" w:line="276" w:lineRule="auto"/>
      </w:pPr>
      <w:r>
        <w:rPr>
          <w:rFonts w:ascii="Aptos" w:hAnsi="Aptos" w:cs="Aptos"/>
          <w:b w:val="0"/>
          <w:sz w:val="24"/>
        </w:rPr>
        <w:t>DCC-GARCH је стандардни економетријски референтни модел. GARCH део описује временски променљиву волатилност, а DCC део динамичку условну корелацију стандардизованих приноса. Његово укључивање је важно јер омогућава поређење машинског учења са класичним приступом финансијске економетрије.</w:t>
      </w:r>
    </w:p>
    <w:p>
      <w:pPr>
        <w:spacing w:after="140" w:line="276" w:lineRule="auto"/>
      </w:pPr>
      <w:r>
        <w:rPr>
          <w:rFonts w:ascii="Aptos" w:hAnsi="Aptos" w:cs="Aptos"/>
          <w:b w:val="0"/>
          <w:sz w:val="24"/>
        </w:rPr>
        <w:t>Најважније методолошко правило је да се свака операција која би могла да употреби информације из будућности извршава искључиво унутар walk-forward петље. То се односи на конструкцију циља, поравнање обележја, DCC-GARCH процену и генерисање сигнала.</w:t>
      </w:r>
    </w:p>
    <w:p>
      <w:pPr>
        <w:spacing w:after="140" w:line="276" w:lineRule="auto"/>
      </w:pPr>
      <w:r>
        <w:rPr>
          <w:rFonts w:ascii="Aptos" w:hAnsi="Aptos" w:cs="Aptos"/>
          <w:b w:val="0"/>
          <w:sz w:val="24"/>
        </w:rPr>
        <w:t>Хиперпараметре сам једном подесио временском унакрсном валидацијом за репрезентативни случај Bitcoin и S&amp;P 500, са прозором од 30 дана. Зато тај случај тумачим као истраживачки, а не као независну потврдну оцену.</w:t>
      </w:r>
    </w:p>
    <w:p>
      <w:pPr>
        <w:pStyle w:val="Heading1"/>
        <w:keepNext/>
        <w:keepLines/>
        <w:spacing w:before="280" w:after="140"/>
      </w:pPr>
      <w:r>
        <w:rPr>
          <w:rFonts w:ascii="Aptos" w:hAnsi="Aptos" w:cs="Aptos"/>
          <w:b/>
          <w:sz w:val="28"/>
        </w:rPr>
        <w:t>Слајд 7. Репрезентативна прогноза</w:t>
      </w:r>
    </w:p>
    <w:p>
      <w:pPr>
        <w:spacing w:after="140" w:line="276" w:lineRule="auto"/>
      </w:pPr>
      <w:r>
        <w:rPr>
          <w:rFonts w:ascii="Aptos" w:hAnsi="Aptos" w:cs="Aptos"/>
          <w:b w:val="0"/>
          <w:sz w:val="24"/>
        </w:rPr>
        <w:t>Овде је приказан репрезентативни случај: пар Bitcoin и S&amp;P 500 са прозором од 30 дана.</w:t>
      </w:r>
    </w:p>
    <w:p>
      <w:pPr>
        <w:spacing w:after="140" w:line="276" w:lineRule="auto"/>
      </w:pPr>
      <w:r>
        <w:rPr>
          <w:rFonts w:ascii="Aptos" w:hAnsi="Aptos" w:cs="Aptos"/>
          <w:b w:val="0"/>
          <w:sz w:val="24"/>
        </w:rPr>
        <w:t>Види се да најбољи модели блиско прате стварну путању зависности. Највеће грешке се јављају када се тржишни режим нагло мења, односно када корелација брзо почиње да расте или пада. У тим тренуцима модели реагују са извесним кашњењем.</w:t>
      </w:r>
    </w:p>
    <w:p>
      <w:pPr>
        <w:spacing w:after="140" w:line="276" w:lineRule="auto"/>
      </w:pPr>
      <w:r>
        <w:rPr>
          <w:rFonts w:ascii="Aptos" w:hAnsi="Aptos" w:cs="Aptos"/>
          <w:b w:val="0"/>
          <w:sz w:val="24"/>
        </w:rPr>
        <w:t>То је очекивано, јер предвиђамо вредност за један дан унапред, а сама зависност, иако изглађена, и даље реагује на промене на тржишту.</w:t>
      </w:r>
    </w:p>
    <w:p>
      <w:pPr>
        <w:pStyle w:val="Heading1"/>
        <w:keepNext/>
        <w:keepLines/>
        <w:spacing w:before="280" w:after="140"/>
      </w:pPr>
      <w:r>
        <w:rPr>
          <w:rFonts w:ascii="Aptos" w:hAnsi="Aptos" w:cs="Aptos"/>
          <w:b/>
          <w:sz w:val="28"/>
        </w:rPr>
        <w:t>Слајд 8. Рангирање модела</w:t>
      </w:r>
    </w:p>
    <w:p>
      <w:pPr>
        <w:spacing w:after="140" w:line="276" w:lineRule="auto"/>
      </w:pPr>
      <w:r>
        <w:rPr>
          <w:rFonts w:ascii="Aptos" w:hAnsi="Aptos" w:cs="Aptos"/>
          <w:b w:val="0"/>
          <w:sz w:val="24"/>
        </w:rPr>
        <w:t>На овом слајду је ранг-листа модела за исти репрезентативни случај.</w:t>
      </w:r>
    </w:p>
    <w:p>
      <w:pPr>
        <w:spacing w:after="140" w:line="276" w:lineRule="auto"/>
      </w:pPr>
      <w:r>
        <w:rPr>
          <w:rFonts w:ascii="Aptos" w:hAnsi="Aptos" w:cs="Aptos"/>
          <w:b w:val="0"/>
          <w:sz w:val="24"/>
        </w:rPr>
        <w:t>Најмањи RMSE има Ridge, 0,0656. Међутим, AR(1) и HAR имају готово исти резултат, 0,0659. Разлика је само 0,0003, што нема практичан значај, посебно ако узмемо у обзир да су bootstrap интервали широки око 0,009.</w:t>
      </w:r>
    </w:p>
    <w:p>
      <w:pPr>
        <w:spacing w:after="140" w:line="276" w:lineRule="auto"/>
      </w:pPr>
      <w:r>
        <w:rPr>
          <w:rFonts w:ascii="Aptos" w:hAnsi="Aptos" w:cs="Aptos"/>
          <w:b w:val="0"/>
          <w:sz w:val="24"/>
        </w:rPr>
        <w:t>Поред тога, по MAE метрици најбољи је наивни модел који једноставно користи последњу посматрану вредност. Зато исправан закључак није да је Ridge убедљиво победио, већ да Ridge, AR(1), HAR и Naive чине приближно исту најбољу групу модела.</w:t>
      </w:r>
    </w:p>
    <w:p>
      <w:pPr>
        <w:spacing w:after="140" w:line="276" w:lineRule="auto"/>
      </w:pPr>
      <w:r>
        <w:rPr>
          <w:rFonts w:ascii="Aptos" w:hAnsi="Aptos" w:cs="Aptos"/>
          <w:b w:val="0"/>
          <w:sz w:val="24"/>
        </w:rPr>
        <w:t>Модели засновани на стаблима и XGBoost имају већу грешку, док је DCC-GARCH приметно слабији за овако дефинисану циљну променљиву.</w:t>
      </w:r>
    </w:p>
    <w:p>
      <w:pPr>
        <w:pStyle w:val="Heading1"/>
        <w:keepNext/>
        <w:keepLines/>
        <w:spacing w:before="280" w:after="140"/>
      </w:pPr>
      <w:r>
        <w:rPr>
          <w:rFonts w:ascii="Aptos" w:hAnsi="Aptos" w:cs="Aptos"/>
          <w:b/>
          <w:sz w:val="28"/>
        </w:rPr>
        <w:t>Слајд 9. Зашто постојаност побеђује</w:t>
      </w:r>
    </w:p>
    <w:p>
      <w:pPr>
        <w:spacing w:after="140" w:line="276" w:lineRule="auto"/>
      </w:pPr>
      <w:r>
        <w:rPr>
          <w:rFonts w:ascii="Aptos" w:hAnsi="Aptos" w:cs="Aptos"/>
          <w:b w:val="0"/>
          <w:sz w:val="24"/>
        </w:rPr>
        <w:t>Разлог за овај резултат је јасан. Код склизне корелације од 30 дана, две узастопне вредности скоро у потпуности деле исти скуп посматрања. После Fisher-z трансформације, први лаг већ обухвата највећи део прогнозиве варијансе.</w:t>
      </w:r>
    </w:p>
    <w:p>
      <w:pPr>
        <w:spacing w:after="140" w:line="276" w:lineRule="auto"/>
      </w:pPr>
      <w:r>
        <w:rPr>
          <w:rFonts w:ascii="Aptos" w:hAnsi="Aptos" w:cs="Aptos"/>
          <w:b w:val="0"/>
          <w:sz w:val="24"/>
        </w:rPr>
        <w:t>У директном поређењу Ridge модела са наивним моделом, Ridge има шест победа, девет пораза и девет нерешених исхода у 24 експеримента. Његова предност, дакле, није доследна и зависи од конкретног пара актива и дужине прозора.</w:t>
      </w:r>
    </w:p>
    <w:p>
      <w:pPr>
        <w:spacing w:after="140" w:line="276" w:lineRule="auto"/>
      </w:pPr>
      <w:r>
        <w:rPr>
          <w:rFonts w:ascii="Aptos" w:hAnsi="Aptos" w:cs="Aptos"/>
          <w:b w:val="0"/>
          <w:sz w:val="24"/>
        </w:rPr>
        <w:t>Сва три сложена нелинеарна модела имају већи RMSE од наивног модела у свих 24 експеримента. Зато висок коефицијент детерминације, око 0,94, пре свега говори о високој постојаности циљне променљиве, а не о супериорности сложеног алгоритма.</w:t>
      </w:r>
    </w:p>
    <w:p>
      <w:pPr>
        <w:spacing w:after="140" w:line="276" w:lineRule="auto"/>
      </w:pPr>
      <w:r>
        <w:rPr>
          <w:rFonts w:ascii="Aptos" w:hAnsi="Aptos" w:cs="Aptos"/>
          <w:b w:val="0"/>
          <w:sz w:val="24"/>
        </w:rPr>
        <w:t>Ово је централна логика рада. Инерција циља омогућава добру једнодневну прогнозу, али истовремено успорава реакцију на нагле промене режима. Зато исти механизам који подиже тачност првог слоја ограничава снагу другог слоја, односно сигнала упозорења.</w:t>
      </w:r>
    </w:p>
    <w:p>
      <w:pPr>
        <w:pStyle w:val="Heading1"/>
        <w:keepNext/>
        <w:keepLines/>
        <w:spacing w:before="280" w:after="140"/>
      </w:pPr>
      <w:r>
        <w:rPr>
          <w:rFonts w:ascii="Aptos" w:hAnsi="Aptos" w:cs="Aptos"/>
          <w:b/>
          <w:sz w:val="28"/>
        </w:rPr>
        <w:t>Слајд 10. Аблација група обележја</w:t>
      </w:r>
    </w:p>
    <w:p>
      <w:pPr>
        <w:spacing w:after="140" w:line="276" w:lineRule="auto"/>
      </w:pPr>
      <w:r>
        <w:rPr>
          <w:rFonts w:ascii="Aptos" w:hAnsi="Aptos" w:cs="Aptos"/>
          <w:b w:val="0"/>
          <w:sz w:val="24"/>
        </w:rPr>
        <w:t>Да бих утврдио одакле долази прогнозивна моћ, урадио сам аблациону анализу.</w:t>
      </w:r>
    </w:p>
    <w:p>
      <w:pPr>
        <w:spacing w:after="140" w:line="276" w:lineRule="auto"/>
      </w:pPr>
      <w:r>
        <w:rPr>
          <w:rFonts w:ascii="Aptos" w:hAnsi="Aptos" w:cs="Aptos"/>
          <w:b w:val="0"/>
          <w:sz w:val="24"/>
        </w:rPr>
        <w:t>Само један лаг зависности већ даје Ridge моделу вредност R² од 0,885. Додавање историје саме зависности помаже. Али накнадно додавање приноса Bitcoin-а, приноса повезаних актива и целог скупа обележја готово да не побољшава Ridge.</w:t>
      </w:r>
    </w:p>
    <w:p>
      <w:pPr>
        <w:spacing w:after="140" w:line="276" w:lineRule="auto"/>
      </w:pPr>
      <w:r>
        <w:rPr>
          <w:rFonts w:ascii="Aptos" w:hAnsi="Aptos" w:cs="Aptos"/>
          <w:b w:val="0"/>
          <w:sz w:val="24"/>
        </w:rPr>
        <w:t>Код модела заснованих на стаблима ситуација је неповољнија: додатна обележја повећавају грешку. На пример, XGBoost се погоршава за око 16 процената када прелази са минималног скупа на пуни скуп обележја.</w:t>
      </w:r>
    </w:p>
    <w:p>
      <w:pPr>
        <w:spacing w:after="140" w:line="276" w:lineRule="auto"/>
      </w:pPr>
      <w:r>
        <w:rPr>
          <w:rFonts w:ascii="Aptos" w:hAnsi="Aptos" w:cs="Aptos"/>
          <w:b w:val="0"/>
          <w:sz w:val="24"/>
        </w:rPr>
        <w:t>Закључак је да је за овај задатак најважнија историја саме зависности. Додатна међутржишна обележја не доносе стабилну нову информацију, а могу повећати ризик од преобучавања.</w:t>
      </w:r>
    </w:p>
    <w:p>
      <w:pPr>
        <w:pStyle w:val="Heading1"/>
        <w:keepNext/>
        <w:keepLines/>
        <w:spacing w:before="280" w:after="140"/>
      </w:pPr>
      <w:r>
        <w:rPr>
          <w:rFonts w:ascii="Aptos" w:hAnsi="Aptos" w:cs="Aptos"/>
          <w:b/>
          <w:sz w:val="28"/>
        </w:rPr>
        <w:t>Слајд 11. Машинско учење и DCC-GARCH</w:t>
      </w:r>
    </w:p>
    <w:p>
      <w:pPr>
        <w:spacing w:after="140" w:line="276" w:lineRule="auto"/>
      </w:pPr>
      <w:r>
        <w:rPr>
          <w:rFonts w:ascii="Aptos" w:hAnsi="Aptos" w:cs="Aptos"/>
          <w:b w:val="0"/>
          <w:sz w:val="24"/>
        </w:rPr>
        <w:t>Машинско учење има мању грешку од DCC-GARCH модела. У репрезентативном случају RMSE је приближно 0,066 наспрам 0,214, дакле око три пута мањи.</w:t>
      </w:r>
    </w:p>
    <w:p>
      <w:pPr>
        <w:spacing w:after="140" w:line="276" w:lineRule="auto"/>
      </w:pPr>
      <w:r>
        <w:rPr>
          <w:rFonts w:ascii="Aptos" w:hAnsi="Aptos" w:cs="Aptos"/>
          <w:b w:val="0"/>
          <w:sz w:val="24"/>
        </w:rPr>
        <w:t>Ипак, овај резултат треба тумачити пажљиво. DCC-GARCH процењује тренутну условну корелацију, док је мој циљ изглађена склизна корелација. Та разлика у дефиницији може увести систематско кашњење DCC-GARCH модела.</w:t>
      </w:r>
    </w:p>
    <w:p>
      <w:pPr>
        <w:spacing w:after="140" w:line="276" w:lineRule="auto"/>
      </w:pPr>
      <w:r>
        <w:rPr>
          <w:rFonts w:ascii="Aptos" w:hAnsi="Aptos" w:cs="Aptos"/>
          <w:b w:val="0"/>
          <w:sz w:val="24"/>
        </w:rPr>
        <w:t>Постоји и календарска разлика: Bitcoin се тргује седам дана у недељи, док су традиционална тржишта затворена викендом. При усклађивању календара део посматрања за традиционалне активе има викенд-нуле.</w:t>
      </w:r>
    </w:p>
    <w:p>
      <w:pPr>
        <w:spacing w:after="140" w:line="276" w:lineRule="auto"/>
      </w:pPr>
      <w:r>
        <w:rPr>
          <w:rFonts w:ascii="Aptos" w:hAnsi="Aptos" w:cs="Aptos"/>
          <w:b w:val="0"/>
          <w:sz w:val="24"/>
        </w:rPr>
        <w:t>Зато тврдим само да у овој поставци, за ову циљну променљиву и уз спречавање цурења информација, модели машинског учења имају мањи RMSE од DCC-GARCH модела. Не тврдим статистички строго потврђену, универзалну предност, нити да је DCC-GARCH лош модел за своју намену.</w:t>
      </w:r>
    </w:p>
    <w:p>
      <w:pPr>
        <w:pStyle w:val="Heading1"/>
        <w:keepNext/>
        <w:keepLines/>
        <w:spacing w:before="280" w:after="140"/>
      </w:pPr>
      <w:r>
        <w:rPr>
          <w:rFonts w:ascii="Aptos" w:hAnsi="Aptos" w:cs="Aptos"/>
          <w:b/>
          <w:sz w:val="28"/>
        </w:rPr>
        <w:t>Слајд 12. Слој сигнала за инвеститора</w:t>
      </w:r>
    </w:p>
    <w:p>
      <w:pPr>
        <w:spacing w:after="140" w:line="276" w:lineRule="auto"/>
      </w:pPr>
      <w:r>
        <w:rPr>
          <w:rFonts w:ascii="Aptos" w:hAnsi="Aptos" w:cs="Aptos"/>
          <w:b w:val="0"/>
          <w:sz w:val="24"/>
        </w:rPr>
        <w:t>На основу прогнозе зависности правим други слој, односно сигнал ризика за инвеститора.</w:t>
      </w:r>
    </w:p>
    <w:p>
      <w:pPr>
        <w:spacing w:after="140" w:line="276" w:lineRule="auto"/>
      </w:pPr>
      <w:r>
        <w:rPr>
          <w:rFonts w:ascii="Aptos" w:hAnsi="Aptos" w:cs="Aptos"/>
          <w:b w:val="0"/>
          <w:sz w:val="24"/>
        </w:rPr>
        <w:t>Практични корисник оваквог алата није инвеститор који очекује тачну дневну прогнозу приноса, већ пре свега ризик-менаџер. Њему је важно да препозна могућу промену режима, односно период у коме диверсификација може бити мање поуздана. Код великих позиција и слаб, али добро интерпретиран сигнал може бити користан као повод за додатну проверу изложености или хеџинга.</w:t>
      </w:r>
    </w:p>
    <w:p>
      <w:pPr>
        <w:spacing w:after="140" w:line="276" w:lineRule="auto"/>
      </w:pPr>
      <w:r>
        <w:rPr>
          <w:rFonts w:ascii="Aptos" w:hAnsi="Aptos" w:cs="Aptos"/>
          <w:b w:val="0"/>
          <w:sz w:val="24"/>
        </w:rPr>
        <w:t>Стресни дан дефинишем као дан у коме је наредни принос традиционалног актива мањи од минус 0,75 његове тренутне стандардне девијације. Logit модел процењује вероватноћу таквог догађаја, а сигнал се активира када је вероватноћа најмање 0,55.</w:t>
      </w:r>
    </w:p>
    <w:p>
      <w:pPr>
        <w:spacing w:after="140" w:line="276" w:lineRule="auto"/>
      </w:pPr>
      <w:r>
        <w:rPr>
          <w:rFonts w:ascii="Aptos" w:hAnsi="Aptos" w:cs="Aptos"/>
          <w:b w:val="0"/>
          <w:sz w:val="24"/>
        </w:rPr>
        <w:t>Просечни резултати су умерени: balanced accuracy је 0,511, F1 за класу пада 0,214, а AUC 0,513. Најбољи случај је пар Bitcoin и S&amp;P 500 са прозором од 30 дана, где је balanced accuracy 0,5308, а F1 0,2430.</w:t>
      </w:r>
    </w:p>
    <w:p>
      <w:pPr>
        <w:spacing w:after="140" w:line="276" w:lineRule="auto"/>
      </w:pPr>
      <w:r>
        <w:rPr>
          <w:rFonts w:ascii="Aptos" w:hAnsi="Aptos" w:cs="Aptos"/>
          <w:b w:val="0"/>
          <w:sz w:val="24"/>
        </w:rPr>
        <w:t>Тај најбољи резултат долази из двадесет конфигурација, па има истраживачки, а не потврдни карактер. Random Forest овде практично дегенерише: његове вероватноће су слабо калибрисане и ретко прелазе изабрани праг.</w:t>
      </w:r>
    </w:p>
    <w:p>
      <w:pPr>
        <w:pStyle w:val="Heading1"/>
        <w:keepNext/>
        <w:keepLines/>
        <w:spacing w:before="280" w:after="140"/>
      </w:pPr>
      <w:r>
        <w:rPr>
          <w:rFonts w:ascii="Aptos" w:hAnsi="Aptos" w:cs="Aptos"/>
          <w:b/>
          <w:sz w:val="28"/>
        </w:rPr>
        <w:t>Слајд 13. Да ли сигнал има практичну вредност?</w:t>
      </w:r>
    </w:p>
    <w:p>
      <w:pPr>
        <w:spacing w:after="140" w:line="276" w:lineRule="auto"/>
      </w:pPr>
      <w:r>
        <w:rPr>
          <w:rFonts w:ascii="Aptos" w:hAnsi="Aptos" w:cs="Aptos"/>
          <w:b w:val="0"/>
          <w:sz w:val="24"/>
        </w:rPr>
        <w:t>На овом слајду проверавам практични смисао сигнала. За парове Bitcoin са S&amp;P 500 и NASDAQ-ом, дани које сигнал означи имају у просеку лошији наредни принос од дана без сигнала.</w:t>
      </w:r>
    </w:p>
    <w:p>
      <w:pPr>
        <w:spacing w:after="140" w:line="276" w:lineRule="auto"/>
      </w:pPr>
      <w:r>
        <w:rPr>
          <w:rFonts w:ascii="Aptos" w:hAnsi="Aptos" w:cs="Aptos"/>
          <w:b w:val="0"/>
          <w:sz w:val="24"/>
        </w:rPr>
        <w:t>Приноси означених дана су ипак у просеку позитивни. Разлог је што велики део узорка припада растућем тржишту. Зато сигнал не предвиђа нужно негативан дан. Он помаже да се издвоје дани са релативно неповољнијим профилом ризика.</w:t>
      </w:r>
    </w:p>
    <w:p>
      <w:pPr>
        <w:spacing w:after="140" w:line="276" w:lineRule="auto"/>
      </w:pPr>
      <w:r>
        <w:rPr>
          <w:rFonts w:ascii="Aptos" w:hAnsi="Aptos" w:cs="Aptos"/>
          <w:b w:val="0"/>
          <w:sz w:val="24"/>
        </w:rPr>
        <w:t>Треба узети у обзир и учесталост сигнала, која је код акцијских парова приближно једна трећина дана. Без трансакционих трошкова, калибрације и портфолио backtest-а, ово још није готова стратегија за примену, већ додатни индикатор за управљање ризиком.</w:t>
      </w:r>
    </w:p>
    <w:p>
      <w:pPr>
        <w:pStyle w:val="Heading1"/>
        <w:keepNext/>
        <w:keepLines/>
        <w:spacing w:before="280" w:after="140"/>
      </w:pPr>
      <w:r>
        <w:rPr>
          <w:rFonts w:ascii="Aptos" w:hAnsi="Aptos" w:cs="Aptos"/>
          <w:b/>
          <w:sz w:val="28"/>
        </w:rPr>
        <w:t>Слајд 14. Шта рад показује</w:t>
      </w:r>
    </w:p>
    <w:p>
      <w:pPr>
        <w:spacing w:after="140" w:line="276" w:lineRule="auto"/>
      </w:pPr>
      <w:r>
        <w:rPr>
          <w:rFonts w:ascii="Aptos" w:hAnsi="Aptos" w:cs="Aptos"/>
          <w:b w:val="0"/>
          <w:sz w:val="24"/>
        </w:rPr>
        <w:t>Главни закључци су следећи.</w:t>
      </w:r>
    </w:p>
    <w:p>
      <w:pPr>
        <w:spacing w:after="140" w:line="276" w:lineRule="auto"/>
      </w:pPr>
      <w:r>
        <w:rPr>
          <w:rFonts w:ascii="Aptos" w:hAnsi="Aptos" w:cs="Aptos"/>
          <w:b w:val="0"/>
          <w:sz w:val="24"/>
        </w:rPr>
        <w:t>Прво, временски променљива зависност Bitcoin-а и традиционалних актива јесте прогнозива ван узорка. То је проверено на шест парова актива, четири прозора и у строгом walk-forward поступку.</w:t>
      </w:r>
    </w:p>
    <w:p>
      <w:pPr>
        <w:spacing w:after="140" w:line="276" w:lineRule="auto"/>
      </w:pPr>
      <w:r>
        <w:rPr>
          <w:rFonts w:ascii="Aptos" w:hAnsi="Aptos" w:cs="Aptos"/>
          <w:b w:val="0"/>
          <w:sz w:val="24"/>
        </w:rPr>
        <w:t>Друго, највећи део те прогнозивости потиче од постојаности саме склизне зависности. Већ један лаг носи значајан део корисне информације.</w:t>
      </w:r>
    </w:p>
    <w:p>
      <w:pPr>
        <w:spacing w:after="140" w:line="276" w:lineRule="auto"/>
      </w:pPr>
      <w:r>
        <w:rPr>
          <w:rFonts w:ascii="Aptos" w:hAnsi="Aptos" w:cs="Aptos"/>
          <w:b w:val="0"/>
          <w:sz w:val="24"/>
        </w:rPr>
        <w:t>Треће, машинско учење у овој поставци има мањи RMSE од DCC-GARCH модела, али не показује доследну предност над једноставним AR(1) моделом.</w:t>
      </w:r>
    </w:p>
    <w:p>
      <w:pPr>
        <w:spacing w:after="140" w:line="276" w:lineRule="auto"/>
      </w:pPr>
      <w:r>
        <w:rPr>
          <w:rFonts w:ascii="Aptos" w:hAnsi="Aptos" w:cs="Aptos"/>
          <w:b w:val="0"/>
          <w:sz w:val="24"/>
        </w:rPr>
        <w:t>И на крају, слој сигнала може да послужи као скроман додатни индикатор ризика за широку изложеност акцијама, али не као самостално правило за улазак или излазак из позиције.</w:t>
      </w:r>
    </w:p>
    <w:p>
      <w:pPr>
        <w:spacing w:after="140" w:line="276" w:lineRule="auto"/>
      </w:pPr>
      <w:r>
        <w:rPr>
          <w:rFonts w:ascii="Aptos" w:hAnsi="Aptos" w:cs="Aptos"/>
          <w:b w:val="0"/>
          <w:sz w:val="24"/>
        </w:rPr>
        <w:t>Допринос рада је зато трострук. Методички, нуди поновљив протокол без цурења будућих информација, у коме се и референтни модел оцењује под истим условима. Емпиријски, показује да је већина прогнозивости међутржишне зависности последица инерције саме мере. Практично, прецизно одређује границу примене: сигнал може помоћи у праћењу ризика, али не оправдава самосталну стратегију трговања.</w:t>
      </w:r>
    </w:p>
    <w:p>
      <w:pPr>
        <w:pStyle w:val="Heading1"/>
        <w:keepNext/>
        <w:keepLines/>
        <w:spacing w:before="280" w:after="140"/>
      </w:pPr>
      <w:r>
        <w:rPr>
          <w:rFonts w:ascii="Aptos" w:hAnsi="Aptos" w:cs="Aptos"/>
          <w:b/>
          <w:sz w:val="28"/>
        </w:rPr>
        <w:t>Слајд 15. Шта рад не тврди</w:t>
      </w:r>
    </w:p>
    <w:p>
      <w:pPr>
        <w:spacing w:after="140" w:line="276" w:lineRule="auto"/>
      </w:pPr>
      <w:r>
        <w:rPr>
          <w:rFonts w:ascii="Aptos" w:hAnsi="Aptos" w:cs="Aptos"/>
          <w:b w:val="0"/>
          <w:sz w:val="24"/>
        </w:rPr>
        <w:t>Важно је нагласити и границе закључака.</w:t>
      </w:r>
    </w:p>
    <w:p>
      <w:pPr>
        <w:spacing w:after="140" w:line="276" w:lineRule="auto"/>
      </w:pPr>
      <w:r>
        <w:rPr>
          <w:rFonts w:ascii="Aptos" w:hAnsi="Aptos" w:cs="Aptos"/>
          <w:b w:val="0"/>
          <w:sz w:val="24"/>
        </w:rPr>
        <w:t>Рад не тврди да Bitcoin предвиђа приносе акција. Он испитује да ли се може предвидети зависност између Bitcoin-а и других актива.</w:t>
      </w:r>
    </w:p>
    <w:p>
      <w:pPr>
        <w:spacing w:after="140" w:line="276" w:lineRule="auto"/>
      </w:pPr>
      <w:r>
        <w:rPr>
          <w:rFonts w:ascii="Aptos" w:hAnsi="Aptos" w:cs="Aptos"/>
          <w:b w:val="0"/>
          <w:sz w:val="24"/>
        </w:rPr>
        <w:t>Сигнал процењује вероватноћу већег ризика пада, али не одређује тачан смер, величину или тренутак кретања тржишта.</w:t>
      </w:r>
    </w:p>
    <w:p>
      <w:pPr>
        <w:spacing w:after="140" w:line="276" w:lineRule="auto"/>
      </w:pPr>
      <w:r>
        <w:rPr>
          <w:rFonts w:ascii="Aptos" w:hAnsi="Aptos" w:cs="Aptos"/>
          <w:b w:val="0"/>
          <w:sz w:val="24"/>
        </w:rPr>
        <w:t>Најбоља конфигурација сигнала изабрана је међу двадесет случајева без корекције за вишеструка поређења. Зато је она индикативна хипотеза, а не доказ стабилне трговачке предности.</w:t>
      </w:r>
    </w:p>
    <w:p>
      <w:pPr>
        <w:spacing w:after="140" w:line="276" w:lineRule="auto"/>
      </w:pPr>
      <w:r>
        <w:rPr>
          <w:rFonts w:ascii="Aptos" w:hAnsi="Aptos" w:cs="Aptos"/>
          <w:b w:val="0"/>
          <w:sz w:val="24"/>
        </w:rPr>
        <w:t>Такође, рад не показује да је DCC-GARCH генерално лош модел, већ да је мање погодан за овако дефинисану, изглађену циљну променљиву.</w:t>
      </w:r>
    </w:p>
    <w:p>
      <w:pPr>
        <w:pStyle w:val="Heading1"/>
        <w:keepNext/>
        <w:keepLines/>
        <w:spacing w:before="280" w:after="140"/>
      </w:pPr>
      <w:r>
        <w:rPr>
          <w:rFonts w:ascii="Aptos" w:hAnsi="Aptos" w:cs="Aptos"/>
          <w:b/>
          <w:sz w:val="28"/>
        </w:rPr>
        <w:t>Слајд 16. Ограничења и будући рад</w:t>
      </w:r>
    </w:p>
    <w:p>
      <w:pPr>
        <w:spacing w:after="140" w:line="276" w:lineRule="auto"/>
      </w:pPr>
      <w:r>
        <w:rPr>
          <w:rFonts w:ascii="Aptos" w:hAnsi="Aptos" w:cs="Aptos"/>
          <w:b w:val="0"/>
          <w:sz w:val="24"/>
        </w:rPr>
        <w:t>Главна ограничења су дневна учесталост, хоризонт од једног дана, само једна основна криптовалута и коришћење Pearson-ове склизне корелације као једине мере зависности.</w:t>
      </w:r>
    </w:p>
    <w:p>
      <w:pPr>
        <w:spacing w:after="140" w:line="276" w:lineRule="auto"/>
      </w:pPr>
      <w:r>
        <w:rPr>
          <w:rFonts w:ascii="Aptos" w:hAnsi="Aptos" w:cs="Aptos"/>
          <w:b w:val="0"/>
          <w:sz w:val="24"/>
        </w:rPr>
        <w:t>Поред тога, нисам радио калибрацију вероватноћа у слоју сигнала, нити комплетан портфолио backtest са трансакционим трошковима.</w:t>
      </w:r>
    </w:p>
    <w:p>
      <w:pPr>
        <w:spacing w:after="140" w:line="276" w:lineRule="auto"/>
      </w:pPr>
      <w:r>
        <w:rPr>
          <w:rFonts w:ascii="Aptos" w:hAnsi="Aptos" w:cs="Aptos"/>
          <w:b w:val="0"/>
          <w:sz w:val="24"/>
        </w:rPr>
        <w:t>Следећи корак би био потврдни рад на новом, раније невидљивом узорку, са угнежђеним walk-forward подешавањем, мерама зависности осетљивим на репове расподеле и пуном портфолио анализом.</w:t>
      </w:r>
    </w:p>
    <w:p>
      <w:pPr>
        <w:spacing w:after="140" w:line="276" w:lineRule="auto"/>
      </w:pPr>
      <w:r>
        <w:rPr>
          <w:rFonts w:ascii="Aptos" w:hAnsi="Aptos" w:cs="Aptos"/>
          <w:b w:val="0"/>
          <w:sz w:val="24"/>
        </w:rPr>
        <w:t>Ова ограничења не поништавају резултате у оквиру онога што је заиста тестирано, али јасно одређују начин на који их треба тумачити.</w:t>
      </w:r>
    </w:p>
    <w:p>
      <w:pPr>
        <w:pStyle w:val="Heading1"/>
        <w:keepNext/>
        <w:keepLines/>
        <w:spacing w:before="280" w:after="140"/>
      </w:pPr>
      <w:r>
        <w:rPr>
          <w:rFonts w:ascii="Aptos" w:hAnsi="Aptos" w:cs="Aptos"/>
          <w:b/>
          <w:sz w:val="28"/>
        </w:rPr>
        <w:t>Слајд 17. Питања</w:t>
      </w:r>
    </w:p>
    <w:p>
      <w:pPr>
        <w:spacing w:after="140" w:line="276" w:lineRule="auto"/>
      </w:pPr>
      <w:r>
        <w:rPr>
          <w:rFonts w:ascii="Aptos" w:hAnsi="Aptos" w:cs="Aptos"/>
          <w:b w:val="0"/>
          <w:sz w:val="24"/>
        </w:rPr>
        <w:t>Хвала вам на пажњи.</w:t>
      </w:r>
    </w:p>
    <w:p>
      <w:pPr>
        <w:spacing w:after="140" w:line="276" w:lineRule="auto"/>
      </w:pPr>
      <w:r>
        <w:rPr>
          <w:rFonts w:ascii="Aptos" w:hAnsi="Aptos" w:cs="Aptos"/>
          <w:b w:val="0"/>
          <w:sz w:val="24"/>
        </w:rPr>
        <w:t>На овом слајду се налази QR код који води на сајт-демонстрацију рада. Тамо су доступни кратак опис истраживања, сценарији и пример рада модела.</w:t>
      </w:r>
    </w:p>
    <w:p>
      <w:pPr>
        <w:spacing w:after="140" w:line="276" w:lineRule="auto"/>
      </w:pPr>
      <w:r>
        <w:rPr>
          <w:rFonts w:ascii="Aptos" w:hAnsi="Aptos" w:cs="Aptos"/>
          <w:b w:val="0"/>
          <w:sz w:val="24"/>
        </w:rPr>
        <w:t>Биће ми драго да одговорим на ваша питања.</w:t>
      </w:r>
    </w:p>
    <w:sectPr w:rsidR="00FC693F" w:rsidRPr="0006063C" w:rsidSect="00034616">
      <w:pgSz w:w="12240" w:h="15840"/>
      <w:pgMar w:top="1247" w:right="1361" w:bottom="850"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s="Aptos"/>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cs="Apto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s="Aptos"/>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