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rFonts w:ascii="Calibri" w:hAnsi="Calibri" w:eastAsia="Microsoft YaHei"/>
          <w:b/>
          <w:color w:val="2AA7C9"/>
          <w:sz w:val="21"/>
        </w:rPr>
        <w:t>大学生创新创业竞赛参赛材料</w:t>
      </w:r>
    </w:p>
    <w:p>
      <w:pPr>
        <w:spacing w:after="40"/>
        <w:jc w:val="center"/>
      </w:pPr>
      <w:r>
        <w:rPr>
          <w:rFonts w:ascii="Calibri" w:hAnsi="Calibri" w:eastAsia="Microsoft YaHei"/>
          <w:b/>
          <w:color w:val="12233F"/>
          <w:sz w:val="64"/>
        </w:rPr>
        <w:t>OwO</w:t>
      </w:r>
    </w:p>
    <w:p>
      <w:pPr>
        <w:spacing w:after="60"/>
        <w:jc w:val="center"/>
      </w:pPr>
      <w:r>
        <w:rPr>
          <w:rFonts w:ascii="Calibri" w:hAnsi="Calibri" w:eastAsia="Microsoft YaHei"/>
          <w:b/>
          <w:color w:val="2E74B5"/>
          <w:sz w:val="50"/>
        </w:rPr>
        <w:t>情境感知智能交互系统</w:t>
      </w:r>
    </w:p>
    <w:p>
      <w:pPr>
        <w:spacing w:after="200"/>
        <w:jc w:val="center"/>
      </w:pPr>
      <w:r>
        <w:rPr>
          <w:rFonts w:ascii="Calibri" w:hAnsi="Calibri" w:eastAsia="Microsoft YaHei"/>
          <w:color w:val="66758A"/>
          <w:sz w:val="25"/>
        </w:rPr>
        <w:t>让人工智能从被动问答走向可理解、可协作、可控制的桌面行动伙伴</w:t>
      </w:r>
    </w:p>
    <w:p>
      <w:pPr>
        <w:keepNext/>
        <w:spacing w:before="80" w:after="40"/>
        <w:jc w:val="center"/>
      </w:pPr>
      <w:r>
        <w:drawing>
          <wp:inline xmlns:a="http://schemas.openxmlformats.org/drawingml/2006/main" xmlns:pic="http://schemas.openxmlformats.org/drawingml/2006/picture">
            <wp:extent cx="5715000" cy="3216397"/>
            <wp:docPr id="1" name="Picture 1" descr="封面视觉  情境感知、桌面伙伴与多智能体任务协作" title="封面视觉  情境感知、桌面伙伴与多智能体任务协作"/>
            <wp:cNvGraphicFramePr>
              <a:graphicFrameLocks noChangeAspect="1"/>
            </wp:cNvGraphicFramePr>
            <a:graphic>
              <a:graphicData uri="http://schemas.openxmlformats.org/drawingml/2006/picture">
                <pic:pic>
                  <pic:nvPicPr>
                    <pic:cNvPr id="0" name="owo-cover-visual.png"/>
                    <pic:cNvPicPr/>
                  </pic:nvPicPr>
                  <pic:blipFill>
                    <a:blip r:embed="rId11"/>
                    <a:stretch>
                      <a:fillRect/>
                    </a:stretch>
                  </pic:blipFill>
                  <pic:spPr>
                    <a:xfrm>
                      <a:off x="0" y="0"/>
                      <a:ext cx="5715000" cy="3216397"/>
                    </a:xfrm>
                    <a:prstGeom prst="rect"/>
                  </pic:spPr>
                </pic:pic>
              </a:graphicData>
            </a:graphic>
          </wp:inline>
        </w:drawing>
      </w:r>
    </w:p>
    <w:p>
      <w:pPr>
        <w:pStyle w:val="Caption"/>
        <w:keepNext w:val="0"/>
      </w:pPr>
      <w:r>
        <w:t>封面视觉  情境感知、桌面伙伴与多智能体任务协作</w:t>
      </w:r>
    </w:p>
    <w:tbl>
      <w:tblPr>
        <w:tblW w:type="dxa" w:w="9360"/>
        <w:tblLayout w:type="fixed"/>
        <w:tblLook w:firstColumn="1" w:firstRow="1" w:lastColumn="0" w:lastRow="0" w:noHBand="0" w:noVBand="1" w:val="04A0"/>
        <w:jc w:val="left"/>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2100"/>
        <w:gridCol w:w="7260"/>
      </w:tblGrid>
      <w:tr>
        <w:trPr>
          <w:tblHeader w:val="true"/>
          <w:cantSplit w:val="true"/>
        </w:trPr>
        <w:tc>
          <w:tcPr>
            <w:tcW w:type="dxa" w:w="2100"/>
            <w:tcMar>
              <w:top w:w="90" w:type="dxa"/>
              <w:start w:w="120" w:type="dxa"/>
              <w:bottom w:w="90" w:type="dxa"/>
              <w:end w:w="120" w:type="dxa"/>
            </w:tcMar>
            <w:vAlign w:val="center"/>
            <w:shd w:fill="E9F1F8"/>
          </w:tcPr>
          <w:p>
            <w:pPr>
              <w:spacing w:after="0"/>
              <w:jc w:val="center"/>
            </w:pPr>
            <w:r>
              <w:rPr>
                <w:rFonts w:ascii="Calibri" w:hAnsi="Calibri" w:eastAsia="Microsoft YaHei"/>
                <w:b/>
                <w:color w:val="12233F"/>
                <w:sz w:val="18"/>
              </w:rPr>
              <w:t>参赛信息</w:t>
            </w:r>
          </w:p>
        </w:tc>
        <w:tc>
          <w:tcPr>
            <w:tcW w:type="dxa" w:w="7260"/>
            <w:tcMar>
              <w:top w:w="90" w:type="dxa"/>
              <w:start w:w="120" w:type="dxa"/>
              <w:bottom w:w="90" w:type="dxa"/>
              <w:end w:w="120" w:type="dxa"/>
            </w:tcMar>
            <w:vAlign w:val="center"/>
            <w:shd w:fill="E9F1F8"/>
          </w:tcPr>
          <w:p>
            <w:pPr>
              <w:spacing w:after="0"/>
              <w:jc w:val="center"/>
            </w:pPr>
            <w:r>
              <w:rPr>
                <w:rFonts w:ascii="Calibri" w:hAnsi="Calibri" w:eastAsia="Microsoft YaHei"/>
                <w:b/>
                <w:color w:val="12233F"/>
                <w:sz w:val="18"/>
              </w:rPr>
              <w:t>待填写内容</w:t>
            </w:r>
          </w:p>
        </w:tc>
      </w:tr>
      <w:tr>
        <w:trPr>
          <w:cantSplit w:val="true"/>
        </w:trPr>
        <w:tc>
          <w:tcPr>
            <w:tcW w:type="dxa" w:w="2100"/>
            <w:tcMar>
              <w:top w:w="90" w:type="dxa"/>
              <w:start w:w="120" w:type="dxa"/>
              <w:bottom w:w="90" w:type="dxa"/>
              <w:end w:w="120" w:type="dxa"/>
            </w:tcMar>
            <w:vAlign w:val="center"/>
            <w:shd w:fill="F6F9FC"/>
          </w:tcPr>
          <w:p>
            <w:pPr>
              <w:spacing w:after="0" w:line="276" w:lineRule="auto"/>
              <w:jc w:val="center"/>
            </w:pPr>
            <w:r>
              <w:rPr>
                <w:rFonts w:ascii="Calibri" w:hAnsi="Calibri" w:eastAsia="Microsoft YaHei"/>
                <w:color w:val="243447"/>
                <w:sz w:val="18"/>
              </w:rPr>
              <w:t>参赛赛道</w:t>
            </w:r>
          </w:p>
        </w:tc>
        <w:tc>
          <w:tcPr>
            <w:tcW w:type="dxa" w:w="72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高教主赛道／创意组／其他：待确认</w:t>
            </w:r>
          </w:p>
        </w:tc>
      </w:tr>
      <w:tr>
        <w:trPr>
          <w:cantSplit w:val="true"/>
        </w:trPr>
        <w:tc>
          <w:tcPr>
            <w:tcW w:type="dxa" w:w="2100"/>
            <w:tcMar>
              <w:top w:w="90" w:type="dxa"/>
              <w:start w:w="120" w:type="dxa"/>
              <w:bottom w:w="90" w:type="dxa"/>
              <w:end w:w="120" w:type="dxa"/>
            </w:tcMar>
            <w:vAlign w:val="center"/>
            <w:shd w:fill="F6F9FC"/>
          </w:tcPr>
          <w:p>
            <w:pPr>
              <w:spacing w:after="0" w:line="276" w:lineRule="auto"/>
              <w:jc w:val="center"/>
            </w:pPr>
            <w:r>
              <w:rPr>
                <w:rFonts w:ascii="Calibri" w:hAnsi="Calibri" w:eastAsia="Microsoft YaHei"/>
                <w:color w:val="243447"/>
                <w:sz w:val="18"/>
              </w:rPr>
              <w:t>项目负责人</w:t>
            </w:r>
          </w:p>
        </w:tc>
        <w:tc>
          <w:tcPr>
            <w:tcW w:type="dxa" w:w="72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待填写</w:t>
            </w:r>
          </w:p>
        </w:tc>
      </w:tr>
      <w:tr>
        <w:trPr>
          <w:cantSplit w:val="true"/>
        </w:trPr>
        <w:tc>
          <w:tcPr>
            <w:tcW w:type="dxa" w:w="2100"/>
            <w:tcMar>
              <w:top w:w="90" w:type="dxa"/>
              <w:start w:w="120" w:type="dxa"/>
              <w:bottom w:w="90" w:type="dxa"/>
              <w:end w:w="120" w:type="dxa"/>
            </w:tcMar>
            <w:vAlign w:val="center"/>
            <w:shd w:fill="F6F9FC"/>
          </w:tcPr>
          <w:p>
            <w:pPr>
              <w:spacing w:after="0" w:line="276" w:lineRule="auto"/>
              <w:jc w:val="center"/>
            </w:pPr>
            <w:r>
              <w:rPr>
                <w:rFonts w:ascii="Calibri" w:hAnsi="Calibri" w:eastAsia="Microsoft YaHei"/>
                <w:color w:val="243447"/>
                <w:sz w:val="18"/>
              </w:rPr>
              <w:t>团队成员</w:t>
            </w:r>
          </w:p>
        </w:tc>
        <w:tc>
          <w:tcPr>
            <w:tcW w:type="dxa" w:w="72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待填写</w:t>
            </w:r>
          </w:p>
        </w:tc>
      </w:tr>
      <w:tr>
        <w:trPr>
          <w:cantSplit w:val="true"/>
        </w:trPr>
        <w:tc>
          <w:tcPr>
            <w:tcW w:type="dxa" w:w="2100"/>
            <w:tcMar>
              <w:top w:w="90" w:type="dxa"/>
              <w:start w:w="120" w:type="dxa"/>
              <w:bottom w:w="90" w:type="dxa"/>
              <w:end w:w="120" w:type="dxa"/>
            </w:tcMar>
            <w:vAlign w:val="center"/>
            <w:shd w:fill="F6F9FC"/>
          </w:tcPr>
          <w:p>
            <w:pPr>
              <w:spacing w:after="0" w:line="276" w:lineRule="auto"/>
              <w:jc w:val="center"/>
            </w:pPr>
            <w:r>
              <w:rPr>
                <w:rFonts w:ascii="Calibri" w:hAnsi="Calibri" w:eastAsia="Microsoft YaHei"/>
                <w:color w:val="243447"/>
                <w:sz w:val="18"/>
              </w:rPr>
              <w:t>学校与学院</w:t>
            </w:r>
          </w:p>
        </w:tc>
        <w:tc>
          <w:tcPr>
            <w:tcW w:type="dxa" w:w="72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待填写</w:t>
            </w:r>
          </w:p>
        </w:tc>
      </w:tr>
      <w:tr>
        <w:trPr>
          <w:cantSplit w:val="true"/>
        </w:trPr>
        <w:tc>
          <w:tcPr>
            <w:tcW w:type="dxa" w:w="2100"/>
            <w:tcMar>
              <w:top w:w="90" w:type="dxa"/>
              <w:start w:w="120" w:type="dxa"/>
              <w:bottom w:w="90" w:type="dxa"/>
              <w:end w:w="120" w:type="dxa"/>
            </w:tcMar>
            <w:vAlign w:val="center"/>
            <w:shd w:fill="F6F9FC"/>
          </w:tcPr>
          <w:p>
            <w:pPr>
              <w:spacing w:after="0" w:line="276" w:lineRule="auto"/>
              <w:jc w:val="center"/>
            </w:pPr>
            <w:r>
              <w:rPr>
                <w:rFonts w:ascii="Calibri" w:hAnsi="Calibri" w:eastAsia="Microsoft YaHei"/>
                <w:color w:val="243447"/>
                <w:sz w:val="18"/>
              </w:rPr>
              <w:t>指导教师</w:t>
            </w:r>
          </w:p>
        </w:tc>
        <w:tc>
          <w:tcPr>
            <w:tcW w:type="dxa" w:w="72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待填写</w:t>
            </w:r>
          </w:p>
        </w:tc>
      </w:tr>
      <w:tr>
        <w:trPr>
          <w:cantSplit w:val="true"/>
        </w:trPr>
        <w:tc>
          <w:tcPr>
            <w:tcW w:type="dxa" w:w="2100"/>
            <w:tcMar>
              <w:top w:w="90" w:type="dxa"/>
              <w:start w:w="120" w:type="dxa"/>
              <w:bottom w:w="90" w:type="dxa"/>
              <w:end w:w="120" w:type="dxa"/>
            </w:tcMar>
            <w:vAlign w:val="center"/>
            <w:shd w:fill="F6F9FC"/>
          </w:tcPr>
          <w:p>
            <w:pPr>
              <w:spacing w:after="0" w:line="276" w:lineRule="auto"/>
              <w:jc w:val="center"/>
            </w:pPr>
            <w:r>
              <w:rPr>
                <w:rFonts w:ascii="Calibri" w:hAnsi="Calibri" w:eastAsia="Microsoft YaHei"/>
                <w:color w:val="243447"/>
                <w:sz w:val="18"/>
              </w:rPr>
              <w:t>版本日期</w:t>
            </w:r>
          </w:p>
        </w:tc>
        <w:tc>
          <w:tcPr>
            <w:tcW w:type="dxa" w:w="72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参赛稿 V1.0  2026年9月</w:t>
            </w:r>
          </w:p>
        </w:tc>
      </w:tr>
    </w:tbl>
    <w:p>
      <w:r>
        <w:br w:type="page"/>
      </w:r>
    </w:p>
    <w:p>
      <w:pPr>
        <w:pStyle w:val="Heading1"/>
        <w:pBdr>
          <w:bottom w:val="single" w:sz="7" w:space="4" w:color="D9E7F3"/>
        </w:pBdr>
      </w:pPr>
      <w:r>
        <w:t>参赛说明与真实性边界</w:t>
      </w:r>
    </w:p>
    <w:tbl>
      <w:tblPr>
        <w:tblW w:type="dxa" w:w="9360"/>
        <w:jc w:val="left"/>
        <w:tblLayout w:type="fixed"/>
        <w:tblLook w:firstColumn="1" w:firstRow="1" w:lastColumn="0" w:lastRow="0" w:noHBand="0" w:noVBand="1" w:val="04A0"/>
        <w:tblInd w:w="120" w:type="dxa"/>
        <w:tblBorders>
          <w:top w:val="single" w:sz="2" w:space="0" w:color="EAF3FA"/>
          <w:left w:val="single" w:sz="2" w:space="0" w:color="EAF3FA"/>
          <w:bottom w:val="single" w:sz="2" w:space="0" w:color="EAF3FA"/>
          <w:right w:val="single" w:sz="2" w:space="0" w:color="EAF3FA"/>
          <w:insideH w:val="single" w:sz="2" w:space="0" w:color="EAF3FA"/>
          <w:insideV w:val="single" w:sz="2" w:space="0" w:color="EAF3FA"/>
        </w:tblBorders>
      </w:tblPr>
      <w:tblGrid>
        <w:gridCol w:w="9360"/>
      </w:tblGrid>
      <w:tr>
        <w:trPr>
          <w:cantSplit w:val="true"/>
        </w:trPr>
        <w:tc>
          <w:tcPr>
            <w:tcW w:type="dxa" w:w="9360"/>
            <w:tcMar>
              <w:top w:w="90" w:type="dxa"/>
              <w:start w:w="120" w:type="dxa"/>
              <w:bottom w:w="90" w:type="dxa"/>
              <w:end w:w="120" w:type="dxa"/>
            </w:tcMar>
            <w:vAlign w:val="center"/>
            <w:shd w:fill="EAF3FA"/>
          </w:tcPr>
          <w:p>
            <w:pPr>
              <w:spacing w:after="0"/>
            </w:pPr>
            <w:r>
              <w:rPr>
                <w:rFonts w:ascii="Calibri" w:hAnsi="Calibri" w:eastAsia="Microsoft YaHei"/>
                <w:b/>
                <w:color w:val="2E74B5"/>
                <w:sz w:val="21"/>
              </w:rPr>
              <w:t xml:space="preserve">材料定位  </w:t>
            </w:r>
            <w:r>
              <w:rPr>
                <w:rFonts w:ascii="Calibri" w:hAnsi="Calibri" w:eastAsia="Microsoft YaHei"/>
                <w:color w:val="243447"/>
                <w:sz w:val="20"/>
              </w:rPr>
              <w:t>本计划书以当前仓库源码、测试报告和产品设计文档为基础，面向创新创业赛事形成系统化参赛稿。为便于后续报名，学校、团队、知识产权、运营数据、用户调研、获奖证明等尚未提供的信息均保留为待填写或待佐证项。</w:t>
            </w:r>
          </w:p>
        </w:tc>
      </w:tr>
    </w:tbl>
    <w:p>
      <w:pPr>
        <w:spacing w:after="20"/>
      </w:pPr>
    </w:p>
    <w:p>
      <w:pPr>
        <w:keepLines w:val="0"/>
      </w:pPr>
      <w:r>
        <w:rPr>
          <w:rFonts w:ascii="Calibri" w:hAnsi="Calibri" w:eastAsia="Microsoft YaHei"/>
          <w:i w:val="0"/>
          <w:color w:val="243447"/>
          <w:sz w:val="21"/>
        </w:rPr>
        <w:t>本项目的参赛叙事分为产品愿景、当前可验证能力和后续产品化计划三个层次。当前主交付形态是本地优先的多智能体工作台，已具备会话、工具、权限审批、审计、任务编排、产物交付等技术基础；智能输入法与桌面宠物是统一产品愿景中的交互表层，当前不作为已经完成的发布功能。</w:t>
      </w:r>
    </w:p>
    <w:p>
      <w:pPr>
        <w:keepLines w:val="0"/>
      </w:pPr>
      <w:r>
        <w:rPr>
          <w:rFonts w:ascii="Calibri" w:hAnsi="Calibri" w:eastAsia="Microsoft YaHei"/>
          <w:i w:val="0"/>
          <w:color w:val="243447"/>
          <w:sz w:val="21"/>
        </w:rPr>
        <w:t>市场规模与财务部分采用情景测算，用于展示商业逻辑和资源配置方法，不代表已经形成真实收入、融资承诺或用户规模。正式提交前应由项目负责人补充真实访谈、试用记录、知识产权、团队经历和财务凭证，并对全部数据签字确认。</w:t>
      </w:r>
    </w:p>
    <w:tbl>
      <w:tblPr>
        <w:tblW w:type="dxa" w:w="9360"/>
        <w:tblLayout w:type="fixed"/>
        <w:tblLook w:firstColumn="1" w:firstRow="1" w:lastColumn="0" w:lastRow="0" w:noHBand="0" w:noVBand="1" w:val="04A0"/>
        <w:jc w:val="left"/>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1900"/>
        <w:gridCol w:w="3600"/>
        <w:gridCol w:w="3860"/>
      </w:tblGrid>
      <w:tr>
        <w:trPr>
          <w:tblHeader w:val="true"/>
          <w:cantSplit w:val="true"/>
        </w:trPr>
        <w:tc>
          <w:tcPr>
            <w:tcW w:type="dxa" w:w="19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信息类别</w:t>
            </w:r>
          </w:p>
        </w:tc>
        <w:tc>
          <w:tcPr>
            <w:tcW w:type="dxa" w:w="36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本稿处理方式</w:t>
            </w:r>
          </w:p>
        </w:tc>
        <w:tc>
          <w:tcPr>
            <w:tcW w:type="dxa" w:w="386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提交前动作</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产品与技术</w:t>
            </w:r>
          </w:p>
        </w:tc>
        <w:tc>
          <w:tcPr>
            <w:tcW w:type="dxa" w:w="3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按源码、契约测试和验收报告分层描述</w:t>
            </w:r>
          </w:p>
        </w:tc>
        <w:tc>
          <w:tcPr>
            <w:tcW w:type="dxa" w:w="38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补充最新安装包与实机演示证据</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市场数据</w:t>
            </w:r>
          </w:p>
        </w:tc>
        <w:tc>
          <w:tcPr>
            <w:tcW w:type="dxa" w:w="3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引用公开权威资料并标明时间</w:t>
            </w:r>
          </w:p>
        </w:tc>
        <w:tc>
          <w:tcPr>
            <w:tcW w:type="dxa" w:w="38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核对赛事截止日前的最新公开数据</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团队信息</w:t>
            </w:r>
          </w:p>
        </w:tc>
        <w:tc>
          <w:tcPr>
            <w:tcW w:type="dxa" w:w="3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保留待填写项</w:t>
            </w:r>
          </w:p>
        </w:tc>
        <w:tc>
          <w:tcPr>
            <w:tcW w:type="dxa" w:w="38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填写真实姓名、分工、学院与贡献</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财务预测</w:t>
            </w:r>
          </w:p>
        </w:tc>
        <w:tc>
          <w:tcPr>
            <w:tcW w:type="dxa" w:w="3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基于价格、转化率和成本假设测算</w:t>
            </w:r>
          </w:p>
        </w:tc>
        <w:tc>
          <w:tcPr>
            <w:tcW w:type="dxa" w:w="38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按实际运营计划复核并签字</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知识产权</w:t>
            </w:r>
          </w:p>
        </w:tc>
        <w:tc>
          <w:tcPr>
            <w:tcW w:type="dxa" w:w="3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不虚构专利、软著或商标</w:t>
            </w:r>
          </w:p>
        </w:tc>
        <w:tc>
          <w:tcPr>
            <w:tcW w:type="dxa" w:w="38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有证书再附扫描件，无证书则写申请计划</w:t>
            </w:r>
          </w:p>
        </w:tc>
      </w:tr>
    </w:tbl>
    <w:p>
      <w:r>
        <w:br w:type="page"/>
      </w:r>
    </w:p>
    <w:p>
      <w:pPr>
        <w:pStyle w:val="Heading1"/>
        <w:pBdr>
          <w:bottom w:val="single" w:sz="7" w:space="4" w:color="D9E7F3"/>
        </w:pBdr>
      </w:pPr>
      <w:r>
        <w:t>目录</w:t>
      </w:r>
    </w:p>
    <w:tbl>
      <w:tblPr>
        <w:tblW w:type="dxa" w:w="9360"/>
        <w:tblLayout w:type="fixed"/>
        <w:tblLook w:firstColumn="1" w:firstRow="1" w:lastColumn="0" w:lastRow="0" w:noHBand="0" w:noVBand="1" w:val="04A0"/>
        <w:jc w:val="left"/>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8200"/>
        <w:gridCol w:w="1160"/>
      </w:tblGrid>
      <w:tr>
        <w:trPr>
          <w:tblHeader w:val="true"/>
          <w:cantSplit w:val="true"/>
        </w:trPr>
        <w:tc>
          <w:tcPr>
            <w:tcW w:type="dxa" w:w="8200"/>
            <w:tcMar>
              <w:top w:w="90" w:type="dxa"/>
              <w:start w:w="120" w:type="dxa"/>
              <w:bottom w:w="90" w:type="dxa"/>
              <w:end w:w="120" w:type="dxa"/>
            </w:tcMar>
            <w:vAlign w:val="center"/>
            <w:shd w:fill="E9F1F8"/>
          </w:tcPr>
          <w:p>
            <w:pPr>
              <w:spacing w:after="0"/>
              <w:jc w:val="center"/>
            </w:pPr>
            <w:r>
              <w:rPr>
                <w:rFonts w:ascii="Calibri" w:hAnsi="Calibri" w:eastAsia="Microsoft YaHei"/>
                <w:b/>
                <w:color w:val="12233F"/>
                <w:sz w:val="18"/>
              </w:rPr>
              <w:t>章节</w:t>
            </w:r>
          </w:p>
        </w:tc>
        <w:tc>
          <w:tcPr>
            <w:tcW w:type="dxa" w:w="1160"/>
            <w:tcMar>
              <w:top w:w="90" w:type="dxa"/>
              <w:start w:w="120" w:type="dxa"/>
              <w:bottom w:w="90" w:type="dxa"/>
              <w:end w:w="120" w:type="dxa"/>
            </w:tcMar>
            <w:vAlign w:val="center"/>
            <w:shd w:fill="E9F1F8"/>
          </w:tcPr>
          <w:p>
            <w:pPr>
              <w:spacing w:after="0"/>
              <w:jc w:val="center"/>
            </w:pPr>
            <w:r>
              <w:rPr>
                <w:rFonts w:ascii="Calibri" w:hAnsi="Calibri" w:eastAsia="Microsoft YaHei"/>
                <w:b/>
                <w:color w:val="12233F"/>
                <w:sz w:val="18"/>
              </w:rPr>
              <w:t>页码</w:t>
            </w:r>
          </w:p>
        </w:tc>
      </w:tr>
      <w:tr>
        <w:trPr>
          <w:cantSplit w:val="true"/>
        </w:trPr>
        <w:tc>
          <w:tcPr>
            <w:tcW w:type="dxa" w:w="82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项目概要</w:t>
            </w:r>
          </w:p>
        </w:tc>
        <w:tc>
          <w:tcPr>
            <w:tcW w:type="dxa" w:w="116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8"/>
              </w:rPr>
              <w:t>4</w:t>
            </w:r>
          </w:p>
        </w:tc>
      </w:tr>
      <w:tr>
        <w:trPr>
          <w:cantSplit w:val="true"/>
        </w:trPr>
        <w:tc>
          <w:tcPr>
            <w:tcW w:type="dxa" w:w="82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项目背景与市场机会</w:t>
            </w:r>
          </w:p>
        </w:tc>
        <w:tc>
          <w:tcPr>
            <w:tcW w:type="dxa" w:w="116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8"/>
              </w:rPr>
              <w:t>5</w:t>
            </w:r>
          </w:p>
        </w:tc>
      </w:tr>
      <w:tr>
        <w:trPr>
          <w:cantSplit w:val="true"/>
        </w:trPr>
        <w:tc>
          <w:tcPr>
            <w:tcW w:type="dxa" w:w="82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产品定位与目标用户</w:t>
            </w:r>
          </w:p>
        </w:tc>
        <w:tc>
          <w:tcPr>
            <w:tcW w:type="dxa" w:w="116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8"/>
              </w:rPr>
              <w:t>6</w:t>
            </w:r>
          </w:p>
        </w:tc>
      </w:tr>
      <w:tr>
        <w:trPr>
          <w:cantSplit w:val="true"/>
        </w:trPr>
        <w:tc>
          <w:tcPr>
            <w:tcW w:type="dxa" w:w="82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产品与服务方案</w:t>
            </w:r>
          </w:p>
        </w:tc>
        <w:tc>
          <w:tcPr>
            <w:tcW w:type="dxa" w:w="116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8"/>
              </w:rPr>
              <w:t>8</w:t>
            </w:r>
          </w:p>
        </w:tc>
      </w:tr>
      <w:tr>
        <w:trPr>
          <w:cantSplit w:val="true"/>
        </w:trPr>
        <w:tc>
          <w:tcPr>
            <w:tcW w:type="dxa" w:w="82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技术路线与系统架构</w:t>
            </w:r>
          </w:p>
        </w:tc>
        <w:tc>
          <w:tcPr>
            <w:tcW w:type="dxa" w:w="116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8"/>
              </w:rPr>
              <w:t>9</w:t>
            </w:r>
          </w:p>
        </w:tc>
      </w:tr>
      <w:tr>
        <w:trPr>
          <w:cantSplit w:val="true"/>
        </w:trPr>
        <w:tc>
          <w:tcPr>
            <w:tcW w:type="dxa" w:w="82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研发基础与成熟度</w:t>
            </w:r>
          </w:p>
        </w:tc>
        <w:tc>
          <w:tcPr>
            <w:tcW w:type="dxa" w:w="116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8"/>
              </w:rPr>
              <w:t>11</w:t>
            </w:r>
          </w:p>
        </w:tc>
      </w:tr>
      <w:tr>
        <w:trPr>
          <w:cantSplit w:val="true"/>
        </w:trPr>
        <w:tc>
          <w:tcPr>
            <w:tcW w:type="dxa" w:w="82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项目创新点与核心优势</w:t>
            </w:r>
          </w:p>
        </w:tc>
        <w:tc>
          <w:tcPr>
            <w:tcW w:type="dxa" w:w="116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8"/>
              </w:rPr>
              <w:t>11</w:t>
            </w:r>
          </w:p>
        </w:tc>
      </w:tr>
      <w:tr>
        <w:trPr>
          <w:cantSplit w:val="true"/>
        </w:trPr>
        <w:tc>
          <w:tcPr>
            <w:tcW w:type="dxa" w:w="82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市场分析</w:t>
            </w:r>
          </w:p>
        </w:tc>
        <w:tc>
          <w:tcPr>
            <w:tcW w:type="dxa" w:w="116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8"/>
              </w:rPr>
              <w:t>12</w:t>
            </w:r>
          </w:p>
        </w:tc>
      </w:tr>
      <w:tr>
        <w:trPr>
          <w:cantSplit w:val="true"/>
        </w:trPr>
        <w:tc>
          <w:tcPr>
            <w:tcW w:type="dxa" w:w="82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竞争分析</w:t>
            </w:r>
          </w:p>
        </w:tc>
        <w:tc>
          <w:tcPr>
            <w:tcW w:type="dxa" w:w="116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8"/>
              </w:rPr>
              <w:t>13</w:t>
            </w:r>
          </w:p>
        </w:tc>
      </w:tr>
      <w:tr>
        <w:trPr>
          <w:cantSplit w:val="true"/>
        </w:trPr>
        <w:tc>
          <w:tcPr>
            <w:tcW w:type="dxa" w:w="82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商业模式</w:t>
            </w:r>
          </w:p>
        </w:tc>
        <w:tc>
          <w:tcPr>
            <w:tcW w:type="dxa" w:w="116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8"/>
              </w:rPr>
              <w:t>14</w:t>
            </w:r>
          </w:p>
        </w:tc>
      </w:tr>
      <w:tr>
        <w:trPr>
          <w:cantSplit w:val="true"/>
        </w:trPr>
        <w:tc>
          <w:tcPr>
            <w:tcW w:type="dxa" w:w="82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市场进入与营销策略</w:t>
            </w:r>
          </w:p>
        </w:tc>
        <w:tc>
          <w:tcPr>
            <w:tcW w:type="dxa" w:w="116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8"/>
              </w:rPr>
              <w:t>15</w:t>
            </w:r>
          </w:p>
        </w:tc>
      </w:tr>
      <w:tr>
        <w:trPr>
          <w:cantSplit w:val="true"/>
        </w:trPr>
        <w:tc>
          <w:tcPr>
            <w:tcW w:type="dxa" w:w="82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研发计划与实施路线</w:t>
            </w:r>
          </w:p>
        </w:tc>
        <w:tc>
          <w:tcPr>
            <w:tcW w:type="dxa" w:w="116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8"/>
              </w:rPr>
              <w:t>16</w:t>
            </w:r>
          </w:p>
        </w:tc>
      </w:tr>
      <w:tr>
        <w:trPr>
          <w:cantSplit w:val="true"/>
        </w:trPr>
        <w:tc>
          <w:tcPr>
            <w:tcW w:type="dxa" w:w="82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组织管理与团队建设</w:t>
            </w:r>
          </w:p>
        </w:tc>
        <w:tc>
          <w:tcPr>
            <w:tcW w:type="dxa" w:w="116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8"/>
              </w:rPr>
              <w:t>16</w:t>
            </w:r>
          </w:p>
        </w:tc>
      </w:tr>
      <w:tr>
        <w:trPr>
          <w:cantSplit w:val="true"/>
        </w:trPr>
        <w:tc>
          <w:tcPr>
            <w:tcW w:type="dxa" w:w="82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财务测算与资金规划</w:t>
            </w:r>
          </w:p>
        </w:tc>
        <w:tc>
          <w:tcPr>
            <w:tcW w:type="dxa" w:w="116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8"/>
              </w:rPr>
              <w:t>17</w:t>
            </w:r>
          </w:p>
        </w:tc>
      </w:tr>
      <w:tr>
        <w:trPr>
          <w:cantSplit w:val="true"/>
        </w:trPr>
        <w:tc>
          <w:tcPr>
            <w:tcW w:type="dxa" w:w="82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风险分析与应对</w:t>
            </w:r>
          </w:p>
        </w:tc>
        <w:tc>
          <w:tcPr>
            <w:tcW w:type="dxa" w:w="116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8"/>
              </w:rPr>
              <w:t>18</w:t>
            </w:r>
          </w:p>
        </w:tc>
      </w:tr>
      <w:tr>
        <w:trPr>
          <w:cantSplit w:val="true"/>
        </w:trPr>
        <w:tc>
          <w:tcPr>
            <w:tcW w:type="dxa" w:w="82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教育实效与社会价值</w:t>
            </w:r>
          </w:p>
        </w:tc>
        <w:tc>
          <w:tcPr>
            <w:tcW w:type="dxa" w:w="116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8"/>
              </w:rPr>
              <w:t>19</w:t>
            </w:r>
          </w:p>
        </w:tc>
      </w:tr>
      <w:tr>
        <w:trPr>
          <w:cantSplit w:val="true"/>
        </w:trPr>
        <w:tc>
          <w:tcPr>
            <w:tcW w:type="dxa" w:w="82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参赛展示与答辩方案</w:t>
            </w:r>
          </w:p>
        </w:tc>
        <w:tc>
          <w:tcPr>
            <w:tcW w:type="dxa" w:w="116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8"/>
              </w:rPr>
              <w:t>19</w:t>
            </w:r>
          </w:p>
        </w:tc>
      </w:tr>
      <w:tr>
        <w:trPr>
          <w:cantSplit w:val="true"/>
        </w:trPr>
        <w:tc>
          <w:tcPr>
            <w:tcW w:type="dxa" w:w="82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结论</w:t>
            </w:r>
          </w:p>
        </w:tc>
        <w:tc>
          <w:tcPr>
            <w:tcW w:type="dxa" w:w="116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8"/>
              </w:rPr>
              <w:t>20</w:t>
            </w:r>
          </w:p>
        </w:tc>
      </w:tr>
      <w:tr>
        <w:trPr>
          <w:cantSplit w:val="true"/>
        </w:trPr>
        <w:tc>
          <w:tcPr>
            <w:tcW w:type="dxa" w:w="82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参考资料</w:t>
            </w:r>
          </w:p>
        </w:tc>
        <w:tc>
          <w:tcPr>
            <w:tcW w:type="dxa" w:w="116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8"/>
              </w:rPr>
              <w:t>20</w:t>
            </w:r>
          </w:p>
        </w:tc>
      </w:tr>
      <w:tr>
        <w:trPr>
          <w:cantSplit w:val="true"/>
        </w:trPr>
        <w:tc>
          <w:tcPr>
            <w:tcW w:type="dxa" w:w="82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附录  提交前补充清单</w:t>
            </w:r>
          </w:p>
        </w:tc>
        <w:tc>
          <w:tcPr>
            <w:tcW w:type="dxa" w:w="116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8"/>
              </w:rPr>
              <w:t>22</w:t>
            </w:r>
          </w:p>
        </w:tc>
      </w:tr>
    </w:tbl>
    <w:p>
      <w:pPr>
        <w:keepLines w:val="0"/>
      </w:pPr>
      <w:r>
        <w:rPr>
          <w:rFonts w:ascii="Calibri" w:hAnsi="Calibri" w:eastAsia="Microsoft YaHei"/>
          <w:i/>
          <w:color w:val="66758A"/>
          <w:sz w:val="17"/>
        </w:rPr>
        <w:t>目录页码按本参赛稿渲染版核对；如后续增删内容，请重新更新。</w:t>
      </w:r>
    </w:p>
    <w:p>
      <w:r>
        <w:br w:type="page"/>
      </w:r>
    </w:p>
    <w:p>
      <w:pPr>
        <w:pStyle w:val="Heading1"/>
        <w:pBdr>
          <w:bottom w:val="single" w:sz="7" w:space="4" w:color="D9E7F3"/>
        </w:pBdr>
      </w:pPr>
      <w:r>
        <w:t>项目概要</w:t>
      </w:r>
    </w:p>
    <w:p>
      <w:pPr>
        <w:keepLines w:val="0"/>
      </w:pPr>
      <w:r>
        <w:rPr>
          <w:rFonts w:ascii="Calibri" w:hAnsi="Calibri" w:eastAsia="Microsoft YaHei"/>
          <w:i w:val="0"/>
          <w:color w:val="243447"/>
          <w:sz w:val="21"/>
        </w:rPr>
        <w:t>OwO 是一套面向个人电脑场景的情境感知智能交互系统。项目希望把分散在输入、对话、文件、浏览器和任务执行中的人工智能能力，整合为一个持续理解当前任务、透明展示状态、经过用户授权后完成行动的桌面伙伴。产品愿景由情境表达入口、可视化桌面伙伴和任务智能体三层协同组成，分别回答用户现在怎么说、现在在做什么和接下来怎样做完。</w:t>
      </w:r>
    </w:p>
    <w:p>
      <w:pPr>
        <w:keepLines w:val="0"/>
      </w:pPr>
      <w:r>
        <w:rPr>
          <w:rFonts w:ascii="Calibri" w:hAnsi="Calibri" w:eastAsia="Microsoft YaHei"/>
          <w:i w:val="0"/>
          <w:color w:val="243447"/>
          <w:sz w:val="21"/>
        </w:rPr>
        <w:t>项目当前的工程主线是本地优先多智能体工作台。系统采用 Coordinator、Worker 与 Human 节点协作，围绕任务图、共享工作区和版本化成果进行分工、接力、评审和恢复；所有文件、命令、网络和桌面操作均进入权限策略，涉及写入、发送、发布或其他高风险动作时必须由用户或独立审批器确认。该方案不是简单叠加多个聊天机器人，而是把目标分解、证据采集、执行、复核和产物交付纳入统一状态机。</w:t>
      </w:r>
    </w:p>
    <w:p>
      <w:pPr>
        <w:keepLines w:val="0"/>
      </w:pPr>
      <w:r>
        <w:rPr>
          <w:rFonts w:ascii="Calibri" w:hAnsi="Calibri" w:eastAsia="Microsoft YaHei"/>
          <w:i w:val="0"/>
          <w:color w:val="243447"/>
          <w:sz w:val="21"/>
        </w:rPr>
        <w:t>在 2026 年 8 月 31 日的单智能体产品评测中，固定套件完成 200 次运行，成功 195 次，总成功率为 97.5%，覆盖代码、文档和研究类任务。该结果证明核心 Agent 执行面已具备较高稳定性，但不等同于全部桌面产品已通过发布验收。WorkSwarm 核心与服务接口已经建立，桌面端关键页面已完成阶段性重构，仍需继续完成全分辨率、异常启动、全部可见按钮真实请求和完整多智能体真实模型流程验收。</w:t>
      </w:r>
    </w:p>
    <w:tbl>
      <w:tblPr>
        <w:tblW w:type="dxa" w:w="9360"/>
        <w:jc w:val="left"/>
        <w:tblLayout w:type="fixed"/>
        <w:tblLook w:firstColumn="1" w:firstRow="1" w:lastColumn="0" w:lastRow="0" w:noHBand="0" w:noVBand="1" w:val="04A0"/>
        <w:tblInd w:w="120" w:type="dxa"/>
        <w:tblBorders>
          <w:top w:val="single" w:sz="2" w:space="0" w:color="E9F8FA"/>
          <w:left w:val="single" w:sz="2" w:space="0" w:color="E9F8FA"/>
          <w:bottom w:val="single" w:sz="2" w:space="0" w:color="E9F8FA"/>
          <w:right w:val="single" w:sz="2" w:space="0" w:color="E9F8FA"/>
          <w:insideH w:val="single" w:sz="2" w:space="0" w:color="E9F8FA"/>
          <w:insideV w:val="single" w:sz="2" w:space="0" w:color="E9F8FA"/>
        </w:tblBorders>
      </w:tblPr>
      <w:tblGrid>
        <w:gridCol w:w="9360"/>
      </w:tblGrid>
      <w:tr>
        <w:trPr>
          <w:cantSplit w:val="true"/>
        </w:trPr>
        <w:tc>
          <w:tcPr>
            <w:tcW w:type="dxa" w:w="9360"/>
            <w:tcMar>
              <w:top w:w="90" w:type="dxa"/>
              <w:start w:w="120" w:type="dxa"/>
              <w:bottom w:w="90" w:type="dxa"/>
              <w:end w:w="120" w:type="dxa"/>
            </w:tcMar>
            <w:vAlign w:val="center"/>
            <w:shd w:fill="E9F8FA"/>
          </w:tcPr>
          <w:p>
            <w:pPr>
              <w:spacing w:after="0"/>
            </w:pPr>
            <w:r>
              <w:rPr>
                <w:rFonts w:ascii="Calibri" w:hAnsi="Calibri" w:eastAsia="Microsoft YaHei"/>
                <w:b/>
                <w:color w:val="2AA7C9"/>
                <w:sz w:val="21"/>
              </w:rPr>
              <w:t xml:space="preserve">核心价值主张  </w:t>
            </w:r>
            <w:r>
              <w:rPr>
                <w:rFonts w:ascii="Calibri" w:hAnsi="Calibri" w:eastAsia="Microsoft YaHei"/>
                <w:color w:val="243447"/>
                <w:sz w:val="20"/>
              </w:rPr>
              <w:t>以本地优先、情境连续、多智能体协同、审批审计和结果可恢复为核心，降低用户在多个应用之间反复描述背景、复制粘贴内容和手工串联步骤的成本。</w:t>
            </w:r>
          </w:p>
        </w:tc>
      </w:tr>
    </w:tbl>
    <w:p>
      <w:pPr>
        <w:spacing w:after="20"/>
      </w:pPr>
    </w:p>
    <w:tbl>
      <w:tblPr>
        <w:tblW w:type="dxa" w:w="9360"/>
        <w:tblLayout w:type="fixed"/>
        <w:tblLook w:firstColumn="1" w:firstRow="1" w:lastColumn="0" w:lastRow="0" w:noHBand="0" w:noVBand="1" w:val="04A0"/>
        <w:jc w:val="left"/>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1900"/>
        <w:gridCol w:w="7460"/>
      </w:tblGrid>
      <w:tr>
        <w:trPr>
          <w:tblHeader w:val="true"/>
          <w:cantSplit w:val="true"/>
        </w:trPr>
        <w:tc>
          <w:tcPr>
            <w:tcW w:type="dxa" w:w="19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维度</w:t>
            </w:r>
          </w:p>
        </w:tc>
        <w:tc>
          <w:tcPr>
            <w:tcW w:type="dxa" w:w="746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项目回答</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服务对象</w:t>
            </w:r>
          </w:p>
        </w:tc>
        <w:tc>
          <w:tcPr>
            <w:tcW w:type="dxa" w:w="74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学生、教师、内容创作者、办公人员、开发者及有复杂电脑任务的个人用户</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核心问题</w:t>
            </w:r>
          </w:p>
        </w:tc>
        <w:tc>
          <w:tcPr>
            <w:tcW w:type="dxa" w:w="74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人工智能与真实工作环境割裂，聊天结果难直接转化为可控行动</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解决方案</w:t>
            </w:r>
          </w:p>
        </w:tc>
        <w:tc>
          <w:tcPr>
            <w:tcW w:type="dxa" w:w="74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情境感知入口、可视化状态、多智能体任务执行、权限审批与版本化交付</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初始落地</w:t>
            </w:r>
          </w:p>
        </w:tc>
        <w:tc>
          <w:tcPr>
            <w:tcW w:type="dxa" w:w="74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代码、研究、文档和结构化信息处理的本地多智能体工作台</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长期形态</w:t>
            </w:r>
          </w:p>
        </w:tc>
        <w:tc>
          <w:tcPr>
            <w:tcW w:type="dxa" w:w="74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8"/>
              </w:rPr>
              <w:t>覆盖表达、理解、行动与学习复用的个人桌面智能交互系统</w:t>
            </w:r>
          </w:p>
        </w:tc>
      </w:tr>
    </w:tbl>
    <w:p>
      <w:pPr>
        <w:pStyle w:val="Heading1"/>
        <w:pBdr>
          <w:bottom w:val="single" w:sz="7" w:space="4" w:color="D9E7F3"/>
        </w:pBdr>
      </w:pPr>
      <w:r>
        <w:t>项目背景与市场机会</w:t>
      </w:r>
    </w:p>
    <w:p>
      <w:pPr>
        <w:pStyle w:val="Heading2"/>
      </w:pPr>
      <w:r>
        <w:t>行业发展与政策环境</w:t>
      </w:r>
    </w:p>
    <w:p>
      <w:pPr>
        <w:keepLines w:val="0"/>
      </w:pPr>
      <w:r>
        <w:rPr>
          <w:rFonts w:ascii="Calibri" w:hAnsi="Calibri" w:eastAsia="Microsoft YaHei"/>
          <w:i w:val="0"/>
          <w:color w:val="243447"/>
          <w:sz w:val="21"/>
        </w:rPr>
        <w:t>生成式人工智能正从通用问答向学习、办公、内容创作和任务执行渗透。中国互联网络信息中心发布的第57次中国互联网络发展状况统计报告显示，截至2025年12月，我国生成式人工智能用户规模达到6.02亿人，普及率为42.8%，较2024年底增长141.7%。这说明用户教育已经跨过早期试用阶段，下一轮竞争重点将从是否使用人工智能转向能否嵌入真实工作流、稳定交付结果并建立信任。</w:t>
      </w:r>
    </w:p>
    <w:p>
      <w:pPr>
        <w:keepLines w:val="0"/>
      </w:pPr>
      <w:r>
        <w:rPr>
          <w:rFonts w:ascii="Calibri" w:hAnsi="Calibri" w:eastAsia="Microsoft YaHei"/>
          <w:i w:val="0"/>
          <w:color w:val="243447"/>
          <w:sz w:val="21"/>
        </w:rPr>
        <w:t>国务院关于深入实施人工智能加行动的意见提出，到2027年新一代智能终端、智能体等应用普及率超过70%，到2030年超过90%，并鼓励发展提效型、陪伴型智能原生应用和智能助理新入口。教育部关于中国国际大学生创新大赛的通知同时强调项目应紧密结合现实需求，促进人工智能、数字技术与教育、消费生活等领域深度融合，并要求科技成果、知识产权、财务状况和运营材料真实合规。OwO 的本地智能体、陪伴式交互和学习办公场景与上述方向具有较高契合度。</w:t>
      </w:r>
    </w:p>
    <w:tbl>
      <w:tblPr>
        <w:tblW w:type="dxa" w:w="9360"/>
        <w:tblLayout w:type="fixed"/>
        <w:tblLook w:firstColumn="1" w:firstRow="1" w:lastColumn="0" w:lastRow="0" w:noHBand="0" w:noVBand="1" w:val="04A0"/>
        <w:jc w:val="left"/>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1900"/>
        <w:gridCol w:w="3300"/>
        <w:gridCol w:w="4160"/>
      </w:tblGrid>
      <w:tr>
        <w:trPr>
          <w:tblHeader w:val="true"/>
          <w:cantSplit w:val="true"/>
        </w:trPr>
        <w:tc>
          <w:tcPr>
            <w:tcW w:type="dxa" w:w="19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外部信号</w:t>
            </w:r>
          </w:p>
        </w:tc>
        <w:tc>
          <w:tcPr>
            <w:tcW w:type="dxa" w:w="33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公开依据</w:t>
            </w:r>
          </w:p>
        </w:tc>
        <w:tc>
          <w:tcPr>
            <w:tcW w:type="dxa" w:w="416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对 OwO 的启示</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用户基础扩大</w:t>
            </w:r>
          </w:p>
        </w:tc>
        <w:tc>
          <w:tcPr>
            <w:tcW w:type="dxa" w:w="33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2025年末生成式AI用户6.02亿，普及率42.8%</w:t>
            </w:r>
          </w:p>
        </w:tc>
        <w:tc>
          <w:tcPr>
            <w:tcW w:type="dxa" w:w="41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无需从零教育用户，应集中解决持续使用与任务闭环</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智能体普及加速</w:t>
            </w:r>
          </w:p>
        </w:tc>
        <w:tc>
          <w:tcPr>
            <w:tcW w:type="dxa" w:w="33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政策提出2027年应用普及率超70%</w:t>
            </w:r>
          </w:p>
        </w:tc>
        <w:tc>
          <w:tcPr>
            <w:tcW w:type="dxa" w:w="41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需要尽早形成安全、可审计的桌面智能体产品形态</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终端成为入口</w:t>
            </w:r>
          </w:p>
        </w:tc>
        <w:tc>
          <w:tcPr>
            <w:tcW w:type="dxa" w:w="33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政策支持智能电脑、智能助理和陪伴型应用</w:t>
            </w:r>
          </w:p>
        </w:tc>
        <w:tc>
          <w:tcPr>
            <w:tcW w:type="dxa" w:w="41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本地工作台与桌面伙伴具有入口价值</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赛事重视真实性</w:t>
            </w:r>
          </w:p>
        </w:tc>
        <w:tc>
          <w:tcPr>
            <w:tcW w:type="dxa" w:w="33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教育部要求成果、知识产权、财务和贡献可核验</w:t>
            </w:r>
          </w:p>
        </w:tc>
        <w:tc>
          <w:tcPr>
            <w:tcW w:type="dxa" w:w="41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材料必须区分已实现、演示与规划能力</w:t>
            </w:r>
          </w:p>
        </w:tc>
      </w:tr>
    </w:tbl>
    <w:p>
      <w:pPr>
        <w:pStyle w:val="Heading2"/>
      </w:pPr>
      <w:r>
        <w:t>用户痛点</w:t>
      </w:r>
    </w:p>
    <w:tbl>
      <w:tblPr>
        <w:tblW w:type="dxa" w:w="9360"/>
        <w:tblLayout w:type="fixed"/>
        <w:tblLook w:firstColumn="1" w:firstRow="1" w:lastColumn="0" w:lastRow="0" w:noHBand="0" w:noVBand="1" w:val="04A0"/>
        <w:jc w:val="left"/>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1500"/>
        <w:gridCol w:w="2500"/>
        <w:gridCol w:w="2500"/>
        <w:gridCol w:w="2860"/>
      </w:tblGrid>
      <w:tr>
        <w:trPr>
          <w:tblHeader w:val="true"/>
          <w:cantSplit w:val="true"/>
        </w:trPr>
        <w:tc>
          <w:tcPr>
            <w:tcW w:type="dxa" w:w="15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痛点</w:t>
            </w:r>
          </w:p>
        </w:tc>
        <w:tc>
          <w:tcPr>
            <w:tcW w:type="dxa" w:w="25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典型表现</w:t>
            </w:r>
          </w:p>
        </w:tc>
        <w:tc>
          <w:tcPr>
            <w:tcW w:type="dxa" w:w="25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现有方式的不足</w:t>
            </w:r>
          </w:p>
        </w:tc>
        <w:tc>
          <w:tcPr>
            <w:tcW w:type="dxa" w:w="286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OwO 对应方案</w:t>
            </w:r>
          </w:p>
        </w:tc>
      </w:tr>
      <w:tr>
        <w:trPr>
          <w:cantSplit w:val="true"/>
        </w:trPr>
        <w:tc>
          <w:tcPr>
            <w:tcW w:type="dxa" w:w="1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上下文反复丢失</w:t>
            </w:r>
          </w:p>
        </w:tc>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切换文档、浏览器和聊天应用后需重复解释</w:t>
            </w:r>
          </w:p>
        </w:tc>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通用对话以会话为中心，难连续理解桌面任务</w:t>
            </w:r>
          </w:p>
        </w:tc>
        <w:tc>
          <w:tcPr>
            <w:tcW w:type="dxa" w:w="28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在授权范围内保存任务主题、文件和成果关系</w:t>
            </w:r>
          </w:p>
        </w:tc>
      </w:tr>
      <w:tr>
        <w:trPr>
          <w:cantSplit w:val="true"/>
        </w:trPr>
        <w:tc>
          <w:tcPr>
            <w:tcW w:type="dxa" w:w="1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回答难变成结果</w:t>
            </w:r>
          </w:p>
        </w:tc>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模型给出建议后仍需手工复制、改写和执行</w:t>
            </w:r>
          </w:p>
        </w:tc>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输出停留在文本，缺乏步骤、验证和交付</w:t>
            </w:r>
          </w:p>
        </w:tc>
        <w:tc>
          <w:tcPr>
            <w:tcW w:type="dxa" w:w="28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将目标拆解为任务图并交付版本化成果</w:t>
            </w:r>
          </w:p>
        </w:tc>
      </w:tr>
      <w:tr>
        <w:trPr>
          <w:cantSplit w:val="true"/>
        </w:trPr>
        <w:tc>
          <w:tcPr>
            <w:tcW w:type="dxa" w:w="1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复杂任务不可见</w:t>
            </w:r>
          </w:p>
        </w:tc>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用户不知道系统在做什么、为何失败</w:t>
            </w:r>
          </w:p>
        </w:tc>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长任务缺少进度、证据和人工介入点</w:t>
            </w:r>
          </w:p>
        </w:tc>
        <w:tc>
          <w:tcPr>
            <w:tcW w:type="dxa" w:w="28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桌面状态、任务进度、审批和失败原因可视化</w:t>
            </w:r>
          </w:p>
        </w:tc>
      </w:tr>
      <w:tr>
        <w:trPr>
          <w:cantSplit w:val="true"/>
        </w:trPr>
        <w:tc>
          <w:tcPr>
            <w:tcW w:type="dxa" w:w="1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自动化信任不足</w:t>
            </w:r>
          </w:p>
        </w:tc>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担心误删文件、误发消息或隐私泄露</w:t>
            </w:r>
          </w:p>
        </w:tc>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强自治工具可能缺少统一权限与审计</w:t>
            </w:r>
          </w:p>
        </w:tc>
        <w:tc>
          <w:tcPr>
            <w:tcW w:type="dxa" w:w="28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默认拒绝、独立审批、操作预览、审计和回退</w:t>
            </w:r>
          </w:p>
        </w:tc>
      </w:tr>
    </w:tbl>
    <w:p>
      <w:pPr>
        <w:pStyle w:val="Heading2"/>
      </w:pPr>
      <w:r>
        <w:t>项目机会</w:t>
      </w:r>
    </w:p>
    <w:p>
      <w:pPr>
        <w:keepLines w:val="0"/>
      </w:pPr>
      <w:r>
        <w:rPr>
          <w:rFonts w:ascii="Calibri" w:hAnsi="Calibri" w:eastAsia="Microsoft YaHei"/>
          <w:i w:val="0"/>
          <w:color w:val="243447"/>
          <w:sz w:val="21"/>
        </w:rPr>
        <w:t>OwO 不与基础模型厂商竞争通用知识，而是聚焦模型与用户真实电脑之间的最后一公里。项目将模型能力组织为可落地的情境理解、协同执行和可信交付体系，可在基础模型快速迭代时保持模型可替换、数据本地优先和产品体验连续，从而形成独立于单一模型的系统价值。</w:t>
      </w:r>
    </w:p>
    <w:p>
      <w:pPr>
        <w:pStyle w:val="Heading1"/>
        <w:pBdr>
          <w:bottom w:val="single" w:sz="7" w:space="4" w:color="D9E7F3"/>
        </w:pBdr>
      </w:pPr>
      <w:r>
        <w:t>产品定位与目标用户</w:t>
      </w:r>
    </w:p>
    <w:p>
      <w:pPr>
        <w:pStyle w:val="Heading2"/>
      </w:pPr>
      <w:r>
        <w:t>产品定位</w:t>
      </w:r>
    </w:p>
    <w:tbl>
      <w:tblPr>
        <w:tblW w:type="dxa" w:w="9360"/>
        <w:jc w:val="left"/>
        <w:tblLayout w:type="fixed"/>
        <w:tblLook w:firstColumn="1" w:firstRow="1" w:lastColumn="0" w:lastRow="0" w:noHBand="0" w:noVBand="1" w:val="04A0"/>
        <w:tblInd w:w="120" w:type="dxa"/>
        <w:tblBorders>
          <w:top w:val="single" w:sz="2" w:space="0" w:color="EAF3FA"/>
          <w:left w:val="single" w:sz="2" w:space="0" w:color="EAF3FA"/>
          <w:bottom w:val="single" w:sz="2" w:space="0" w:color="EAF3FA"/>
          <w:right w:val="single" w:sz="2" w:space="0" w:color="EAF3FA"/>
          <w:insideH w:val="single" w:sz="2" w:space="0" w:color="EAF3FA"/>
          <w:insideV w:val="single" w:sz="2" w:space="0" w:color="EAF3FA"/>
        </w:tblBorders>
      </w:tblPr>
      <w:tblGrid>
        <w:gridCol w:w="9360"/>
      </w:tblGrid>
      <w:tr>
        <w:trPr>
          <w:cantSplit w:val="true"/>
        </w:trPr>
        <w:tc>
          <w:tcPr>
            <w:tcW w:type="dxa" w:w="9360"/>
            <w:tcMar>
              <w:top w:w="90" w:type="dxa"/>
              <w:start w:w="120" w:type="dxa"/>
              <w:bottom w:w="90" w:type="dxa"/>
              <w:end w:w="120" w:type="dxa"/>
            </w:tcMar>
            <w:vAlign w:val="center"/>
            <w:shd w:fill="EAF3FA"/>
          </w:tcPr>
          <w:p>
            <w:pPr>
              <w:spacing w:after="0"/>
            </w:pPr>
            <w:r>
              <w:rPr>
                <w:rFonts w:ascii="Calibri" w:hAnsi="Calibri" w:eastAsia="Microsoft YaHei"/>
                <w:b/>
                <w:color w:val="2E74B5"/>
                <w:sz w:val="21"/>
              </w:rPr>
              <w:t xml:space="preserve">一句话定义  </w:t>
            </w:r>
            <w:r>
              <w:rPr>
                <w:rFonts w:ascii="Calibri" w:hAnsi="Calibri" w:eastAsia="Microsoft YaHei"/>
                <w:color w:val="243447"/>
                <w:sz w:val="20"/>
              </w:rPr>
              <w:t>OwO 是能够理解用户当前情境、帮助用户表达，并在授权后协同完成桌面任务的本地优先智能交互系统。</w:t>
            </w:r>
          </w:p>
        </w:tc>
      </w:tr>
    </w:tbl>
    <w:p>
      <w:pPr>
        <w:spacing w:after="20"/>
      </w:pPr>
    </w:p>
    <w:p>
      <w:pPr>
        <w:keepNext/>
        <w:spacing w:before="80" w:after="40"/>
        <w:jc w:val="center"/>
      </w:pPr>
      <w:r>
        <w:drawing>
          <wp:inline xmlns:a="http://schemas.openxmlformats.org/drawingml/2006/main" xmlns:pic="http://schemas.openxmlformats.org/drawingml/2006/picture">
            <wp:extent cx="5989320" cy="3370784"/>
            <wp:docPr id="2" name="Picture 2" descr="图 1  OwO 产品协同生态  表达辅助、桌面伙伴与多智能体执行围绕同一用户任务连续协作" title="图 1  OwO 产品协同生态  表达辅助、桌面伙伴与多智能体执行围绕同一用户任务连续协作"/>
            <wp:cNvGraphicFramePr>
              <a:graphicFrameLocks noChangeAspect="1"/>
            </wp:cNvGraphicFramePr>
            <a:graphic>
              <a:graphicData uri="http://schemas.openxmlformats.org/drawingml/2006/picture">
                <pic:pic>
                  <pic:nvPicPr>
                    <pic:cNvPr id="0" name="owo-system-ecosystem.png"/>
                    <pic:cNvPicPr/>
                  </pic:nvPicPr>
                  <pic:blipFill>
                    <a:blip r:embed="rId12"/>
                    <a:stretch>
                      <a:fillRect/>
                    </a:stretch>
                  </pic:blipFill>
                  <pic:spPr>
                    <a:xfrm>
                      <a:off x="0" y="0"/>
                      <a:ext cx="5989320" cy="3370784"/>
                    </a:xfrm>
                    <a:prstGeom prst="rect"/>
                  </pic:spPr>
                </pic:pic>
              </a:graphicData>
            </a:graphic>
          </wp:inline>
        </w:drawing>
      </w:r>
    </w:p>
    <w:p>
      <w:pPr>
        <w:pStyle w:val="Caption"/>
        <w:keepNext w:val="0"/>
      </w:pPr>
      <w:r>
        <w:t>图 1  OwO 产品协同生态  表达辅助、桌面伙伴与多智能体执行围绕同一用户任务连续协作</w:t>
      </w:r>
    </w:p>
    <w:tbl>
      <w:tblPr>
        <w:tblW w:type="dxa" w:w="9360"/>
        <w:tblLayout w:type="fixed"/>
        <w:tblLook w:firstColumn="1" w:firstRow="1" w:lastColumn="0" w:lastRow="0" w:noHBand="0" w:noVBand="1" w:val="04A0"/>
        <w:jc w:val="left"/>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1900"/>
        <w:gridCol w:w="3100"/>
        <w:gridCol w:w="2760"/>
        <w:gridCol w:w="1600"/>
      </w:tblGrid>
      <w:tr>
        <w:trPr>
          <w:tblHeader w:val="true"/>
          <w:cantSplit w:val="true"/>
        </w:trPr>
        <w:tc>
          <w:tcPr>
            <w:tcW w:type="dxa" w:w="19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产品层</w:t>
            </w:r>
          </w:p>
        </w:tc>
        <w:tc>
          <w:tcPr>
            <w:tcW w:type="dxa" w:w="31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承担角色</w:t>
            </w:r>
          </w:p>
        </w:tc>
        <w:tc>
          <w:tcPr>
            <w:tcW w:type="dxa" w:w="276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用户获得的价值</w:t>
            </w:r>
          </w:p>
        </w:tc>
        <w:tc>
          <w:tcPr>
            <w:tcW w:type="dxa" w:w="16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当前状态</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情境表达入口</w:t>
            </w:r>
          </w:p>
        </w:tc>
        <w:tc>
          <w:tcPr>
            <w:tcW w:type="dxa" w:w="31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根据应用、对象和任务给出补全、改写、翻译和回复建议</w:t>
            </w:r>
          </w:p>
        </w:tc>
        <w:tc>
          <w:tcPr>
            <w:tcW w:type="dxa" w:w="27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减少重复提示，提升表达速度与得体度</w:t>
            </w:r>
          </w:p>
        </w:tc>
        <w:tc>
          <w:tcPr>
            <w:tcW w:type="dxa" w:w="1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产品规划，输入法融合暂停实施</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可视化桌面伙伴</w:t>
            </w:r>
          </w:p>
        </w:tc>
        <w:tc>
          <w:tcPr>
            <w:tcW w:type="dxa" w:w="31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展示系统判断、主动建议、审批、进度和失败原因</w:t>
            </w:r>
          </w:p>
        </w:tc>
        <w:tc>
          <w:tcPr>
            <w:tcW w:type="dxa" w:w="27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让AI状态可见、可纠正、可控制</w:t>
            </w:r>
          </w:p>
        </w:tc>
        <w:tc>
          <w:tcPr>
            <w:tcW w:type="dxa" w:w="1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交互愿景，待形成独立桌宠客户端</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任务智能体工作台</w:t>
            </w:r>
          </w:p>
        </w:tc>
        <w:tc>
          <w:tcPr>
            <w:tcW w:type="dxa" w:w="31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拆解目标，组织Agent与Human，调用受控工具，交付成果</w:t>
            </w:r>
          </w:p>
        </w:tc>
        <w:tc>
          <w:tcPr>
            <w:tcW w:type="dxa" w:w="27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把问答升级为完整任务闭环</w:t>
            </w:r>
          </w:p>
        </w:tc>
        <w:tc>
          <w:tcPr>
            <w:tcW w:type="dxa" w:w="1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当前工程主线，核心能力已进入验证</w:t>
            </w:r>
          </w:p>
        </w:tc>
      </w:tr>
    </w:tbl>
    <w:p>
      <w:pPr>
        <w:pStyle w:val="Heading2"/>
      </w:pPr>
      <w:r>
        <w:t>目标用户</w:t>
      </w:r>
    </w:p>
    <w:tbl>
      <w:tblPr>
        <w:tblW w:type="dxa" w:w="9360"/>
        <w:tblLayout w:type="fixed"/>
        <w:tblLook w:firstColumn="1" w:firstRow="1" w:lastColumn="0" w:lastRow="0" w:noHBand="0" w:noVBand="1" w:val="04A0"/>
        <w:jc w:val="left"/>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1600"/>
        <w:gridCol w:w="2650"/>
        <w:gridCol w:w="2550"/>
        <w:gridCol w:w="2560"/>
      </w:tblGrid>
      <w:tr>
        <w:trPr>
          <w:tblHeader w:val="true"/>
          <w:cantSplit w:val="true"/>
        </w:trPr>
        <w:tc>
          <w:tcPr>
            <w:tcW w:type="dxa" w:w="16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用户群体</w:t>
            </w:r>
          </w:p>
        </w:tc>
        <w:tc>
          <w:tcPr>
            <w:tcW w:type="dxa" w:w="265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高频任务</w:t>
            </w:r>
          </w:p>
        </w:tc>
        <w:tc>
          <w:tcPr>
            <w:tcW w:type="dxa" w:w="255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核心诉求</w:t>
            </w:r>
          </w:p>
        </w:tc>
        <w:tc>
          <w:tcPr>
            <w:tcW w:type="dxa" w:w="256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首个可验证场景</w:t>
            </w:r>
          </w:p>
        </w:tc>
      </w:tr>
      <w:tr>
        <w:trPr>
          <w:cantSplit w:val="true"/>
        </w:trPr>
        <w:tc>
          <w:tcPr>
            <w:tcW w:type="dxa" w:w="1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高校学生</w:t>
            </w:r>
          </w:p>
        </w:tc>
        <w:tc>
          <w:tcPr>
            <w:tcW w:type="dxa" w:w="26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资料阅读、报告写作、课程研究、沟通</w:t>
            </w:r>
          </w:p>
        </w:tc>
        <w:tc>
          <w:tcPr>
            <w:tcW w:type="dxa" w:w="25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少切换、能追溯、可形成成果</w:t>
            </w:r>
          </w:p>
        </w:tc>
        <w:tc>
          <w:tcPr>
            <w:tcW w:type="dxa" w:w="25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资料到报告的一体化任务</w:t>
            </w:r>
          </w:p>
        </w:tc>
      </w:tr>
      <w:tr>
        <w:trPr>
          <w:cantSplit w:val="true"/>
        </w:trPr>
        <w:tc>
          <w:tcPr>
            <w:tcW w:type="dxa" w:w="1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教师与研究人员</w:t>
            </w:r>
          </w:p>
        </w:tc>
        <w:tc>
          <w:tcPr>
            <w:tcW w:type="dxa" w:w="26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文献整理、证据对照、教学材料</w:t>
            </w:r>
          </w:p>
        </w:tc>
        <w:tc>
          <w:tcPr>
            <w:tcW w:type="dxa" w:w="25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来源清晰、结构稳定、隐私可控</w:t>
            </w:r>
          </w:p>
        </w:tc>
        <w:tc>
          <w:tcPr>
            <w:tcW w:type="dxa" w:w="25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多来源研究与文档交付</w:t>
            </w:r>
          </w:p>
        </w:tc>
      </w:tr>
      <w:tr>
        <w:trPr>
          <w:cantSplit w:val="true"/>
        </w:trPr>
        <w:tc>
          <w:tcPr>
            <w:tcW w:type="dxa" w:w="1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内容与办公人员</w:t>
            </w:r>
          </w:p>
        </w:tc>
        <w:tc>
          <w:tcPr>
            <w:tcW w:type="dxa" w:w="26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改写、汇总、表格、汇报、文件整理</w:t>
            </w:r>
          </w:p>
        </w:tc>
        <w:tc>
          <w:tcPr>
            <w:tcW w:type="dxa" w:w="25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效率、格式一致、过程透明</w:t>
            </w:r>
          </w:p>
        </w:tc>
        <w:tc>
          <w:tcPr>
            <w:tcW w:type="dxa" w:w="25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跨文档整理与版本审阅</w:t>
            </w:r>
          </w:p>
        </w:tc>
      </w:tr>
      <w:tr>
        <w:trPr>
          <w:cantSplit w:val="true"/>
        </w:trPr>
        <w:tc>
          <w:tcPr>
            <w:tcW w:type="dxa" w:w="1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软件开发者</w:t>
            </w:r>
          </w:p>
        </w:tc>
        <w:tc>
          <w:tcPr>
            <w:tcW w:type="dxa" w:w="26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代码修复、审查、重构、契约变更</w:t>
            </w:r>
          </w:p>
        </w:tc>
        <w:tc>
          <w:tcPr>
            <w:tcW w:type="dxa" w:w="25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可执行、可测试、可回滚</w:t>
            </w:r>
          </w:p>
        </w:tc>
        <w:tc>
          <w:tcPr>
            <w:tcW w:type="dxa" w:w="25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本地仓库任务与差异审阅</w:t>
            </w:r>
          </w:p>
        </w:tc>
      </w:tr>
      <w:tr>
        <w:trPr>
          <w:cantSplit w:val="true"/>
        </w:trPr>
        <w:tc>
          <w:tcPr>
            <w:tcW w:type="dxa" w:w="1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轻度数字用户</w:t>
            </w:r>
          </w:p>
        </w:tc>
        <w:tc>
          <w:tcPr>
            <w:tcW w:type="dxa" w:w="26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查找文件、解释界面、重复操作</w:t>
            </w:r>
          </w:p>
        </w:tc>
        <w:tc>
          <w:tcPr>
            <w:tcW w:type="dxa" w:w="25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低学习成本、明确确认</w:t>
            </w:r>
          </w:p>
        </w:tc>
        <w:tc>
          <w:tcPr>
            <w:tcW w:type="dxa" w:w="25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桌面伙伴引导与受控自动化</w:t>
            </w:r>
          </w:p>
        </w:tc>
      </w:tr>
    </w:tbl>
    <w:p>
      <w:pPr>
        <w:pStyle w:val="Heading2"/>
      </w:pPr>
      <w:r>
        <w:t>典型用户旅程</w:t>
      </w:r>
    </w:p>
    <w:p>
      <w:pPr>
        <w:keepNext/>
        <w:spacing w:before="80" w:after="40"/>
        <w:jc w:val="center"/>
      </w:pPr>
      <w:r>
        <w:drawing>
          <wp:inline xmlns:a="http://schemas.openxmlformats.org/drawingml/2006/main" xmlns:pic="http://schemas.openxmlformats.org/drawingml/2006/picture">
            <wp:extent cx="5989320" cy="2836873"/>
            <wp:docPr id="3" name="Picture 3" descr="图 2  典型用户旅程  从资料学习到正式写作，再到多步骤成果检查" title="图 2  典型用户旅程  从资料学习到正式写作，再到多步骤成果检查"/>
            <wp:cNvGraphicFramePr>
              <a:graphicFrameLocks noChangeAspect="1"/>
            </wp:cNvGraphicFramePr>
            <a:graphic>
              <a:graphicData uri="http://schemas.openxmlformats.org/drawingml/2006/picture">
                <pic:pic>
                  <pic:nvPicPr>
                    <pic:cNvPr id="0" name="owo-user-journey.png"/>
                    <pic:cNvPicPr/>
                  </pic:nvPicPr>
                  <pic:blipFill>
                    <a:blip r:embed="rId13"/>
                    <a:stretch>
                      <a:fillRect/>
                    </a:stretch>
                  </pic:blipFill>
                  <pic:spPr>
                    <a:xfrm>
                      <a:off x="0" y="0"/>
                      <a:ext cx="5989320" cy="2836873"/>
                    </a:xfrm>
                    <a:prstGeom prst="rect"/>
                  </pic:spPr>
                </pic:pic>
              </a:graphicData>
            </a:graphic>
          </wp:inline>
        </w:drawing>
      </w:r>
    </w:p>
    <w:p>
      <w:pPr>
        <w:pStyle w:val="Caption"/>
        <w:keepNext w:val="0"/>
      </w:pPr>
      <w:r>
        <w:t>图 2  典型用户旅程  从资料学习到正式写作，再到多步骤成果检查</w:t>
      </w:r>
    </w:p>
    <w:p>
      <w:pPr>
        <w:numPr>
          <w:ilvl w:val="0"/>
          <w:numId w:val="12"/>
        </w:numPr>
      </w:pPr>
      <w:r>
        <w:rPr>
          <w:rFonts w:ascii="Calibri" w:hAnsi="Calibri" w:eastAsia="Microsoft YaHei"/>
          <w:color w:val="243447"/>
          <w:sz w:val="20"/>
        </w:rPr>
        <w:t>用户将课程资料或项目文件交给 OwO，系统识别任务主题并建立受控工作区。</w:t>
      </w:r>
    </w:p>
    <w:p>
      <w:pPr>
        <w:numPr>
          <w:ilvl w:val="0"/>
          <w:numId w:val="12"/>
        </w:numPr>
      </w:pPr>
      <w:r>
        <w:rPr>
          <w:rFonts w:ascii="Calibri" w:hAnsi="Calibri" w:eastAsia="Microsoft YaHei"/>
          <w:color w:val="243447"/>
          <w:sz w:val="20"/>
        </w:rPr>
        <w:t>表达入口和桌面伙伴根据当前应用切换学习、写作或沟通状态，用户可随时纠正。</w:t>
      </w:r>
    </w:p>
    <w:p>
      <w:pPr>
        <w:numPr>
          <w:ilvl w:val="0"/>
          <w:numId w:val="12"/>
        </w:numPr>
      </w:pPr>
      <w:r>
        <w:rPr>
          <w:rFonts w:ascii="Calibri" w:hAnsi="Calibri" w:eastAsia="Microsoft YaHei"/>
          <w:color w:val="243447"/>
          <w:sz w:val="20"/>
        </w:rPr>
        <w:t>简单请求即时完成，复杂请求由 Coordinator 拆解，Worker 分别处理检索、撰写、校对或代码任务。</w:t>
      </w:r>
    </w:p>
    <w:p>
      <w:pPr>
        <w:numPr>
          <w:ilvl w:val="0"/>
          <w:numId w:val="12"/>
        </w:numPr>
      </w:pPr>
      <w:r>
        <w:rPr>
          <w:rFonts w:ascii="Calibri" w:hAnsi="Calibri" w:eastAsia="Microsoft YaHei"/>
          <w:color w:val="243447"/>
          <w:sz w:val="20"/>
        </w:rPr>
        <w:t>涉及文件写入、命令、网络提交或桌面操作时，系统展示目标、范围与风险并等待确认。</w:t>
      </w:r>
    </w:p>
    <w:p>
      <w:pPr>
        <w:numPr>
          <w:ilvl w:val="0"/>
          <w:numId w:val="12"/>
        </w:numPr>
      </w:pPr>
      <w:r>
        <w:rPr>
          <w:rFonts w:ascii="Calibri" w:hAnsi="Calibri" w:eastAsia="Microsoft YaHei"/>
          <w:color w:val="243447"/>
          <w:sz w:val="20"/>
        </w:rPr>
        <w:t>系统交付可审阅的文档、代码差异、证据表或其他 Artifact，记录来源、版本、审计和失败信息。</w:t>
      </w:r>
    </w:p>
    <w:p>
      <w:pPr>
        <w:pStyle w:val="Heading1"/>
        <w:pBdr>
          <w:bottom w:val="single" w:sz="7" w:space="4" w:color="D9E7F3"/>
        </w:pBdr>
      </w:pPr>
      <w:r>
        <w:t>产品与服务方案</w:t>
      </w:r>
    </w:p>
    <w:p>
      <w:pPr>
        <w:pStyle w:val="Heading2"/>
      </w:pPr>
      <w:r>
        <w:t>核心功能体系</w:t>
      </w:r>
    </w:p>
    <w:tbl>
      <w:tblPr>
        <w:tblW w:type="dxa" w:w="9360"/>
        <w:tblLayout w:type="fixed"/>
        <w:tblLook w:firstColumn="1" w:firstRow="1" w:lastColumn="0" w:lastRow="0" w:noHBand="0" w:noVBand="1" w:val="04A0"/>
        <w:jc w:val="left"/>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1900"/>
        <w:gridCol w:w="4400"/>
        <w:gridCol w:w="3060"/>
      </w:tblGrid>
      <w:tr>
        <w:trPr>
          <w:tblHeader w:val="true"/>
          <w:cantSplit w:val="true"/>
        </w:trPr>
        <w:tc>
          <w:tcPr>
            <w:tcW w:type="dxa" w:w="19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能力模块</w:t>
            </w:r>
          </w:p>
        </w:tc>
        <w:tc>
          <w:tcPr>
            <w:tcW w:type="dxa" w:w="44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功能说明</w:t>
            </w:r>
          </w:p>
        </w:tc>
        <w:tc>
          <w:tcPr>
            <w:tcW w:type="dxa" w:w="306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面向用户的结果</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情境感知</w:t>
            </w:r>
          </w:p>
        </w:tc>
        <w:tc>
          <w:tcPr>
            <w:tcW w:type="dxa" w:w="44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结合前台应用、授权文件、UI语义、OCR与任务历史形成场景快照</w:t>
            </w:r>
          </w:p>
        </w:tc>
        <w:tc>
          <w:tcPr>
            <w:tcW w:type="dxa" w:w="30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减少重复描述，让建议与当前工作匹配</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智能表达</w:t>
            </w:r>
          </w:p>
        </w:tc>
        <w:tc>
          <w:tcPr>
            <w:tcW w:type="dxa" w:w="44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提供句子补全、风格调整、翻译、摘要和快捷回复</w:t>
            </w:r>
          </w:p>
        </w:tc>
        <w:tc>
          <w:tcPr>
            <w:tcW w:type="dxa" w:w="30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更快完成学术、职场和日常沟通</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文件与知识处理</w:t>
            </w:r>
          </w:p>
        </w:tc>
        <w:tc>
          <w:tcPr>
            <w:tcW w:type="dxa" w:w="44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读取文档、表格、PDF、代码与网页，提取和组织结构化信息</w:t>
            </w:r>
          </w:p>
        </w:tc>
        <w:tc>
          <w:tcPr>
            <w:tcW w:type="dxa" w:w="30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从散乱材料形成提纲、证据表和正式成果</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WorkSwarm 协同</w:t>
            </w:r>
          </w:p>
        </w:tc>
        <w:tc>
          <w:tcPr>
            <w:tcW w:type="dxa" w:w="44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Coordinator与最多三个Worker及Human节点围绕任务图协作</w:t>
            </w:r>
          </w:p>
        </w:tc>
        <w:tc>
          <w:tcPr>
            <w:tcW w:type="dxa" w:w="30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复杂任务可并行、接力和复核，不必逐个指挥</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成果交付</w:t>
            </w:r>
          </w:p>
        </w:tc>
        <w:tc>
          <w:tcPr>
            <w:tcW w:type="dxa" w:w="44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版本化Artifact、差异审阅、评审记录、恢复和回退</w:t>
            </w:r>
          </w:p>
        </w:tc>
        <w:tc>
          <w:tcPr>
            <w:tcW w:type="dxa" w:w="30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用户掌握最终结果，而非只获得一段回答</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安全控制</w:t>
            </w:r>
          </w:p>
        </w:tc>
        <w:tc>
          <w:tcPr>
            <w:tcW w:type="dxa" w:w="44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默认拒绝、按工具授权、独立审批、审计、敏感面熔断</w:t>
            </w:r>
          </w:p>
        </w:tc>
        <w:tc>
          <w:tcPr>
            <w:tcW w:type="dxa" w:w="30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自动化能力不越过用户边界</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技能复用</w:t>
            </w:r>
          </w:p>
        </w:tc>
        <w:tc>
          <w:tcPr>
            <w:tcW w:type="dxa" w:w="44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把验证过的流程沉淀为技能或工作流，并进行健康检查</w:t>
            </w:r>
          </w:p>
        </w:tc>
        <w:tc>
          <w:tcPr>
            <w:tcW w:type="dxa" w:w="30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重复任务越用越省事，同时保持可审查</w:t>
            </w:r>
          </w:p>
        </w:tc>
      </w:tr>
    </w:tbl>
    <w:p>
      <w:pPr>
        <w:pStyle w:val="Heading2"/>
      </w:pPr>
      <w:r>
        <w:t>产品交互分级</w:t>
      </w:r>
    </w:p>
    <w:p>
      <w:pPr>
        <w:keepLines w:val="0"/>
      </w:pPr>
      <w:r>
        <w:rPr>
          <w:rFonts w:ascii="Calibri" w:hAnsi="Calibri" w:eastAsia="Microsoft YaHei"/>
          <w:i w:val="0"/>
          <w:color w:val="243447"/>
          <w:sz w:val="21"/>
        </w:rPr>
        <w:t>OwO 将交互复杂度分为即时辅助、主动建议和长任务执行三个层级。输入补全、润色等低风险需求即时响应；桌面伙伴以不打断的方式提示翻译、总结或待办提取；需要跨文件、多步骤和持续运行的任务则升级到工作台，由用户查看计划、进度、审批和成果。分级设计避免所有需求都被迫进入复杂聊天窗口，也避免轻量入口承担不适合的高风险执行。</w:t>
      </w:r>
    </w:p>
    <w:tbl>
      <w:tblPr>
        <w:tblW w:type="dxa" w:w="9360"/>
        <w:tblLayout w:type="fixed"/>
        <w:tblLook w:firstColumn="1" w:firstRow="1" w:lastColumn="0" w:lastRow="0" w:noHBand="0" w:noVBand="1" w:val="04A0"/>
        <w:jc w:val="left"/>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1600"/>
        <w:gridCol w:w="3100"/>
        <w:gridCol w:w="2500"/>
        <w:gridCol w:w="2160"/>
      </w:tblGrid>
      <w:tr>
        <w:trPr>
          <w:tblHeader w:val="true"/>
          <w:cantSplit w:val="true"/>
        </w:trPr>
        <w:tc>
          <w:tcPr>
            <w:tcW w:type="dxa" w:w="16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级别</w:t>
            </w:r>
          </w:p>
        </w:tc>
        <w:tc>
          <w:tcPr>
            <w:tcW w:type="dxa" w:w="31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适用任务</w:t>
            </w:r>
          </w:p>
        </w:tc>
        <w:tc>
          <w:tcPr>
            <w:tcW w:type="dxa" w:w="25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交互方式</w:t>
            </w:r>
          </w:p>
        </w:tc>
        <w:tc>
          <w:tcPr>
            <w:tcW w:type="dxa" w:w="216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控制要求</w:t>
            </w:r>
          </w:p>
        </w:tc>
      </w:tr>
      <w:tr>
        <w:trPr>
          <w:cantSplit w:val="true"/>
        </w:trPr>
        <w:tc>
          <w:tcPr>
            <w:tcW w:type="dxa" w:w="1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即时辅助</w:t>
            </w:r>
          </w:p>
        </w:tc>
        <w:tc>
          <w:tcPr>
            <w:tcW w:type="dxa" w:w="31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补全、改写、翻译、解释</w:t>
            </w:r>
          </w:p>
        </w:tc>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候选或快捷操作</w:t>
            </w:r>
          </w:p>
        </w:tc>
        <w:tc>
          <w:tcPr>
            <w:tcW w:type="dxa" w:w="21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默认只生成建议，不直接外发</w:t>
            </w:r>
          </w:p>
        </w:tc>
      </w:tr>
      <w:tr>
        <w:trPr>
          <w:cantSplit w:val="true"/>
        </w:trPr>
        <w:tc>
          <w:tcPr>
            <w:tcW w:type="dxa" w:w="1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主动建议</w:t>
            </w:r>
          </w:p>
        </w:tc>
        <w:tc>
          <w:tcPr>
            <w:tcW w:type="dxa" w:w="31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检测到可总结、可解释、可复用情境</w:t>
            </w:r>
          </w:p>
        </w:tc>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桌面伙伴提示卡</w:t>
            </w:r>
          </w:p>
        </w:tc>
        <w:tc>
          <w:tcPr>
            <w:tcW w:type="dxa" w:w="21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可忽略、静默或禁用</w:t>
            </w:r>
          </w:p>
        </w:tc>
      </w:tr>
      <w:tr>
        <w:trPr>
          <w:cantSplit w:val="true"/>
        </w:trPr>
        <w:tc>
          <w:tcPr>
            <w:tcW w:type="dxa" w:w="1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长任务执行</w:t>
            </w:r>
          </w:p>
        </w:tc>
        <w:tc>
          <w:tcPr>
            <w:tcW w:type="dxa" w:w="31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研究、报告、代码、文件与跨应用任务</w:t>
            </w:r>
          </w:p>
        </w:tc>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工作台任务图与成果区</w:t>
            </w:r>
          </w:p>
        </w:tc>
        <w:tc>
          <w:tcPr>
            <w:tcW w:type="dxa" w:w="21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计划可见，写操作审批，结果可回退</w:t>
            </w:r>
          </w:p>
        </w:tc>
      </w:tr>
    </w:tbl>
    <w:p>
      <w:pPr>
        <w:pStyle w:val="Heading1"/>
        <w:pBdr>
          <w:bottom w:val="single" w:sz="7" w:space="4" w:color="D9E7F3"/>
        </w:pBdr>
      </w:pPr>
      <w:r>
        <w:t>技术路线与系统架构</w:t>
      </w:r>
    </w:p>
    <w:p>
      <w:pPr>
        <w:pStyle w:val="Heading2"/>
      </w:pPr>
      <w:r>
        <w:t>总体架构</w:t>
      </w:r>
    </w:p>
    <w:p>
      <w:pPr>
        <w:keepLines w:val="0"/>
      </w:pPr>
      <w:r>
        <w:rPr>
          <w:rFonts w:ascii="Calibri" w:hAnsi="Calibri" w:eastAsia="Microsoft YaHei"/>
          <w:i w:val="0"/>
          <w:color w:val="243447"/>
          <w:sz w:val="21"/>
        </w:rPr>
        <w:t>系统采用本地优先、模型可替换、工具受控的分层架构。最上层是桌面工作台及未来的输入法和桌宠入口；中间层由会话、Goal与Plan、WorkSwarm、工作流和Artifact管线构成；执行层统一管理文件、Git、命令、浏览器、API和桌面操作；安全层贯穿权限、审批、审计、凭据、限流和错误语义；底层通过模型网关连接本地或兼容的云端模型。</w:t>
      </w:r>
    </w:p>
    <w:tbl>
      <w:tblPr>
        <w:tblW w:type="dxa" w:w="9360"/>
        <w:tblLayout w:type="fixed"/>
        <w:tblLook w:firstColumn="1" w:firstRow="1" w:lastColumn="0" w:lastRow="0" w:noHBand="0" w:noVBand="1" w:val="04A0"/>
        <w:jc w:val="left"/>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1450"/>
        <w:gridCol w:w="2500"/>
        <w:gridCol w:w="3260"/>
        <w:gridCol w:w="2150"/>
      </w:tblGrid>
      <w:tr>
        <w:trPr>
          <w:tblHeader w:val="true"/>
          <w:cantSplit w:val="true"/>
        </w:trPr>
        <w:tc>
          <w:tcPr>
            <w:tcW w:type="dxa" w:w="145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架构层</w:t>
            </w:r>
          </w:p>
        </w:tc>
        <w:tc>
          <w:tcPr>
            <w:tcW w:type="dxa" w:w="25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关键组件</w:t>
            </w:r>
          </w:p>
        </w:tc>
        <w:tc>
          <w:tcPr>
            <w:tcW w:type="dxa" w:w="326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主要职责</w:t>
            </w:r>
          </w:p>
        </w:tc>
        <w:tc>
          <w:tcPr>
            <w:tcW w:type="dxa" w:w="215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设计原则</w:t>
            </w:r>
          </w:p>
        </w:tc>
      </w:tr>
      <w:tr>
        <w:trPr>
          <w:cantSplit w:val="true"/>
        </w:trPr>
        <w:tc>
          <w:tcPr>
            <w:tcW w:type="dxa" w:w="14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交互层</w:t>
            </w:r>
          </w:p>
        </w:tc>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桌面工作台、状态可视化、未来输入法与桌宠</w:t>
            </w:r>
          </w:p>
        </w:tc>
        <w:tc>
          <w:tcPr>
            <w:tcW w:type="dxa" w:w="32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任务入口、进度、审批、差异与成果审阅</w:t>
            </w:r>
          </w:p>
        </w:tc>
        <w:tc>
          <w:tcPr>
            <w:tcW w:type="dxa" w:w="21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复杂能力保持用户可理解</w:t>
            </w:r>
          </w:p>
        </w:tc>
      </w:tr>
      <w:tr>
        <w:trPr>
          <w:cantSplit w:val="true"/>
        </w:trPr>
        <w:tc>
          <w:tcPr>
            <w:tcW w:type="dxa" w:w="14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协同层</w:t>
            </w:r>
          </w:p>
        </w:tc>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Session、Goal、Plan、WorkSwarm、Workflow</w:t>
            </w:r>
          </w:p>
        </w:tc>
        <w:tc>
          <w:tcPr>
            <w:tcW w:type="dxa" w:w="32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任务分解、成员调度、接力、Human介入</w:t>
            </w:r>
          </w:p>
        </w:tc>
        <w:tc>
          <w:tcPr>
            <w:tcW w:type="dxa" w:w="21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单一状态源，明确终态</w:t>
            </w:r>
          </w:p>
        </w:tc>
      </w:tr>
      <w:tr>
        <w:trPr>
          <w:cantSplit w:val="true"/>
        </w:trPr>
        <w:tc>
          <w:tcPr>
            <w:tcW w:type="dxa" w:w="14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执行层</w:t>
            </w:r>
          </w:p>
        </w:tc>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文件、Git、浏览器、API、受控命令、Computer Use</w:t>
            </w:r>
          </w:p>
        </w:tc>
        <w:tc>
          <w:tcPr>
            <w:tcW w:type="dxa" w:w="32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在明确范围内执行并验证动作</w:t>
            </w:r>
          </w:p>
        </w:tc>
        <w:tc>
          <w:tcPr>
            <w:tcW w:type="dxa" w:w="21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确定性工具优先，视觉只作候选</w:t>
            </w:r>
          </w:p>
        </w:tc>
      </w:tr>
      <w:tr>
        <w:trPr>
          <w:cantSplit w:val="true"/>
        </w:trPr>
        <w:tc>
          <w:tcPr>
            <w:tcW w:type="dxa" w:w="14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资产层</w:t>
            </w:r>
          </w:p>
        </w:tc>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Project Space、Artifact、ChangeSet、Trace、Memory</w:t>
            </w:r>
          </w:p>
        </w:tc>
        <w:tc>
          <w:tcPr>
            <w:tcW w:type="dxa" w:w="32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保存成果版本、证据、差异和可复用经验</w:t>
            </w:r>
          </w:p>
        </w:tc>
        <w:tc>
          <w:tcPr>
            <w:tcW w:type="dxa" w:w="21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成果可追溯、可恢复</w:t>
            </w:r>
          </w:p>
        </w:tc>
      </w:tr>
      <w:tr>
        <w:trPr>
          <w:cantSplit w:val="true"/>
        </w:trPr>
        <w:tc>
          <w:tcPr>
            <w:tcW w:type="dxa" w:w="14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安全层</w:t>
            </w:r>
          </w:p>
        </w:tc>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Policy、Approval、Audit、Credential、Sandbox</w:t>
            </w:r>
          </w:p>
        </w:tc>
        <w:tc>
          <w:tcPr>
            <w:tcW w:type="dxa" w:w="32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阻断越权、保护密钥、记录决策</w:t>
            </w:r>
          </w:p>
        </w:tc>
        <w:tc>
          <w:tcPr>
            <w:tcW w:type="dxa" w:w="21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默认拒绝，审批与主Agent分离</w:t>
            </w:r>
          </w:p>
        </w:tc>
      </w:tr>
      <w:tr>
        <w:trPr>
          <w:cantSplit w:val="true"/>
        </w:trPr>
        <w:tc>
          <w:tcPr>
            <w:tcW w:type="dxa" w:w="14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模型层</w:t>
            </w:r>
          </w:p>
        </w:tc>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本地模型、兼容云端模型、OCR与视觉</w:t>
            </w:r>
          </w:p>
        </w:tc>
        <w:tc>
          <w:tcPr>
            <w:tcW w:type="dxa" w:w="32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理解目标、规划、生成与感知辅助</w:t>
            </w:r>
          </w:p>
        </w:tc>
        <w:tc>
          <w:tcPr>
            <w:tcW w:type="dxa" w:w="21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模型可替换，密钥仅由环境注入</w:t>
            </w:r>
          </w:p>
        </w:tc>
      </w:tr>
    </w:tbl>
    <w:p>
      <w:pPr>
        <w:pStyle w:val="Heading2"/>
      </w:pPr>
      <w:r>
        <w:t>多智能体协同机制</w:t>
      </w:r>
    </w:p>
    <w:p>
      <w:pPr>
        <w:keepLines w:val="0"/>
      </w:pPr>
      <w:r>
        <w:rPr>
          <w:rFonts w:ascii="Calibri" w:hAnsi="Calibri" w:eastAsia="Microsoft YaHei"/>
          <w:i w:val="0"/>
          <w:color w:val="243447"/>
          <w:sz w:val="21"/>
        </w:rPr>
        <w:t>Coordinator 负责目标理解、拆解、资源边界和最终交付；Worker 只接收完成其任务所需的上下文、工具和预算；Human 节点在信息缺失、判断冲突或高风险动作前介入。任务以有向无环图表达依赖关系，已完成节点的成果不会因后续 steer 或重试而丢失。系统通过写租约和明确单写者减少并行冲突，通过Artifact与Handoff传递成果，而不是让多个智能体共享无边界的全部会话。</w:t>
      </w:r>
    </w:p>
    <w:p>
      <w:pPr>
        <w:pStyle w:val="Heading2"/>
      </w:pPr>
      <w:r>
        <w:t>情境感知与可靠执行</w:t>
      </w:r>
    </w:p>
    <w:p>
      <w:pPr>
        <w:keepLines w:val="0"/>
      </w:pPr>
      <w:r>
        <w:rPr>
          <w:rFonts w:ascii="Calibri" w:hAnsi="Calibri" w:eastAsia="Microsoft YaHei"/>
          <w:i w:val="0"/>
          <w:color w:val="243447"/>
          <w:sz w:val="21"/>
        </w:rPr>
        <w:t>感知链路采用分层证据：优先使用应用信息、结构化API、文件状态、浏览器语义引用和Windows UI Automation；OCR和视觉模型用于补充定位或解释，不直接获得高风险执行权。执行动作携带目标、预期效果和验证条件，失败时进入重观察、询问用户、降级或终止等已定义状态，避免模型在不确定界面上连续盲点。</w:t>
      </w:r>
    </w:p>
    <w:p>
      <w:pPr>
        <w:pStyle w:val="Heading2"/>
      </w:pPr>
      <w:r>
        <w:t>安全与隐私设计</w:t>
      </w:r>
    </w:p>
    <w:p>
      <w:pPr>
        <w:numPr>
          <w:ilvl w:val="0"/>
          <w:numId w:val="10"/>
        </w:numPr>
      </w:pPr>
      <w:r>
        <w:rPr>
          <w:rFonts w:ascii="Calibri" w:hAnsi="Calibri" w:eastAsia="Microsoft YaHei"/>
          <w:color w:val="243447"/>
          <w:sz w:val="20"/>
        </w:rPr>
        <w:t>权限默认拒绝。文件写入、命令执行、网络访问、文本注入和远程回传均须通过策略。</w:t>
      </w:r>
    </w:p>
    <w:p>
      <w:pPr>
        <w:numPr>
          <w:ilvl w:val="0"/>
          <w:numId w:val="10"/>
        </w:numPr>
      </w:pPr>
      <w:r>
        <w:rPr>
          <w:rFonts w:ascii="Calibri" w:hAnsi="Calibri" w:eastAsia="Microsoft YaHei"/>
          <w:color w:val="243447"/>
          <w:sz w:val="20"/>
        </w:rPr>
        <w:t>审批与主智能体分离。主智能体不能为自身的越权工具调用自动授权。</w:t>
      </w:r>
    </w:p>
    <w:p>
      <w:pPr>
        <w:numPr>
          <w:ilvl w:val="0"/>
          <w:numId w:val="10"/>
        </w:numPr>
      </w:pPr>
      <w:r>
        <w:rPr>
          <w:rFonts w:ascii="Calibri" w:hAnsi="Calibri" w:eastAsia="Microsoft YaHei"/>
          <w:color w:val="243447"/>
          <w:sz w:val="20"/>
        </w:rPr>
        <w:t>模型密钥仅经环境变量或操作系统凭据引用注入，不进入代码、仓库、日志或普通Worker环境。</w:t>
      </w:r>
    </w:p>
    <w:p>
      <w:pPr>
        <w:numPr>
          <w:ilvl w:val="0"/>
          <w:numId w:val="10"/>
        </w:numPr>
      </w:pPr>
      <w:r>
        <w:rPr>
          <w:rFonts w:ascii="Calibri" w:hAnsi="Calibri" w:eastAsia="Microsoft YaHei"/>
          <w:color w:val="243447"/>
          <w:sz w:val="20"/>
        </w:rPr>
        <w:t>敏感窗口、密码、支付、验证码等场景触发熔断；不可逆操作必须预览、确认或提供回退。</w:t>
      </w:r>
    </w:p>
    <w:p>
      <w:pPr>
        <w:numPr>
          <w:ilvl w:val="0"/>
          <w:numId w:val="10"/>
        </w:numPr>
      </w:pPr>
      <w:r>
        <w:rPr>
          <w:rFonts w:ascii="Calibri" w:hAnsi="Calibri" w:eastAsia="Microsoft YaHei"/>
          <w:color w:val="243447"/>
          <w:sz w:val="20"/>
        </w:rPr>
        <w:t>审计记录动作主体、目标、权限决定、关联任务和结果摘要，为复盘和责任界定提供依据。</w:t>
      </w:r>
    </w:p>
    <w:p>
      <w:pPr>
        <w:pStyle w:val="Heading1"/>
        <w:pBdr>
          <w:bottom w:val="single" w:sz="7" w:space="4" w:color="D9E7F3"/>
        </w:pBdr>
      </w:pPr>
      <w:r>
        <w:t>研发基础与成熟度</w:t>
      </w:r>
    </w:p>
    <w:p>
      <w:pPr>
        <w:pStyle w:val="Heading2"/>
      </w:pPr>
      <w:r>
        <w:t>当前工程基础</w:t>
      </w:r>
    </w:p>
    <w:tbl>
      <w:tblPr>
        <w:tblW w:type="dxa" w:w="9360"/>
        <w:tblLayout w:type="fixed"/>
        <w:tblLook w:firstColumn="1" w:firstRow="1" w:lastColumn="0" w:lastRow="0" w:noHBand="0" w:noVBand="1" w:val="04A0"/>
        <w:jc w:val="left"/>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1700"/>
        <w:gridCol w:w="3520"/>
        <w:gridCol w:w="1900"/>
        <w:gridCol w:w="2240"/>
      </w:tblGrid>
      <w:tr>
        <w:trPr>
          <w:tblHeader w:val="true"/>
          <w:cantSplit w:val="true"/>
        </w:trPr>
        <w:tc>
          <w:tcPr>
            <w:tcW w:type="dxa" w:w="17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能力</w:t>
            </w:r>
          </w:p>
        </w:tc>
        <w:tc>
          <w:tcPr>
            <w:tcW w:type="dxa" w:w="352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当前证据</w:t>
            </w:r>
          </w:p>
        </w:tc>
        <w:tc>
          <w:tcPr>
            <w:tcW w:type="dxa" w:w="19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成熟度判断</w:t>
            </w:r>
          </w:p>
        </w:tc>
        <w:tc>
          <w:tcPr>
            <w:tcW w:type="dxa" w:w="224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下一验收</w:t>
            </w:r>
          </w:p>
        </w:tc>
      </w:tr>
      <w:tr>
        <w:trPr>
          <w:cantSplit w:val="true"/>
        </w:trPr>
        <w:tc>
          <w:tcPr>
            <w:tcW w:type="dxa" w:w="17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Agent执行与会话</w:t>
            </w:r>
          </w:p>
        </w:tc>
        <w:tc>
          <w:tcPr>
            <w:tcW w:type="dxa" w:w="352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核心循环、工具调度、会话、项目规则、审计及API契约</w:t>
            </w:r>
          </w:p>
        </w:tc>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已实现并持续测试</w:t>
            </w:r>
          </w:p>
        </w:tc>
        <w:tc>
          <w:tcPr>
            <w:tcW w:type="dxa" w:w="224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发布包与真实任务回归</w:t>
            </w:r>
          </w:p>
        </w:tc>
      </w:tr>
      <w:tr>
        <w:trPr>
          <w:cantSplit w:val="true"/>
        </w:trPr>
        <w:tc>
          <w:tcPr>
            <w:tcW w:type="dxa" w:w="17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单智能体产品评测</w:t>
            </w:r>
          </w:p>
        </w:tc>
        <w:tc>
          <w:tcPr>
            <w:tcW w:type="dxa" w:w="352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200次固定运行，195次成功，总成功率97.5%</w:t>
            </w:r>
          </w:p>
        </w:tc>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有量化基线</w:t>
            </w:r>
          </w:p>
        </w:tc>
        <w:tc>
          <w:tcPr>
            <w:tcW w:type="dxa" w:w="224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修复5次失败并建立新批次复测</w:t>
            </w:r>
          </w:p>
        </w:tc>
      </w:tr>
      <w:tr>
        <w:trPr>
          <w:cantSplit w:val="true"/>
        </w:trPr>
        <w:tc>
          <w:tcPr>
            <w:tcW w:type="dxa" w:w="17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WorkSwarm</w:t>
            </w:r>
          </w:p>
        </w:tc>
        <w:tc>
          <w:tcPr>
            <w:tcW w:type="dxa" w:w="352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TeamRun、任务图、Artifact、Handoff、Human、steer、恢复及HTTP资源面</w:t>
            </w:r>
          </w:p>
        </w:tc>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核心与服务面已实现</w:t>
            </w:r>
          </w:p>
        </w:tc>
        <w:tc>
          <w:tcPr>
            <w:tcW w:type="dxa" w:w="224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完整真实模型流程和桌面端验收</w:t>
            </w:r>
          </w:p>
        </w:tc>
      </w:tr>
      <w:tr>
        <w:trPr>
          <w:cantSplit w:val="true"/>
        </w:trPr>
        <w:tc>
          <w:tcPr>
            <w:tcW w:type="dxa" w:w="17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桌面工作台</w:t>
            </w:r>
          </w:p>
        </w:tc>
        <w:tc>
          <w:tcPr>
            <w:tcW w:type="dxa" w:w="352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五个一级页面已阶段性点击验证，关键面板持续拆分</w:t>
            </w:r>
          </w:p>
        </w:tc>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可演示但仍在产品化</w:t>
            </w:r>
          </w:p>
        </w:tc>
        <w:tc>
          <w:tcPr>
            <w:tcW w:type="dxa" w:w="224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全分辨率、异常启动和全部按钮请求</w:t>
            </w:r>
          </w:p>
        </w:tc>
      </w:tr>
      <w:tr>
        <w:trPr>
          <w:cantSplit w:val="true"/>
        </w:trPr>
        <w:tc>
          <w:tcPr>
            <w:tcW w:type="dxa" w:w="17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感知与桌面操作</w:t>
            </w:r>
          </w:p>
        </w:tc>
        <w:tc>
          <w:tcPr>
            <w:tcW w:type="dxa" w:w="352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UIA、OCR、场景图、动作程序、结构化断言和模拟环境</w:t>
            </w:r>
          </w:p>
        </w:tc>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技术模块具备基础</w:t>
            </w:r>
          </w:p>
        </w:tc>
        <w:tc>
          <w:tcPr>
            <w:tcW w:type="dxa" w:w="224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更多真实应用兼容矩阵</w:t>
            </w:r>
          </w:p>
        </w:tc>
      </w:tr>
      <w:tr>
        <w:trPr>
          <w:cantSplit w:val="true"/>
        </w:trPr>
        <w:tc>
          <w:tcPr>
            <w:tcW w:type="dxa" w:w="17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输入法与桌宠</w:t>
            </w:r>
          </w:p>
        </w:tc>
        <w:tc>
          <w:tcPr>
            <w:tcW w:type="dxa" w:w="352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已有产品方案和历史输入法工程</w:t>
            </w:r>
          </w:p>
        </w:tc>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统一产品愿景，当前暂停</w:t>
            </w:r>
          </w:p>
        </w:tc>
        <w:tc>
          <w:tcPr>
            <w:tcW w:type="dxa" w:w="224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重新立项前完成交互与高敏输入评审</w:t>
            </w:r>
          </w:p>
        </w:tc>
      </w:tr>
    </w:tbl>
    <w:tbl>
      <w:tblPr>
        <w:tblW w:type="dxa" w:w="9360"/>
        <w:jc w:val="left"/>
        <w:tblLayout w:type="fixed"/>
        <w:tblLook w:firstColumn="1" w:firstRow="1" w:lastColumn="0" w:lastRow="0" w:noHBand="0" w:noVBand="1" w:val="04A0"/>
        <w:tblInd w:w="120" w:type="dxa"/>
        <w:tblBorders>
          <w:top w:val="single" w:sz="2" w:space="0" w:color="FFF7E8"/>
          <w:left w:val="single" w:sz="2" w:space="0" w:color="FFF7E8"/>
          <w:bottom w:val="single" w:sz="2" w:space="0" w:color="FFF7E8"/>
          <w:right w:val="single" w:sz="2" w:space="0" w:color="FFF7E8"/>
          <w:insideH w:val="single" w:sz="2" w:space="0" w:color="FFF7E8"/>
          <w:insideV w:val="single" w:sz="2" w:space="0" w:color="FFF7E8"/>
        </w:tblBorders>
      </w:tblPr>
      <w:tblGrid>
        <w:gridCol w:w="9360"/>
      </w:tblGrid>
      <w:tr>
        <w:trPr>
          <w:cantSplit w:val="true"/>
        </w:trPr>
        <w:tc>
          <w:tcPr>
            <w:tcW w:type="dxa" w:w="9360"/>
            <w:tcMar>
              <w:top w:w="90" w:type="dxa"/>
              <w:start w:w="120" w:type="dxa"/>
              <w:bottom w:w="90" w:type="dxa"/>
              <w:end w:w="120" w:type="dxa"/>
            </w:tcMar>
            <w:vAlign w:val="center"/>
            <w:shd w:fill="FFF7E8"/>
          </w:tcPr>
          <w:p>
            <w:pPr>
              <w:spacing w:after="0"/>
            </w:pPr>
            <w:r>
              <w:rPr>
                <w:rFonts w:ascii="Calibri" w:hAnsi="Calibri" w:eastAsia="Microsoft YaHei"/>
                <w:b/>
                <w:color w:val="C89B3C"/>
                <w:sz w:val="21"/>
              </w:rPr>
              <w:t xml:space="preserve">成熟度说明  </w:t>
            </w:r>
            <w:r>
              <w:rPr>
                <w:rFonts w:ascii="Calibri" w:hAnsi="Calibri" w:eastAsia="Microsoft YaHei"/>
                <w:color w:val="243447"/>
                <w:sz w:val="20"/>
              </w:rPr>
              <w:t>测试通过证明相应源码与契约在给定环境下工作，不自动等同于安装包、桌面壳、所有外部应用和真实用户体验已完成。参赛演示应使用经过复验的固定任务与固定发布包。</w:t>
            </w:r>
          </w:p>
        </w:tc>
      </w:tr>
    </w:tbl>
    <w:p>
      <w:pPr>
        <w:spacing w:after="20"/>
      </w:pPr>
    </w:p>
    <w:p>
      <w:pPr>
        <w:pStyle w:val="Heading1"/>
        <w:pBdr>
          <w:bottom w:val="single" w:sz="7" w:space="4" w:color="D9E7F3"/>
        </w:pBdr>
      </w:pPr>
      <w:r>
        <w:t>项目创新点与核心优势</w:t>
      </w:r>
    </w:p>
    <w:p>
      <w:pPr>
        <w:pStyle w:val="Heading2"/>
      </w:pPr>
      <w:r>
        <w:t>产品创新</w:t>
      </w:r>
    </w:p>
    <w:tbl>
      <w:tblPr>
        <w:tblW w:type="dxa" w:w="9360"/>
        <w:tblLayout w:type="fixed"/>
        <w:tblLook w:firstColumn="1" w:firstRow="1" w:lastColumn="0" w:lastRow="0" w:noHBand="0" w:noVBand="1" w:val="04A0"/>
        <w:jc w:val="left"/>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1780"/>
        <w:gridCol w:w="2400"/>
        <w:gridCol w:w="3220"/>
        <w:gridCol w:w="1960"/>
      </w:tblGrid>
      <w:tr>
        <w:trPr>
          <w:tblHeader w:val="true"/>
          <w:cantSplit w:val="true"/>
        </w:trPr>
        <w:tc>
          <w:tcPr>
            <w:tcW w:type="dxa" w:w="178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创新点</w:t>
            </w:r>
          </w:p>
        </w:tc>
        <w:tc>
          <w:tcPr>
            <w:tcW w:type="dxa" w:w="24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传统方式</w:t>
            </w:r>
          </w:p>
        </w:tc>
        <w:tc>
          <w:tcPr>
            <w:tcW w:type="dxa" w:w="322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OwO 方案</w:t>
            </w:r>
          </w:p>
        </w:tc>
        <w:tc>
          <w:tcPr>
            <w:tcW w:type="dxa" w:w="196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可验证价值</w:t>
            </w:r>
          </w:p>
        </w:tc>
      </w:tr>
      <w:tr>
        <w:trPr>
          <w:cantSplit w:val="true"/>
        </w:trPr>
        <w:tc>
          <w:tcPr>
            <w:tcW w:type="dxa" w:w="178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感知、表达、行动闭环</w:t>
            </w:r>
          </w:p>
        </w:tc>
        <w:tc>
          <w:tcPr>
            <w:tcW w:type="dxa" w:w="24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输入法、桌宠、聊天助手彼此割裂</w:t>
            </w:r>
          </w:p>
        </w:tc>
        <w:tc>
          <w:tcPr>
            <w:tcW w:type="dxa" w:w="322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统一情境和任务主线，按复杂度升级</w:t>
            </w:r>
          </w:p>
        </w:tc>
        <w:tc>
          <w:tcPr>
            <w:tcW w:type="dxa" w:w="19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减少反复描述与应用切换</w:t>
            </w:r>
          </w:p>
        </w:tc>
      </w:tr>
      <w:tr>
        <w:trPr>
          <w:cantSplit w:val="true"/>
        </w:trPr>
        <w:tc>
          <w:tcPr>
            <w:tcW w:type="dxa" w:w="178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可见的AI状态</w:t>
            </w:r>
          </w:p>
        </w:tc>
        <w:tc>
          <w:tcPr>
            <w:tcW w:type="dxa" w:w="24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系统判断隐藏在对话或后台</w:t>
            </w:r>
          </w:p>
        </w:tc>
        <w:tc>
          <w:tcPr>
            <w:tcW w:type="dxa" w:w="322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用桌面伙伴和工作台展示状态、进度、审批和失败</w:t>
            </w:r>
          </w:p>
        </w:tc>
        <w:tc>
          <w:tcPr>
            <w:tcW w:type="dxa" w:w="19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提高可解释性和纠错效率</w:t>
            </w:r>
          </w:p>
        </w:tc>
      </w:tr>
      <w:tr>
        <w:trPr>
          <w:cantSplit w:val="true"/>
        </w:trPr>
        <w:tc>
          <w:tcPr>
            <w:tcW w:type="dxa" w:w="178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成果中心协同</w:t>
            </w:r>
          </w:p>
        </w:tc>
        <w:tc>
          <w:tcPr>
            <w:tcW w:type="dxa" w:w="24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多个Agent输出零散文本</w:t>
            </w:r>
          </w:p>
        </w:tc>
        <w:tc>
          <w:tcPr>
            <w:tcW w:type="dxa" w:w="322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围绕版本化Artifact、任务图和Handoff协作</w:t>
            </w:r>
          </w:p>
        </w:tc>
        <w:tc>
          <w:tcPr>
            <w:tcW w:type="dxa" w:w="19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减少冲突，交付结果可追溯</w:t>
            </w:r>
          </w:p>
        </w:tc>
      </w:tr>
      <w:tr>
        <w:trPr>
          <w:cantSplit w:val="true"/>
        </w:trPr>
        <w:tc>
          <w:tcPr>
            <w:tcW w:type="dxa" w:w="178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本地优先安全边界</w:t>
            </w:r>
          </w:p>
        </w:tc>
        <w:tc>
          <w:tcPr>
            <w:tcW w:type="dxa" w:w="24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自动化工具权限粒度不一</w:t>
            </w:r>
          </w:p>
        </w:tc>
        <w:tc>
          <w:tcPr>
            <w:tcW w:type="dxa" w:w="322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统一默认拒绝、独立审批、审计和回退</w:t>
            </w:r>
          </w:p>
        </w:tc>
        <w:tc>
          <w:tcPr>
            <w:tcW w:type="dxa" w:w="19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在提升效率时保留用户控制权</w:t>
            </w:r>
          </w:p>
        </w:tc>
      </w:tr>
      <w:tr>
        <w:trPr>
          <w:cantSplit w:val="true"/>
        </w:trPr>
        <w:tc>
          <w:tcPr>
            <w:tcW w:type="dxa" w:w="178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过程经验可复用</w:t>
            </w:r>
          </w:p>
        </w:tc>
        <w:tc>
          <w:tcPr>
            <w:tcW w:type="dxa" w:w="24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重复任务仍需重新提示</w:t>
            </w:r>
          </w:p>
        </w:tc>
        <w:tc>
          <w:tcPr>
            <w:tcW w:type="dxa" w:w="322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把验证过的流程沉淀为技能、工作流和团队模板</w:t>
            </w:r>
          </w:p>
        </w:tc>
        <w:tc>
          <w:tcPr>
            <w:tcW w:type="dxa" w:w="19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形成可审计的使用飞轮</w:t>
            </w:r>
          </w:p>
        </w:tc>
      </w:tr>
    </w:tbl>
    <w:p>
      <w:pPr>
        <w:pStyle w:val="Heading2"/>
      </w:pPr>
      <w:r>
        <w:t>技术与工程优势</w:t>
      </w:r>
    </w:p>
    <w:p>
      <w:pPr>
        <w:numPr>
          <w:ilvl w:val="0"/>
          <w:numId w:val="10"/>
        </w:numPr>
      </w:pPr>
      <w:r>
        <w:rPr>
          <w:rFonts w:ascii="Calibri" w:hAnsi="Calibri" w:eastAsia="Microsoft YaHei"/>
          <w:color w:val="243447"/>
          <w:sz w:val="20"/>
        </w:rPr>
        <w:t>Rust 核心与契约化HTTP接口有利于构建稳定、可测试的本地执行底座。</w:t>
      </w:r>
    </w:p>
    <w:p>
      <w:pPr>
        <w:numPr>
          <w:ilvl w:val="0"/>
          <w:numId w:val="10"/>
        </w:numPr>
      </w:pPr>
      <w:r>
        <w:rPr>
          <w:rFonts w:ascii="Calibri" w:hAnsi="Calibri" w:eastAsia="Microsoft YaHei"/>
          <w:color w:val="243447"/>
          <w:sz w:val="20"/>
        </w:rPr>
        <w:t>模型网关支持本地或兼容云端模型，避免产品价值绑定单一模型厂商。</w:t>
      </w:r>
    </w:p>
    <w:p>
      <w:pPr>
        <w:numPr>
          <w:ilvl w:val="0"/>
          <w:numId w:val="10"/>
        </w:numPr>
      </w:pPr>
      <w:r>
        <w:rPr>
          <w:rFonts w:ascii="Calibri" w:hAnsi="Calibri" w:eastAsia="Microsoft YaHei"/>
          <w:color w:val="243447"/>
          <w:sz w:val="20"/>
        </w:rPr>
        <w:t>权限、审批、审计、diff与revert是主流程，不是发布后追加的外围功能。</w:t>
      </w:r>
    </w:p>
    <w:p>
      <w:pPr>
        <w:numPr>
          <w:ilvl w:val="0"/>
          <w:numId w:val="10"/>
        </w:numPr>
      </w:pPr>
      <w:r>
        <w:rPr>
          <w:rFonts w:ascii="Calibri" w:hAnsi="Calibri" w:eastAsia="Microsoft YaHei"/>
          <w:color w:val="243447"/>
          <w:sz w:val="20"/>
        </w:rPr>
        <w:t>WorkSwarm限制成员数量和单写边界，在获得协同收益的同时控制复杂度。</w:t>
      </w:r>
    </w:p>
    <w:p>
      <w:pPr>
        <w:numPr>
          <w:ilvl w:val="0"/>
          <w:numId w:val="10"/>
        </w:numPr>
      </w:pPr>
      <w:r>
        <w:rPr>
          <w:rFonts w:ascii="Calibri" w:hAnsi="Calibri" w:eastAsia="Microsoft YaHei"/>
          <w:color w:val="243447"/>
          <w:sz w:val="20"/>
        </w:rPr>
        <w:t>产品评测套件提供重复运行、成功率、调用量、耗时和失败分类，可持续量化迭代。</w:t>
      </w:r>
    </w:p>
    <w:p>
      <w:pPr>
        <w:pStyle w:val="Heading1"/>
        <w:pBdr>
          <w:bottom w:val="single" w:sz="7" w:space="4" w:color="D9E7F3"/>
        </w:pBdr>
      </w:pPr>
      <w:r>
        <w:t>市场分析</w:t>
      </w:r>
    </w:p>
    <w:p>
      <w:pPr>
        <w:pStyle w:val="Heading2"/>
      </w:pPr>
      <w:r>
        <w:t>市场空间判断</w:t>
      </w:r>
    </w:p>
    <w:p>
      <w:pPr>
        <w:keepLines w:val="0"/>
      </w:pPr>
      <w:r>
        <w:rPr>
          <w:rFonts w:ascii="Calibri" w:hAnsi="Calibri" w:eastAsia="Microsoft YaHei"/>
          <w:i w:val="0"/>
          <w:color w:val="243447"/>
          <w:sz w:val="21"/>
        </w:rPr>
        <w:t>OwO 所处市场不是单一输入法或单一聊天软件，而是个人生产力智能体、AI桌面助手和安全自动化的交叉市场。公开数据表明生成式人工智能用户已形成大规模基础，政策正在推动智能终端和智能体加速普及。项目的首要任务不是追求覆盖全部6.02亿用户，而是在学习、研究、文档和开发等高频电脑任务中找到愿意持续使用并付费的早期用户。</w:t>
      </w:r>
    </w:p>
    <w:tbl>
      <w:tblPr>
        <w:tblW w:type="dxa" w:w="9360"/>
        <w:tblLayout w:type="fixed"/>
        <w:tblLook w:firstColumn="1" w:firstRow="1" w:lastColumn="0" w:lastRow="0" w:noHBand="0" w:noVBand="1" w:val="04A0"/>
        <w:jc w:val="left"/>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1700"/>
        <w:gridCol w:w="3100"/>
        <w:gridCol w:w="2100"/>
        <w:gridCol w:w="2460"/>
      </w:tblGrid>
      <w:tr>
        <w:trPr>
          <w:tblHeader w:val="true"/>
          <w:cantSplit w:val="true"/>
        </w:trPr>
        <w:tc>
          <w:tcPr>
            <w:tcW w:type="dxa" w:w="17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口径</w:t>
            </w:r>
          </w:p>
        </w:tc>
        <w:tc>
          <w:tcPr>
            <w:tcW w:type="dxa" w:w="31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测算方法</w:t>
            </w:r>
          </w:p>
        </w:tc>
        <w:tc>
          <w:tcPr>
            <w:tcW w:type="dxa" w:w="21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规模表达</w:t>
            </w:r>
          </w:p>
        </w:tc>
        <w:tc>
          <w:tcPr>
            <w:tcW w:type="dxa" w:w="246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说明</w:t>
            </w:r>
          </w:p>
        </w:tc>
      </w:tr>
      <w:tr>
        <w:trPr>
          <w:cantSplit w:val="true"/>
        </w:trPr>
        <w:tc>
          <w:tcPr>
            <w:tcW w:type="dxa" w:w="17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潜在用户池</w:t>
            </w:r>
          </w:p>
        </w:tc>
        <w:tc>
          <w:tcPr>
            <w:tcW w:type="dxa" w:w="31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CNNIC 2025年末生成式AI用户</w:t>
            </w:r>
          </w:p>
        </w:tc>
        <w:tc>
          <w:tcPr>
            <w:tcW w:type="dxa" w:w="21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6.02亿人</w:t>
            </w:r>
          </w:p>
        </w:tc>
        <w:tc>
          <w:tcPr>
            <w:tcW w:type="dxa" w:w="24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外部公开统计，不等同于OwO可服务市场</w:t>
            </w:r>
          </w:p>
        </w:tc>
      </w:tr>
      <w:tr>
        <w:trPr>
          <w:cantSplit w:val="true"/>
        </w:trPr>
        <w:tc>
          <w:tcPr>
            <w:tcW w:type="dxa" w:w="17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可服务市场</w:t>
            </w:r>
          </w:p>
        </w:tc>
        <w:tc>
          <w:tcPr>
            <w:tcW w:type="dxa" w:w="31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假设其中8%至12%为高频PC学习办公用户</w:t>
            </w:r>
          </w:p>
        </w:tc>
        <w:tc>
          <w:tcPr>
            <w:tcW w:type="dxa" w:w="21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约4816万至7224万人</w:t>
            </w:r>
          </w:p>
        </w:tc>
        <w:tc>
          <w:tcPr>
            <w:tcW w:type="dxa" w:w="24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内部情景假设，需用调研校准</w:t>
            </w:r>
          </w:p>
        </w:tc>
      </w:tr>
      <w:tr>
        <w:trPr>
          <w:cantSplit w:val="true"/>
        </w:trPr>
        <w:tc>
          <w:tcPr>
            <w:tcW w:type="dxa" w:w="17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三年可获得用户</w:t>
            </w:r>
          </w:p>
        </w:tc>
        <w:tc>
          <w:tcPr>
            <w:tcW w:type="dxa" w:w="31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按校园、开发者社区和内容渠道逐步扩散</w:t>
            </w:r>
          </w:p>
        </w:tc>
        <w:tc>
          <w:tcPr>
            <w:tcW w:type="dxa" w:w="21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注册用户30万人</w:t>
            </w:r>
          </w:p>
        </w:tc>
        <w:tc>
          <w:tcPr>
            <w:tcW w:type="dxa" w:w="24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经营目标，不是现有用户规模</w:t>
            </w:r>
          </w:p>
        </w:tc>
      </w:tr>
      <w:tr>
        <w:trPr>
          <w:cantSplit w:val="true"/>
        </w:trPr>
        <w:tc>
          <w:tcPr>
            <w:tcW w:type="dxa" w:w="17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三年付费用户</w:t>
            </w:r>
          </w:p>
        </w:tc>
        <w:tc>
          <w:tcPr>
            <w:tcW w:type="dxa" w:w="31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按第三年12%付费转化情景</w:t>
            </w:r>
          </w:p>
        </w:tc>
        <w:tc>
          <w:tcPr>
            <w:tcW w:type="dxa" w:w="21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约3.6万人</w:t>
            </w:r>
          </w:p>
        </w:tc>
        <w:tc>
          <w:tcPr>
            <w:tcW w:type="dxa" w:w="24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与产品稳定性、渠道和定价高度相关</w:t>
            </w:r>
          </w:p>
        </w:tc>
      </w:tr>
    </w:tbl>
    <w:p>
      <w:pPr>
        <w:keepLines w:val="0"/>
      </w:pPr>
      <w:r>
        <w:rPr>
          <w:rFonts w:ascii="Calibri" w:hAnsi="Calibri" w:eastAsia="Microsoft YaHei"/>
          <w:i/>
          <w:color w:val="66758A"/>
          <w:sz w:val="18"/>
        </w:rPr>
        <w:t>上述市场测算使用自上而下的情景法，仅用于说明增长路径。正式商业验证应增加至少三类证据：目标用户访谈与任务日志、可用版本的留存和付费意愿测试、校园或团队试点的实际采购反馈。</w:t>
      </w:r>
    </w:p>
    <w:p>
      <w:pPr>
        <w:pStyle w:val="Heading2"/>
      </w:pPr>
      <w:r>
        <w:t>客户需求优先级</w:t>
      </w:r>
    </w:p>
    <w:tbl>
      <w:tblPr>
        <w:tblW w:type="dxa" w:w="9360"/>
        <w:tblLayout w:type="fixed"/>
        <w:tblLook w:firstColumn="1" w:firstRow="1" w:lastColumn="0" w:lastRow="0" w:noHBand="0" w:noVBand="1" w:val="04A0"/>
        <w:jc w:val="left"/>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2300"/>
        <w:gridCol w:w="1300"/>
        <w:gridCol w:w="1550"/>
        <w:gridCol w:w="1550"/>
        <w:gridCol w:w="2660"/>
      </w:tblGrid>
      <w:tr>
        <w:trPr>
          <w:tblHeader w:val="true"/>
          <w:cantSplit w:val="true"/>
        </w:trPr>
        <w:tc>
          <w:tcPr>
            <w:tcW w:type="dxa" w:w="23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细分市场</w:t>
            </w:r>
          </w:p>
        </w:tc>
        <w:tc>
          <w:tcPr>
            <w:tcW w:type="dxa" w:w="13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需求强度</w:t>
            </w:r>
          </w:p>
        </w:tc>
        <w:tc>
          <w:tcPr>
            <w:tcW w:type="dxa" w:w="155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付费可能</w:t>
            </w:r>
          </w:p>
        </w:tc>
        <w:tc>
          <w:tcPr>
            <w:tcW w:type="dxa" w:w="155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进入难度</w:t>
            </w:r>
          </w:p>
        </w:tc>
        <w:tc>
          <w:tcPr>
            <w:tcW w:type="dxa" w:w="266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进入顺序</w:t>
            </w:r>
          </w:p>
        </w:tc>
      </w:tr>
      <w:tr>
        <w:trPr>
          <w:cantSplit w:val="true"/>
        </w:trPr>
        <w:tc>
          <w:tcPr>
            <w:tcW w:type="dxa" w:w="23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高校学生与科研团队</w:t>
            </w:r>
          </w:p>
        </w:tc>
        <w:tc>
          <w:tcPr>
            <w:tcW w:type="dxa" w:w="130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7"/>
              </w:rPr>
              <w:t>高</w:t>
            </w:r>
          </w:p>
        </w:tc>
        <w:tc>
          <w:tcPr>
            <w:tcW w:type="dxa" w:w="155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7"/>
              </w:rPr>
              <w:t>中</w:t>
            </w:r>
          </w:p>
        </w:tc>
        <w:tc>
          <w:tcPr>
            <w:tcW w:type="dxa" w:w="155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7"/>
              </w:rPr>
              <w:t>低至中</w:t>
            </w:r>
          </w:p>
        </w:tc>
        <w:tc>
          <w:tcPr>
            <w:tcW w:type="dxa" w:w="266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7"/>
              </w:rPr>
              <w:t>第一阶段</w:t>
            </w:r>
          </w:p>
        </w:tc>
      </w:tr>
      <w:tr>
        <w:trPr>
          <w:cantSplit w:val="true"/>
        </w:trPr>
        <w:tc>
          <w:tcPr>
            <w:tcW w:type="dxa" w:w="23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独立开发者与小型技术团队</w:t>
            </w:r>
          </w:p>
        </w:tc>
        <w:tc>
          <w:tcPr>
            <w:tcW w:type="dxa" w:w="130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7"/>
              </w:rPr>
              <w:t>高</w:t>
            </w:r>
          </w:p>
        </w:tc>
        <w:tc>
          <w:tcPr>
            <w:tcW w:type="dxa" w:w="155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7"/>
              </w:rPr>
              <w:t>中至高</w:t>
            </w:r>
          </w:p>
        </w:tc>
        <w:tc>
          <w:tcPr>
            <w:tcW w:type="dxa" w:w="155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7"/>
              </w:rPr>
              <w:t>中</w:t>
            </w:r>
          </w:p>
        </w:tc>
        <w:tc>
          <w:tcPr>
            <w:tcW w:type="dxa" w:w="266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7"/>
              </w:rPr>
              <w:t>第一阶段</w:t>
            </w:r>
          </w:p>
        </w:tc>
      </w:tr>
      <w:tr>
        <w:trPr>
          <w:cantSplit w:val="true"/>
        </w:trPr>
        <w:tc>
          <w:tcPr>
            <w:tcW w:type="dxa" w:w="23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内容与知识工作者</w:t>
            </w:r>
          </w:p>
        </w:tc>
        <w:tc>
          <w:tcPr>
            <w:tcW w:type="dxa" w:w="130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7"/>
              </w:rPr>
              <w:t>中至高</w:t>
            </w:r>
          </w:p>
        </w:tc>
        <w:tc>
          <w:tcPr>
            <w:tcW w:type="dxa" w:w="155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7"/>
              </w:rPr>
              <w:t>中</w:t>
            </w:r>
          </w:p>
        </w:tc>
        <w:tc>
          <w:tcPr>
            <w:tcW w:type="dxa" w:w="155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7"/>
              </w:rPr>
              <w:t>中</w:t>
            </w:r>
          </w:p>
        </w:tc>
        <w:tc>
          <w:tcPr>
            <w:tcW w:type="dxa" w:w="266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7"/>
              </w:rPr>
              <w:t>第二阶段</w:t>
            </w:r>
          </w:p>
        </w:tc>
      </w:tr>
      <w:tr>
        <w:trPr>
          <w:cantSplit w:val="true"/>
        </w:trPr>
        <w:tc>
          <w:tcPr>
            <w:tcW w:type="dxa" w:w="23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学校与实验室私有部署</w:t>
            </w:r>
          </w:p>
        </w:tc>
        <w:tc>
          <w:tcPr>
            <w:tcW w:type="dxa" w:w="130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7"/>
              </w:rPr>
              <w:t>高</w:t>
            </w:r>
          </w:p>
        </w:tc>
        <w:tc>
          <w:tcPr>
            <w:tcW w:type="dxa" w:w="155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7"/>
              </w:rPr>
              <w:t>高</w:t>
            </w:r>
          </w:p>
        </w:tc>
        <w:tc>
          <w:tcPr>
            <w:tcW w:type="dxa" w:w="155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7"/>
              </w:rPr>
              <w:t>高</w:t>
            </w:r>
          </w:p>
        </w:tc>
        <w:tc>
          <w:tcPr>
            <w:tcW w:type="dxa" w:w="266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7"/>
              </w:rPr>
              <w:t>第二阶段</w:t>
            </w:r>
          </w:p>
        </w:tc>
      </w:tr>
      <w:tr>
        <w:trPr>
          <w:cantSplit w:val="true"/>
        </w:trPr>
        <w:tc>
          <w:tcPr>
            <w:tcW w:type="dxa" w:w="23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普通大众桌面伙伴</w:t>
            </w:r>
          </w:p>
        </w:tc>
        <w:tc>
          <w:tcPr>
            <w:tcW w:type="dxa" w:w="130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7"/>
              </w:rPr>
              <w:t>中</w:t>
            </w:r>
          </w:p>
        </w:tc>
        <w:tc>
          <w:tcPr>
            <w:tcW w:type="dxa" w:w="155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7"/>
              </w:rPr>
              <w:t>低至中</w:t>
            </w:r>
          </w:p>
        </w:tc>
        <w:tc>
          <w:tcPr>
            <w:tcW w:type="dxa" w:w="155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7"/>
              </w:rPr>
              <w:t>高</w:t>
            </w:r>
          </w:p>
        </w:tc>
        <w:tc>
          <w:tcPr>
            <w:tcW w:type="dxa" w:w="266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7"/>
              </w:rPr>
              <w:t>第三阶段</w:t>
            </w:r>
          </w:p>
        </w:tc>
      </w:tr>
    </w:tbl>
    <w:p>
      <w:pPr>
        <w:pStyle w:val="Heading1"/>
        <w:pBdr>
          <w:bottom w:val="single" w:sz="7" w:space="4" w:color="D9E7F3"/>
        </w:pBdr>
      </w:pPr>
      <w:r>
        <w:t>竞争分析</w:t>
      </w:r>
    </w:p>
    <w:p>
      <w:pPr>
        <w:pStyle w:val="Heading2"/>
      </w:pPr>
      <w:r>
        <w:t>竞争格局</w:t>
      </w:r>
    </w:p>
    <w:p>
      <w:pPr>
        <w:keepLines w:val="0"/>
      </w:pPr>
      <w:r>
        <w:rPr>
          <w:rFonts w:ascii="Calibri" w:hAnsi="Calibri" w:eastAsia="Microsoft YaHei"/>
          <w:i w:val="0"/>
          <w:color w:val="243447"/>
          <w:sz w:val="21"/>
        </w:rPr>
        <w:t>竞争对手应按产品类别而非单一品牌理解。通用AI助手在模型能力和生态方面强，操作系统助手拥有系统入口，AI输入法具有低摩擦表达优势，RPA在固定流程上稳定，开源Agent框架便于技术团队定制。OwO 的差异化不在于每一项能力都超过这些成熟产品，而在于将本地优先、多智能体成果协作、权限审批和情境可视化组合成一条适合个人生产力的完整链路。</w:t>
      </w:r>
    </w:p>
    <w:tbl>
      <w:tblPr>
        <w:tblW w:type="dxa" w:w="9360"/>
        <w:tblLayout w:type="fixed"/>
        <w:tblLook w:firstColumn="1" w:firstRow="1" w:lastColumn="0" w:lastRow="0" w:noHBand="0" w:noVBand="1" w:val="04A0"/>
        <w:jc w:val="left"/>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1500"/>
        <w:gridCol w:w="2150"/>
        <w:gridCol w:w="1800"/>
        <w:gridCol w:w="2250"/>
        <w:gridCol w:w="1660"/>
      </w:tblGrid>
      <w:tr>
        <w:trPr>
          <w:tblHeader w:val="true"/>
          <w:cantSplit w:val="true"/>
        </w:trPr>
        <w:tc>
          <w:tcPr>
            <w:tcW w:type="dxa" w:w="15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类别</w:t>
            </w:r>
          </w:p>
        </w:tc>
        <w:tc>
          <w:tcPr>
            <w:tcW w:type="dxa" w:w="215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代表能力</w:t>
            </w:r>
          </w:p>
        </w:tc>
        <w:tc>
          <w:tcPr>
            <w:tcW w:type="dxa" w:w="18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优势</w:t>
            </w:r>
          </w:p>
        </w:tc>
        <w:tc>
          <w:tcPr>
            <w:tcW w:type="dxa" w:w="225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项目组观察到的空白</w:t>
            </w:r>
          </w:p>
        </w:tc>
        <w:tc>
          <w:tcPr>
            <w:tcW w:type="dxa" w:w="166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OwO应对</w:t>
            </w:r>
          </w:p>
        </w:tc>
      </w:tr>
      <w:tr>
        <w:trPr>
          <w:cantSplit w:val="true"/>
        </w:trPr>
        <w:tc>
          <w:tcPr>
            <w:tcW w:type="dxa" w:w="1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通用AI桌面助手</w:t>
            </w:r>
          </w:p>
        </w:tc>
        <w:tc>
          <w:tcPr>
            <w:tcW w:type="dxa" w:w="21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ChatGPT桌面及应用连接</w:t>
            </w:r>
          </w:p>
        </w:tc>
        <w:tc>
          <w:tcPr>
            <w:tcW w:type="dxa" w:w="18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模型与服务生态强</w:t>
            </w:r>
          </w:p>
        </w:tc>
        <w:tc>
          <w:tcPr>
            <w:tcW w:type="dxa" w:w="22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本地工作区深度、可替换模型与审计要求因产品而异</w:t>
            </w:r>
          </w:p>
        </w:tc>
        <w:tc>
          <w:tcPr>
            <w:tcW w:type="dxa" w:w="16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聚焦本地项目、受控工具与成果交付</w:t>
            </w:r>
          </w:p>
        </w:tc>
      </w:tr>
      <w:tr>
        <w:trPr>
          <w:cantSplit w:val="true"/>
        </w:trPr>
        <w:tc>
          <w:tcPr>
            <w:tcW w:type="dxa" w:w="1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操作系统助手</w:t>
            </w:r>
          </w:p>
        </w:tc>
        <w:tc>
          <w:tcPr>
            <w:tcW w:type="dxa" w:w="21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Microsoft Copilot Vision、文件搜索、截图与设置引导</w:t>
            </w:r>
          </w:p>
        </w:tc>
        <w:tc>
          <w:tcPr>
            <w:tcW w:type="dxa" w:w="18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系统入口和应用生态强</w:t>
            </w:r>
          </w:p>
        </w:tc>
        <w:tc>
          <w:tcPr>
            <w:tcW w:type="dxa" w:w="22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个人多Agent成果协作不是唯一主线</w:t>
            </w:r>
          </w:p>
        </w:tc>
        <w:tc>
          <w:tcPr>
            <w:tcW w:type="dxa" w:w="16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以WorkSwarm和版本化Artifact形成差异</w:t>
            </w:r>
          </w:p>
        </w:tc>
      </w:tr>
      <w:tr>
        <w:trPr>
          <w:cantSplit w:val="true"/>
        </w:trPr>
        <w:tc>
          <w:tcPr>
            <w:tcW w:type="dxa" w:w="1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AI输入与写作工具</w:t>
            </w:r>
          </w:p>
        </w:tc>
        <w:tc>
          <w:tcPr>
            <w:tcW w:type="dxa" w:w="21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补全、改写、翻译、快捷回复</w:t>
            </w:r>
          </w:p>
        </w:tc>
        <w:tc>
          <w:tcPr>
            <w:tcW w:type="dxa" w:w="18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使用频率高、学习成本低</w:t>
            </w:r>
          </w:p>
        </w:tc>
        <w:tc>
          <w:tcPr>
            <w:tcW w:type="dxa" w:w="22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通常不承担复杂任务编排和执行</w:t>
            </w:r>
          </w:p>
        </w:tc>
        <w:tc>
          <w:tcPr>
            <w:tcW w:type="dxa" w:w="16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作为未来交互入口连接长任务工作台</w:t>
            </w:r>
          </w:p>
        </w:tc>
      </w:tr>
      <w:tr>
        <w:trPr>
          <w:cantSplit w:val="true"/>
        </w:trPr>
        <w:tc>
          <w:tcPr>
            <w:tcW w:type="dxa" w:w="1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RPA与自动化</w:t>
            </w:r>
          </w:p>
        </w:tc>
        <w:tc>
          <w:tcPr>
            <w:tcW w:type="dxa" w:w="21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固定流程和企业系统自动化</w:t>
            </w:r>
          </w:p>
        </w:tc>
        <w:tc>
          <w:tcPr>
            <w:tcW w:type="dxa" w:w="18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规则流程稳定、企业价值明确</w:t>
            </w:r>
          </w:p>
        </w:tc>
        <w:tc>
          <w:tcPr>
            <w:tcW w:type="dxa" w:w="22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配置成本较高，对开放环境适应有限</w:t>
            </w:r>
          </w:p>
        </w:tc>
        <w:tc>
          <w:tcPr>
            <w:tcW w:type="dxa" w:w="16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结合自然语言规划、确定性工具与用户审批</w:t>
            </w:r>
          </w:p>
        </w:tc>
      </w:tr>
      <w:tr>
        <w:trPr>
          <w:cantSplit w:val="true"/>
        </w:trPr>
        <w:tc>
          <w:tcPr>
            <w:tcW w:type="dxa" w:w="1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开源Agent框架</w:t>
            </w:r>
          </w:p>
        </w:tc>
        <w:tc>
          <w:tcPr>
            <w:tcW w:type="dxa" w:w="21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工具调用、多Agent编排、代码扩展</w:t>
            </w:r>
          </w:p>
        </w:tc>
        <w:tc>
          <w:tcPr>
            <w:tcW w:type="dxa" w:w="18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开发自由度高</w:t>
            </w:r>
          </w:p>
        </w:tc>
        <w:tc>
          <w:tcPr>
            <w:tcW w:type="dxa" w:w="22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普通用户产品化、安装与安全治理门槛高</w:t>
            </w:r>
          </w:p>
        </w:tc>
        <w:tc>
          <w:tcPr>
            <w:tcW w:type="dxa" w:w="16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提供桌面产品壳、评测、权限与恢复体系</w:t>
            </w:r>
          </w:p>
        </w:tc>
      </w:tr>
    </w:tbl>
    <w:p>
      <w:pPr>
        <w:keepLines w:val="0"/>
      </w:pPr>
      <w:r>
        <w:rPr>
          <w:rFonts w:ascii="Calibri" w:hAnsi="Calibri" w:eastAsia="Microsoft YaHei"/>
          <w:i/>
          <w:color w:val="66758A"/>
          <w:sz w:val="17"/>
        </w:rPr>
        <w:t>注：竞品信息依据各产品官方公开页面整理，空白与应对为项目组基于公开功能的比较判断，不代表对竞争产品的完整测评。</w:t>
      </w:r>
    </w:p>
    <w:p>
      <w:pPr>
        <w:pStyle w:val="Heading2"/>
      </w:pPr>
      <w:r>
        <w:t>SWOT 分析</w:t>
      </w:r>
    </w:p>
    <w:tbl>
      <w:tblPr>
        <w:tblW w:type="dxa" w:w="9360"/>
        <w:tblLayout w:type="fixed"/>
        <w:tblLook w:firstColumn="1" w:firstRow="1" w:lastColumn="0" w:lastRow="0" w:noHBand="0" w:noVBand="1" w:val="04A0"/>
        <w:jc w:val="left"/>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2340"/>
        <w:gridCol w:w="2340"/>
        <w:gridCol w:w="2340"/>
        <w:gridCol w:w="2340"/>
      </w:tblGrid>
      <w:tr>
        <w:trPr>
          <w:tblHeader w:val="true"/>
          <w:cantSplit w:val="true"/>
        </w:trPr>
        <w:tc>
          <w:tcPr>
            <w:tcW w:type="dxa" w:w="2340"/>
            <w:tcMar>
              <w:top w:w="90" w:type="dxa"/>
              <w:start w:w="120" w:type="dxa"/>
              <w:bottom w:w="90" w:type="dxa"/>
              <w:end w:w="120" w:type="dxa"/>
            </w:tcMar>
            <w:vAlign w:val="center"/>
            <w:shd w:fill="E9F1F8"/>
          </w:tcPr>
          <w:p>
            <w:pPr>
              <w:spacing w:after="0"/>
              <w:jc w:val="center"/>
            </w:pPr>
            <w:r>
              <w:rPr>
                <w:rFonts w:ascii="Calibri" w:hAnsi="Calibri" w:eastAsia="Microsoft YaHei"/>
                <w:b/>
                <w:color w:val="12233F"/>
                <w:sz w:val="18"/>
              </w:rPr>
              <w:t>优势 Strengths</w:t>
            </w:r>
          </w:p>
        </w:tc>
        <w:tc>
          <w:tcPr>
            <w:tcW w:type="dxa" w:w="2340"/>
            <w:tcMar>
              <w:top w:w="90" w:type="dxa"/>
              <w:start w:w="120" w:type="dxa"/>
              <w:bottom w:w="90" w:type="dxa"/>
              <w:end w:w="120" w:type="dxa"/>
            </w:tcMar>
            <w:vAlign w:val="center"/>
            <w:shd w:fill="E9F1F8"/>
          </w:tcPr>
          <w:p>
            <w:pPr>
              <w:spacing w:after="0"/>
              <w:jc w:val="center"/>
            </w:pPr>
            <w:r>
              <w:rPr>
                <w:rFonts w:ascii="Calibri" w:hAnsi="Calibri" w:eastAsia="Microsoft YaHei"/>
                <w:b/>
                <w:color w:val="12233F"/>
                <w:sz w:val="18"/>
              </w:rPr>
              <w:t>劣势 Weaknesses</w:t>
            </w:r>
          </w:p>
        </w:tc>
        <w:tc>
          <w:tcPr>
            <w:tcW w:type="dxa" w:w="2340"/>
            <w:tcMar>
              <w:top w:w="90" w:type="dxa"/>
              <w:start w:w="120" w:type="dxa"/>
              <w:bottom w:w="90" w:type="dxa"/>
              <w:end w:w="120" w:type="dxa"/>
            </w:tcMar>
            <w:vAlign w:val="center"/>
            <w:shd w:fill="E9F1F8"/>
          </w:tcPr>
          <w:p>
            <w:pPr>
              <w:spacing w:after="0"/>
              <w:jc w:val="center"/>
            </w:pPr>
            <w:r>
              <w:rPr>
                <w:rFonts w:ascii="Calibri" w:hAnsi="Calibri" w:eastAsia="Microsoft YaHei"/>
                <w:b/>
                <w:color w:val="12233F"/>
                <w:sz w:val="18"/>
              </w:rPr>
              <w:t>机会 Opportunities</w:t>
            </w:r>
          </w:p>
        </w:tc>
        <w:tc>
          <w:tcPr>
            <w:tcW w:type="dxa" w:w="2340"/>
            <w:tcMar>
              <w:top w:w="90" w:type="dxa"/>
              <w:start w:w="120" w:type="dxa"/>
              <w:bottom w:w="90" w:type="dxa"/>
              <w:end w:w="120" w:type="dxa"/>
            </w:tcMar>
            <w:vAlign w:val="center"/>
            <w:shd w:fill="E9F1F8"/>
          </w:tcPr>
          <w:p>
            <w:pPr>
              <w:spacing w:after="0"/>
              <w:jc w:val="center"/>
            </w:pPr>
            <w:r>
              <w:rPr>
                <w:rFonts w:ascii="Calibri" w:hAnsi="Calibri" w:eastAsia="Microsoft YaHei"/>
                <w:b/>
                <w:color w:val="12233F"/>
                <w:sz w:val="18"/>
              </w:rPr>
              <w:t>威胁 Threats</w:t>
            </w:r>
          </w:p>
        </w:tc>
      </w:tr>
      <w:tr>
        <w:trPr>
          <w:cantSplit w:val="true"/>
        </w:trPr>
        <w:tc>
          <w:tcPr>
            <w:tcW w:type="dxa" w:w="234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本地优先与权限审计进入主架构；已有核心代码和量化评测；WorkSwarm围绕成果协作；模型可替换。</w:t>
            </w:r>
          </w:p>
        </w:tc>
        <w:tc>
          <w:tcPr>
            <w:tcW w:type="dxa" w:w="234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统一产品形态尚未完全落地；输入法和桌宠仍属规划；桌面兼容矩阵与真实用户数据不足；团队和商业资源待补齐。</w:t>
            </w:r>
          </w:p>
        </w:tc>
        <w:tc>
          <w:tcPr>
            <w:tcW w:type="dxa" w:w="234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生成式AI用户快速增长；政策推动智能体和AI终端；高校学习办公场景集中；用户对隐私与可控自动化需求上升。</w:t>
            </w:r>
          </w:p>
        </w:tc>
        <w:tc>
          <w:tcPr>
            <w:tcW w:type="dxa" w:w="234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大型平台快速整合系统入口；基础模型能力同质化；隐私安全事故影响信任；推理成本和接口政策波动。</w:t>
            </w:r>
          </w:p>
        </w:tc>
      </w:tr>
    </w:tbl>
    <w:p>
      <w:pPr>
        <w:pStyle w:val="Heading1"/>
        <w:pBdr>
          <w:bottom w:val="single" w:sz="7" w:space="4" w:color="D9E7F3"/>
        </w:pBdr>
      </w:pPr>
      <w:r>
        <w:t>商业模式</w:t>
      </w:r>
    </w:p>
    <w:p>
      <w:pPr>
        <w:pStyle w:val="Heading2"/>
      </w:pPr>
      <w:r>
        <w:t>价值交换与收入来源</w:t>
      </w:r>
    </w:p>
    <w:tbl>
      <w:tblPr>
        <w:tblW w:type="dxa" w:w="9360"/>
        <w:tblLayout w:type="fixed"/>
        <w:tblLook w:firstColumn="1" w:firstRow="1" w:lastColumn="0" w:lastRow="0" w:noHBand="0" w:noVBand="1" w:val="04A0"/>
        <w:jc w:val="left"/>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1550"/>
        <w:gridCol w:w="2100"/>
        <w:gridCol w:w="3000"/>
        <w:gridCol w:w="1500"/>
        <w:gridCol w:w="1210"/>
      </w:tblGrid>
      <w:tr>
        <w:trPr>
          <w:tblHeader w:val="true"/>
          <w:cantSplit w:val="true"/>
        </w:trPr>
        <w:tc>
          <w:tcPr>
            <w:tcW w:type="dxa" w:w="155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产品形态</w:t>
            </w:r>
          </w:p>
        </w:tc>
        <w:tc>
          <w:tcPr>
            <w:tcW w:type="dxa" w:w="21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目标客户</w:t>
            </w:r>
          </w:p>
        </w:tc>
        <w:tc>
          <w:tcPr>
            <w:tcW w:type="dxa" w:w="30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核心权益</w:t>
            </w:r>
          </w:p>
        </w:tc>
        <w:tc>
          <w:tcPr>
            <w:tcW w:type="dxa" w:w="15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建议定价</w:t>
            </w:r>
          </w:p>
        </w:tc>
        <w:tc>
          <w:tcPr>
            <w:tcW w:type="dxa" w:w="121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收入方式</w:t>
            </w:r>
          </w:p>
        </w:tc>
      </w:tr>
      <w:tr>
        <w:trPr>
          <w:cantSplit w:val="true"/>
        </w:trPr>
        <w:tc>
          <w:tcPr>
            <w:tcW w:type="dxa" w:w="15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个人免费版</w:t>
            </w:r>
          </w:p>
        </w:tc>
        <w:tc>
          <w:tcPr>
            <w:tcW w:type="dxa" w:w="21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学生与轻度用户</w:t>
            </w:r>
          </w:p>
        </w:tc>
        <w:tc>
          <w:tcPr>
            <w:tcW w:type="dxa" w:w="30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基础对话、少量本地任务、核心安全功能</w:t>
            </w:r>
          </w:p>
        </w:tc>
        <w:tc>
          <w:tcPr>
            <w:tcW w:type="dxa" w:w="1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免费</w:t>
            </w:r>
          </w:p>
        </w:tc>
        <w:tc>
          <w:tcPr>
            <w:tcW w:type="dxa" w:w="121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获客与口碑</w:t>
            </w:r>
          </w:p>
        </w:tc>
      </w:tr>
      <w:tr>
        <w:trPr>
          <w:cantSplit w:val="true"/>
        </w:trPr>
        <w:tc>
          <w:tcPr>
            <w:tcW w:type="dxa" w:w="15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个人专业版</w:t>
            </w:r>
          </w:p>
        </w:tc>
        <w:tc>
          <w:tcPr>
            <w:tcW w:type="dxa" w:w="21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高频知识工作者与开发者</w:t>
            </w:r>
          </w:p>
        </w:tc>
        <w:tc>
          <w:tcPr>
            <w:tcW w:type="dxa" w:w="30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更高任务额度、WorkSwarm、专业技能包、优先支持</w:t>
            </w:r>
          </w:p>
        </w:tc>
        <w:tc>
          <w:tcPr>
            <w:tcW w:type="dxa" w:w="1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19至39元/月</w:t>
            </w:r>
          </w:p>
        </w:tc>
        <w:tc>
          <w:tcPr>
            <w:tcW w:type="dxa" w:w="121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订阅收入</w:t>
            </w:r>
          </w:p>
        </w:tc>
      </w:tr>
      <w:tr>
        <w:trPr>
          <w:cantSplit w:val="true"/>
        </w:trPr>
        <w:tc>
          <w:tcPr>
            <w:tcW w:type="dxa" w:w="15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校园与团队版</w:t>
            </w:r>
          </w:p>
        </w:tc>
        <w:tc>
          <w:tcPr>
            <w:tcW w:type="dxa" w:w="21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实验室、课程团队、小型组织</w:t>
            </w:r>
          </w:p>
        </w:tc>
        <w:tc>
          <w:tcPr>
            <w:tcW w:type="dxa" w:w="30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团队空间、管理员策略、统一部署和使用报告</w:t>
            </w:r>
          </w:p>
        </w:tc>
        <w:tc>
          <w:tcPr>
            <w:tcW w:type="dxa" w:w="1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按席位或项目报价</w:t>
            </w:r>
          </w:p>
        </w:tc>
        <w:tc>
          <w:tcPr>
            <w:tcW w:type="dxa" w:w="121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许可与服务</w:t>
            </w:r>
          </w:p>
        </w:tc>
      </w:tr>
      <w:tr>
        <w:trPr>
          <w:cantSplit w:val="true"/>
        </w:trPr>
        <w:tc>
          <w:tcPr>
            <w:tcW w:type="dxa" w:w="15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私有部署版</w:t>
            </w:r>
          </w:p>
        </w:tc>
        <w:tc>
          <w:tcPr>
            <w:tcW w:type="dxa" w:w="21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有数据合规要求的机构</w:t>
            </w:r>
          </w:p>
        </w:tc>
        <w:tc>
          <w:tcPr>
            <w:tcW w:type="dxa" w:w="30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本地模型、内网部署、定制集成和审计</w:t>
            </w:r>
          </w:p>
        </w:tc>
        <w:tc>
          <w:tcPr>
            <w:tcW w:type="dxa" w:w="1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项目制报价</w:t>
            </w:r>
          </w:p>
        </w:tc>
        <w:tc>
          <w:tcPr>
            <w:tcW w:type="dxa" w:w="121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实施与维护</w:t>
            </w:r>
          </w:p>
        </w:tc>
      </w:tr>
      <w:tr>
        <w:trPr>
          <w:cantSplit w:val="true"/>
        </w:trPr>
        <w:tc>
          <w:tcPr>
            <w:tcW w:type="dxa" w:w="15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技能与模板生态</w:t>
            </w:r>
          </w:p>
        </w:tc>
        <w:tc>
          <w:tcPr>
            <w:tcW w:type="dxa" w:w="21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开发者、教师、服务商</w:t>
            </w:r>
          </w:p>
        </w:tc>
        <w:tc>
          <w:tcPr>
            <w:tcW w:type="dxa" w:w="30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技能包、工作流和团队模板分发</w:t>
            </w:r>
          </w:p>
        </w:tc>
        <w:tc>
          <w:tcPr>
            <w:tcW w:type="dxa" w:w="1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交易分成</w:t>
            </w:r>
          </w:p>
        </w:tc>
        <w:tc>
          <w:tcPr>
            <w:tcW w:type="dxa" w:w="121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平台服务</w:t>
            </w:r>
          </w:p>
        </w:tc>
      </w:tr>
    </w:tbl>
    <w:p>
      <w:pPr>
        <w:pStyle w:val="Heading2"/>
      </w:pPr>
      <w:r>
        <w:t>成本结构</w:t>
      </w:r>
    </w:p>
    <w:p>
      <w:pPr>
        <w:numPr>
          <w:ilvl w:val="0"/>
          <w:numId w:val="10"/>
        </w:numPr>
      </w:pPr>
      <w:r>
        <w:rPr>
          <w:rFonts w:ascii="Calibri" w:hAnsi="Calibri" w:eastAsia="Microsoft YaHei"/>
          <w:color w:val="243447"/>
          <w:sz w:val="20"/>
        </w:rPr>
        <w:t>研发成本：核心引擎、桌面端、兼容性、安全、测试和发布工程。</w:t>
      </w:r>
    </w:p>
    <w:p>
      <w:pPr>
        <w:numPr>
          <w:ilvl w:val="0"/>
          <w:numId w:val="10"/>
        </w:numPr>
      </w:pPr>
      <w:r>
        <w:rPr>
          <w:rFonts w:ascii="Calibri" w:hAnsi="Calibri" w:eastAsia="Microsoft YaHei"/>
          <w:color w:val="243447"/>
          <w:sz w:val="20"/>
        </w:rPr>
        <w:t>模型与基础设施：云端推理、下载与更新服务、遥测和错误诊断；本地模型可降低部分边际成本。</w:t>
      </w:r>
    </w:p>
    <w:p>
      <w:pPr>
        <w:numPr>
          <w:ilvl w:val="0"/>
          <w:numId w:val="10"/>
        </w:numPr>
      </w:pPr>
      <w:r>
        <w:rPr>
          <w:rFonts w:ascii="Calibri" w:hAnsi="Calibri" w:eastAsia="Microsoft YaHei"/>
          <w:color w:val="243447"/>
          <w:sz w:val="20"/>
        </w:rPr>
        <w:t>市场与服务：校园试点、开发者社区、内容运营、用户支持和机构交付。</w:t>
      </w:r>
    </w:p>
    <w:p>
      <w:pPr>
        <w:numPr>
          <w:ilvl w:val="0"/>
          <w:numId w:val="10"/>
        </w:numPr>
      </w:pPr>
      <w:r>
        <w:rPr>
          <w:rFonts w:ascii="Calibri" w:hAnsi="Calibri" w:eastAsia="Microsoft YaHei"/>
          <w:color w:val="243447"/>
          <w:sz w:val="20"/>
        </w:rPr>
        <w:t>合规与知识产权：隐私评审、软件著作权、商标、第三方许可证与安全测试。</w:t>
      </w:r>
    </w:p>
    <w:p>
      <w:pPr>
        <w:pStyle w:val="Heading2"/>
      </w:pPr>
      <w:r>
        <w:t>商业验证顺序</w:t>
      </w:r>
    </w:p>
    <w:p>
      <w:pPr>
        <w:numPr>
          <w:ilvl w:val="0"/>
          <w:numId w:val="13"/>
        </w:numPr>
      </w:pPr>
      <w:r>
        <w:rPr>
          <w:rFonts w:ascii="Calibri" w:hAnsi="Calibri" w:eastAsia="Microsoft YaHei"/>
          <w:color w:val="243447"/>
          <w:sz w:val="20"/>
        </w:rPr>
        <w:t>先验证任务价值：目标用户是否愿意持续把真实资料、代码或文档任务交给系统。</w:t>
      </w:r>
    </w:p>
    <w:p>
      <w:pPr>
        <w:numPr>
          <w:ilvl w:val="0"/>
          <w:numId w:val="13"/>
        </w:numPr>
      </w:pPr>
      <w:r>
        <w:rPr>
          <w:rFonts w:ascii="Calibri" w:hAnsi="Calibri" w:eastAsia="Microsoft YaHei"/>
          <w:color w:val="243447"/>
          <w:sz w:val="20"/>
        </w:rPr>
        <w:t>再验证留存：首周、四周留存和每周完成任务数是否达到预设门槛。</w:t>
      </w:r>
    </w:p>
    <w:p>
      <w:pPr>
        <w:numPr>
          <w:ilvl w:val="0"/>
          <w:numId w:val="13"/>
        </w:numPr>
      </w:pPr>
      <w:r>
        <w:rPr>
          <w:rFonts w:ascii="Calibri" w:hAnsi="Calibri" w:eastAsia="Microsoft YaHei"/>
          <w:color w:val="243447"/>
          <w:sz w:val="20"/>
        </w:rPr>
        <w:t>再验证付费：专业额度、团队协作、私有部署和专用技能中哪一项产生真实付费。</w:t>
      </w:r>
    </w:p>
    <w:p>
      <w:pPr>
        <w:numPr>
          <w:ilvl w:val="0"/>
          <w:numId w:val="13"/>
        </w:numPr>
      </w:pPr>
      <w:r>
        <w:rPr>
          <w:rFonts w:ascii="Calibri" w:hAnsi="Calibri" w:eastAsia="Microsoft YaHei"/>
          <w:color w:val="243447"/>
          <w:sz w:val="20"/>
        </w:rPr>
        <w:t>最后扩展生态：只有在核心任务闭环稳定后，才开放技能市场和第三方开发者收入。</w:t>
      </w:r>
    </w:p>
    <w:p>
      <w:pPr>
        <w:pStyle w:val="Heading1"/>
        <w:pBdr>
          <w:bottom w:val="single" w:sz="7" w:space="4" w:color="D9E7F3"/>
        </w:pBdr>
      </w:pPr>
      <w:r>
        <w:t>市场进入与营销策略</w:t>
      </w:r>
    </w:p>
    <w:p>
      <w:pPr>
        <w:pStyle w:val="Heading2"/>
      </w:pPr>
      <w:r>
        <w:t>进入路径</w:t>
      </w:r>
    </w:p>
    <w:tbl>
      <w:tblPr>
        <w:tblW w:type="dxa" w:w="9360"/>
        <w:tblLayout w:type="fixed"/>
        <w:tblLook w:firstColumn="1" w:firstRow="1" w:lastColumn="0" w:lastRow="0" w:noHBand="0" w:noVBand="1" w:val="04A0"/>
        <w:jc w:val="left"/>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1600"/>
        <w:gridCol w:w="2000"/>
        <w:gridCol w:w="3600"/>
        <w:gridCol w:w="2160"/>
      </w:tblGrid>
      <w:tr>
        <w:trPr>
          <w:tblHeader w:val="true"/>
          <w:cantSplit w:val="true"/>
        </w:trPr>
        <w:tc>
          <w:tcPr>
            <w:tcW w:type="dxa" w:w="16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阶段</w:t>
            </w:r>
          </w:p>
        </w:tc>
        <w:tc>
          <w:tcPr>
            <w:tcW w:type="dxa" w:w="20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目标</w:t>
            </w:r>
          </w:p>
        </w:tc>
        <w:tc>
          <w:tcPr>
            <w:tcW w:type="dxa" w:w="36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核心动作</w:t>
            </w:r>
          </w:p>
        </w:tc>
        <w:tc>
          <w:tcPr>
            <w:tcW w:type="dxa" w:w="216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衡量指标</w:t>
            </w:r>
          </w:p>
        </w:tc>
      </w:tr>
      <w:tr>
        <w:trPr>
          <w:cantSplit w:val="true"/>
        </w:trPr>
        <w:tc>
          <w:tcPr>
            <w:tcW w:type="dxa" w:w="1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种子验证</w:t>
            </w:r>
          </w:p>
        </w:tc>
        <w:tc>
          <w:tcPr>
            <w:tcW w:type="dxa" w:w="20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找到3个高频任务</w:t>
            </w:r>
          </w:p>
        </w:tc>
        <w:tc>
          <w:tcPr>
            <w:tcW w:type="dxa" w:w="3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校内访谈、可用性测试、开发者内测、固定任务复现</w:t>
            </w:r>
          </w:p>
        </w:tc>
        <w:tc>
          <w:tcPr>
            <w:tcW w:type="dxa" w:w="21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30名深度用户、100次真实任务、任务完成率</w:t>
            </w:r>
          </w:p>
        </w:tc>
      </w:tr>
      <w:tr>
        <w:trPr>
          <w:cantSplit w:val="true"/>
        </w:trPr>
        <w:tc>
          <w:tcPr>
            <w:tcW w:type="dxa" w:w="1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校园试点</w:t>
            </w:r>
          </w:p>
        </w:tc>
        <w:tc>
          <w:tcPr>
            <w:tcW w:type="dxa" w:w="20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形成可展示案例</w:t>
            </w:r>
          </w:p>
        </w:tc>
        <w:tc>
          <w:tcPr>
            <w:tcW w:type="dxa" w:w="3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课程资料到报告、科研证据表、代码任务工作坊</w:t>
            </w:r>
          </w:p>
        </w:tc>
        <w:tc>
          <w:tcPr>
            <w:tcW w:type="dxa" w:w="21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3个试点团队、4周留存、可引用反馈</w:t>
            </w:r>
          </w:p>
        </w:tc>
      </w:tr>
      <w:tr>
        <w:trPr>
          <w:cantSplit w:val="true"/>
        </w:trPr>
        <w:tc>
          <w:tcPr>
            <w:tcW w:type="dxa" w:w="1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社区增长</w:t>
            </w:r>
          </w:p>
        </w:tc>
        <w:tc>
          <w:tcPr>
            <w:tcW w:type="dxa" w:w="20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扩大专业用户</w:t>
            </w:r>
          </w:p>
        </w:tc>
        <w:tc>
          <w:tcPr>
            <w:tcW w:type="dxa" w:w="3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开源部分SDK、发布技能模板、技术内容与演示视频</w:t>
            </w:r>
          </w:p>
        </w:tc>
        <w:tc>
          <w:tcPr>
            <w:tcW w:type="dxa" w:w="21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注册、激活、周任务数、推荐率</w:t>
            </w:r>
          </w:p>
        </w:tc>
      </w:tr>
      <w:tr>
        <w:trPr>
          <w:cantSplit w:val="true"/>
        </w:trPr>
        <w:tc>
          <w:tcPr>
            <w:tcW w:type="dxa" w:w="1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机构合作</w:t>
            </w:r>
          </w:p>
        </w:tc>
        <w:tc>
          <w:tcPr>
            <w:tcW w:type="dxa" w:w="20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验证团队和私有部署</w:t>
            </w:r>
          </w:p>
        </w:tc>
        <w:tc>
          <w:tcPr>
            <w:tcW w:type="dxa" w:w="3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与实验室、创新中心、软件团队共建</w:t>
            </w:r>
          </w:p>
        </w:tc>
        <w:tc>
          <w:tcPr>
            <w:tcW w:type="dxa" w:w="21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试点转付费、交付周期、续费意向</w:t>
            </w:r>
          </w:p>
        </w:tc>
      </w:tr>
    </w:tbl>
    <w:p>
      <w:pPr>
        <w:pStyle w:val="Heading2"/>
      </w:pPr>
      <w:r>
        <w:t>品牌与传播</w:t>
      </w:r>
    </w:p>
    <w:p>
      <w:pPr>
        <w:keepLines w:val="0"/>
      </w:pPr>
      <w:r>
        <w:rPr>
          <w:rFonts w:ascii="Calibri" w:hAnsi="Calibri" w:eastAsia="Microsoft YaHei"/>
          <w:i w:val="0"/>
          <w:color w:val="243447"/>
          <w:sz w:val="21"/>
        </w:rPr>
        <w:t>传播内容围绕一个统一故事展开：用户阅读资料，桌面伙伴识别并处理，打开文档后获得情境写作帮助，切换沟通场景时得到得体表达，最后由多智能体工作台完成研究、报告或代码任务。所有演示都应展示审批、进度和结果证据，避免只呈现炫酷动画而缺少真实闭环。</w:t>
      </w:r>
    </w:p>
    <w:p>
      <w:pPr>
        <w:numPr>
          <w:ilvl w:val="0"/>
          <w:numId w:val="10"/>
        </w:numPr>
      </w:pPr>
      <w:r>
        <w:rPr>
          <w:rFonts w:ascii="Calibri" w:hAnsi="Calibri" w:eastAsia="Microsoft YaHei"/>
          <w:color w:val="243447"/>
          <w:sz w:val="20"/>
        </w:rPr>
        <w:t>赛事传播：围绕痛点、创新、实机证据和社会价值制作路演PPT与3分钟演示。</w:t>
      </w:r>
    </w:p>
    <w:p>
      <w:pPr>
        <w:numPr>
          <w:ilvl w:val="0"/>
          <w:numId w:val="10"/>
        </w:numPr>
      </w:pPr>
      <w:r>
        <w:rPr>
          <w:rFonts w:ascii="Calibri" w:hAnsi="Calibri" w:eastAsia="Microsoft YaHei"/>
          <w:color w:val="243447"/>
          <w:sz w:val="20"/>
        </w:rPr>
        <w:t>校园传播：与课程项目、实验室和创新训练结合，收集真实任务与反馈。</w:t>
      </w:r>
    </w:p>
    <w:p>
      <w:pPr>
        <w:numPr>
          <w:ilvl w:val="0"/>
          <w:numId w:val="10"/>
        </w:numPr>
      </w:pPr>
      <w:r>
        <w:rPr>
          <w:rFonts w:ascii="Calibri" w:hAnsi="Calibri" w:eastAsia="Microsoft YaHei"/>
          <w:color w:val="243447"/>
          <w:sz w:val="20"/>
        </w:rPr>
        <w:t>开发者传播：公开接口契约、评测方法和示例技能，建立可信技术形象。</w:t>
      </w:r>
    </w:p>
    <w:p>
      <w:pPr>
        <w:numPr>
          <w:ilvl w:val="0"/>
          <w:numId w:val="10"/>
        </w:numPr>
      </w:pPr>
      <w:r>
        <w:rPr>
          <w:rFonts w:ascii="Calibri" w:hAnsi="Calibri" w:eastAsia="Microsoft YaHei"/>
          <w:color w:val="243447"/>
          <w:sz w:val="20"/>
        </w:rPr>
        <w:t>内容传播：制作从一个目标到可审阅成果的过程型案例，突出透明与可控。</w:t>
      </w:r>
    </w:p>
    <w:p>
      <w:pPr>
        <w:pStyle w:val="Heading1"/>
        <w:pBdr>
          <w:bottom w:val="single" w:sz="7" w:space="4" w:color="D9E7F3"/>
        </w:pBdr>
      </w:pPr>
      <w:r>
        <w:t>研发计划与实施路线</w:t>
      </w:r>
    </w:p>
    <w:p>
      <w:pPr>
        <w:pStyle w:val="Heading2"/>
      </w:pPr>
      <w:r>
        <w:t>阶段目标</w:t>
      </w:r>
    </w:p>
    <w:tbl>
      <w:tblPr>
        <w:tblW w:type="dxa" w:w="9360"/>
        <w:tblLayout w:type="fixed"/>
        <w:tblLook w:firstColumn="1" w:firstRow="1" w:lastColumn="0" w:lastRow="0" w:noHBand="0" w:noVBand="1" w:val="04A0"/>
        <w:jc w:val="left"/>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1400"/>
        <w:gridCol w:w="1200"/>
        <w:gridCol w:w="2600"/>
        <w:gridCol w:w="2500"/>
        <w:gridCol w:w="1660"/>
      </w:tblGrid>
      <w:tr>
        <w:trPr>
          <w:tblHeader w:val="true"/>
          <w:cantSplit w:val="true"/>
        </w:trPr>
        <w:tc>
          <w:tcPr>
            <w:tcW w:type="dxa" w:w="14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阶段</w:t>
            </w:r>
          </w:p>
        </w:tc>
        <w:tc>
          <w:tcPr>
            <w:tcW w:type="dxa" w:w="12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时间</w:t>
            </w:r>
          </w:p>
        </w:tc>
        <w:tc>
          <w:tcPr>
            <w:tcW w:type="dxa" w:w="26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产品目标</w:t>
            </w:r>
          </w:p>
        </w:tc>
        <w:tc>
          <w:tcPr>
            <w:tcW w:type="dxa" w:w="25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关键交付</w:t>
            </w:r>
          </w:p>
        </w:tc>
        <w:tc>
          <w:tcPr>
            <w:tcW w:type="dxa" w:w="166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验收门槛</w:t>
            </w:r>
          </w:p>
        </w:tc>
      </w:tr>
      <w:tr>
        <w:trPr>
          <w:cantSplit w:val="true"/>
        </w:trPr>
        <w:tc>
          <w:tcPr>
            <w:tcW w:type="dxa" w:w="14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阶段一 参赛稳定版</w:t>
            </w:r>
          </w:p>
        </w:tc>
        <w:tc>
          <w:tcPr>
            <w:tcW w:type="dxa" w:w="12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0至3个月</w:t>
            </w:r>
          </w:p>
        </w:tc>
        <w:tc>
          <w:tcPr>
            <w:tcW w:type="dxa" w:w="2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收敛本地多Agent工作台</w:t>
            </w:r>
          </w:p>
        </w:tc>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安装包、固定演示、失败复测、帮助文档</w:t>
            </w:r>
          </w:p>
        </w:tc>
        <w:tc>
          <w:tcPr>
            <w:tcW w:type="dxa" w:w="16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核心流程可重复，发布包与源码一致</w:t>
            </w:r>
          </w:p>
        </w:tc>
      </w:tr>
      <w:tr>
        <w:trPr>
          <w:cantSplit w:val="true"/>
        </w:trPr>
        <w:tc>
          <w:tcPr>
            <w:tcW w:type="dxa" w:w="14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阶段二 校园试用版</w:t>
            </w:r>
          </w:p>
        </w:tc>
        <w:tc>
          <w:tcPr>
            <w:tcW w:type="dxa" w:w="12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4至8个月</w:t>
            </w:r>
          </w:p>
        </w:tc>
        <w:tc>
          <w:tcPr>
            <w:tcW w:type="dxa" w:w="2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服务学习、研究、文档和代码任务</w:t>
            </w:r>
          </w:p>
        </w:tc>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3类技能包、试点管理、反馈与留存分析</w:t>
            </w:r>
          </w:p>
        </w:tc>
        <w:tc>
          <w:tcPr>
            <w:tcW w:type="dxa" w:w="16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30名深度用户，关键任务成功率达标</w:t>
            </w:r>
          </w:p>
        </w:tc>
      </w:tr>
      <w:tr>
        <w:trPr>
          <w:cantSplit w:val="true"/>
        </w:trPr>
        <w:tc>
          <w:tcPr>
            <w:tcW w:type="dxa" w:w="14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阶段三 产品融合版</w:t>
            </w:r>
          </w:p>
        </w:tc>
        <w:tc>
          <w:tcPr>
            <w:tcW w:type="dxa" w:w="12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9至15个月</w:t>
            </w:r>
          </w:p>
        </w:tc>
        <w:tc>
          <w:tcPr>
            <w:tcW w:type="dxa" w:w="2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加入桌面伙伴状态和轻量建议</w:t>
            </w:r>
          </w:p>
        </w:tc>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桌宠交互、情境切换、可纠正偏好</w:t>
            </w:r>
          </w:p>
        </w:tc>
        <w:tc>
          <w:tcPr>
            <w:tcW w:type="dxa" w:w="16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不打断、可关闭、权限和隐私通过评审</w:t>
            </w:r>
          </w:p>
        </w:tc>
      </w:tr>
      <w:tr>
        <w:trPr>
          <w:cantSplit w:val="true"/>
        </w:trPr>
        <w:tc>
          <w:tcPr>
            <w:tcW w:type="dxa" w:w="14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阶段四 规模化版</w:t>
            </w:r>
          </w:p>
        </w:tc>
        <w:tc>
          <w:tcPr>
            <w:tcW w:type="dxa" w:w="12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16至24个月</w:t>
            </w:r>
          </w:p>
        </w:tc>
        <w:tc>
          <w:tcPr>
            <w:tcW w:type="dxa" w:w="2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团队许可与生态扩展</w:t>
            </w:r>
          </w:p>
        </w:tc>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管理策略、私有部署、技能分发</w:t>
            </w:r>
          </w:p>
        </w:tc>
        <w:tc>
          <w:tcPr>
            <w:tcW w:type="dxa" w:w="16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形成付费试点和可复制交付流程</w:t>
            </w:r>
          </w:p>
        </w:tc>
      </w:tr>
      <w:tr>
        <w:trPr>
          <w:cantSplit w:val="true"/>
        </w:trPr>
        <w:tc>
          <w:tcPr>
            <w:tcW w:type="dxa" w:w="14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后续研究</w:t>
            </w:r>
          </w:p>
        </w:tc>
        <w:tc>
          <w:tcPr>
            <w:tcW w:type="dxa" w:w="12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24个月后</w:t>
            </w:r>
          </w:p>
        </w:tc>
        <w:tc>
          <w:tcPr>
            <w:tcW w:type="dxa" w:w="2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评估输入法入口和高级桌面自治</w:t>
            </w:r>
          </w:p>
        </w:tc>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TSF方案、兼容矩阵、影子预演</w:t>
            </w:r>
          </w:p>
        </w:tc>
        <w:tc>
          <w:tcPr>
            <w:tcW w:type="dxa" w:w="16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独立立项，不降低安全基线</w:t>
            </w:r>
          </w:p>
        </w:tc>
      </w:tr>
    </w:tbl>
    <w:p>
      <w:pPr>
        <w:pStyle w:val="Heading2"/>
      </w:pPr>
      <w:r>
        <w:t>里程碑与决策门</w:t>
      </w:r>
    </w:p>
    <w:p>
      <w:pPr>
        <w:numPr>
          <w:ilvl w:val="0"/>
          <w:numId w:val="10"/>
        </w:numPr>
      </w:pPr>
      <w:r>
        <w:rPr>
          <w:rFonts w:ascii="Calibri" w:hAnsi="Calibri" w:eastAsia="Microsoft YaHei"/>
          <w:color w:val="243447"/>
          <w:sz w:val="20"/>
        </w:rPr>
        <w:t>M1 可参赛：计划书、路演、演示包、测试报告和真实性材料闭环。</w:t>
      </w:r>
    </w:p>
    <w:p>
      <w:pPr>
        <w:numPr>
          <w:ilvl w:val="0"/>
          <w:numId w:val="10"/>
        </w:numPr>
      </w:pPr>
      <w:r>
        <w:rPr>
          <w:rFonts w:ascii="Calibri" w:hAnsi="Calibri" w:eastAsia="Microsoft YaHei"/>
          <w:color w:val="243447"/>
          <w:sz w:val="20"/>
        </w:rPr>
        <w:t>M2 可试用：安装、升级、错误恢复、数据迁移和隐私说明达到内测标准。</w:t>
      </w:r>
    </w:p>
    <w:p>
      <w:pPr>
        <w:numPr>
          <w:ilvl w:val="0"/>
          <w:numId w:val="10"/>
        </w:numPr>
      </w:pPr>
      <w:r>
        <w:rPr>
          <w:rFonts w:ascii="Calibri" w:hAnsi="Calibri" w:eastAsia="Microsoft YaHei"/>
          <w:color w:val="243447"/>
          <w:sz w:val="20"/>
        </w:rPr>
        <w:t>M3 可留存：目标用户连续四周使用，任务成功、时间节省和满意度有数据。</w:t>
      </w:r>
    </w:p>
    <w:p>
      <w:pPr>
        <w:numPr>
          <w:ilvl w:val="0"/>
          <w:numId w:val="10"/>
        </w:numPr>
      </w:pPr>
      <w:r>
        <w:rPr>
          <w:rFonts w:ascii="Calibri" w:hAnsi="Calibri" w:eastAsia="Microsoft YaHei"/>
          <w:color w:val="243447"/>
          <w:sz w:val="20"/>
        </w:rPr>
        <w:t>M4 可付费：至少一种权益被真实购买，支持成本和模型成本可控。</w:t>
      </w:r>
    </w:p>
    <w:p>
      <w:pPr>
        <w:numPr>
          <w:ilvl w:val="0"/>
          <w:numId w:val="10"/>
        </w:numPr>
      </w:pPr>
      <w:r>
        <w:rPr>
          <w:rFonts w:ascii="Calibri" w:hAnsi="Calibri" w:eastAsia="Microsoft YaHei"/>
          <w:color w:val="243447"/>
          <w:sz w:val="20"/>
        </w:rPr>
        <w:t>M5 可扩展：团队版或技能生态不破坏权限、审计、兼容和恢复指标。</w:t>
      </w:r>
    </w:p>
    <w:p>
      <w:pPr>
        <w:pStyle w:val="Heading1"/>
        <w:pBdr>
          <w:bottom w:val="single" w:sz="7" w:space="4" w:color="D9E7F3"/>
        </w:pBdr>
      </w:pPr>
      <w:r>
        <w:t>组织管理与团队建设</w:t>
      </w:r>
    </w:p>
    <w:p>
      <w:pPr>
        <w:pStyle w:val="Heading2"/>
      </w:pPr>
      <w:r>
        <w:t>建议团队结构</w:t>
      </w:r>
    </w:p>
    <w:p>
      <w:pPr>
        <w:keepLines w:val="0"/>
      </w:pPr>
      <w:r>
        <w:rPr>
          <w:rFonts w:ascii="Calibri" w:hAnsi="Calibri" w:eastAsia="Microsoft YaHei"/>
          <w:i w:val="0"/>
          <w:color w:val="243447"/>
          <w:sz w:val="21"/>
        </w:rPr>
        <w:t>因当前未提供参赛成员信息，本节提供可直接替换的组织模板。最终提交必须按成员真实贡献填写，不得仅为满足人数而挂名。</w:t>
      </w:r>
    </w:p>
    <w:tbl>
      <w:tblPr>
        <w:tblW w:type="dxa" w:w="9360"/>
        <w:tblLayout w:type="fixed"/>
        <w:tblLook w:firstColumn="1" w:firstRow="1" w:lastColumn="0" w:lastRow="0" w:noHBand="0" w:noVBand="1" w:val="04A0"/>
        <w:jc w:val="left"/>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1800"/>
        <w:gridCol w:w="3900"/>
        <w:gridCol w:w="1500"/>
        <w:gridCol w:w="2160"/>
      </w:tblGrid>
      <w:tr>
        <w:trPr>
          <w:tblHeader w:val="true"/>
          <w:cantSplit w:val="true"/>
        </w:trPr>
        <w:tc>
          <w:tcPr>
            <w:tcW w:type="dxa" w:w="18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角色</w:t>
            </w:r>
          </w:p>
        </w:tc>
        <w:tc>
          <w:tcPr>
            <w:tcW w:type="dxa" w:w="39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建议职责</w:t>
            </w:r>
          </w:p>
        </w:tc>
        <w:tc>
          <w:tcPr>
            <w:tcW w:type="dxa" w:w="15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当前负责人</w:t>
            </w:r>
          </w:p>
        </w:tc>
        <w:tc>
          <w:tcPr>
            <w:tcW w:type="dxa" w:w="216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参赛佐证</w:t>
            </w:r>
          </w:p>
        </w:tc>
      </w:tr>
      <w:tr>
        <w:trPr>
          <w:cantSplit w:val="true"/>
        </w:trPr>
        <w:tc>
          <w:tcPr>
            <w:tcW w:type="dxa" w:w="18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项目负责人／产品</w:t>
            </w:r>
          </w:p>
        </w:tc>
        <w:tc>
          <w:tcPr>
            <w:tcW w:type="dxa" w:w="3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产品定位、用户调研、进度、路演与跨组协调</w:t>
            </w:r>
          </w:p>
        </w:tc>
        <w:tc>
          <w:tcPr>
            <w:tcW w:type="dxa" w:w="1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待填写</w:t>
            </w:r>
          </w:p>
        </w:tc>
        <w:tc>
          <w:tcPr>
            <w:tcW w:type="dxa" w:w="21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需求文档、访谈、版本记录</w:t>
            </w:r>
          </w:p>
        </w:tc>
      </w:tr>
      <w:tr>
        <w:trPr>
          <w:cantSplit w:val="true"/>
        </w:trPr>
        <w:tc>
          <w:tcPr>
            <w:tcW w:type="dxa" w:w="18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核心引擎负责人</w:t>
            </w:r>
          </w:p>
        </w:tc>
        <w:tc>
          <w:tcPr>
            <w:tcW w:type="dxa" w:w="3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Agent循环、工具、权限、会话、审计和模型网关</w:t>
            </w:r>
          </w:p>
        </w:tc>
        <w:tc>
          <w:tcPr>
            <w:tcW w:type="dxa" w:w="1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待填写</w:t>
            </w:r>
          </w:p>
        </w:tc>
        <w:tc>
          <w:tcPr>
            <w:tcW w:type="dxa" w:w="21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代码提交、测试与设计文档</w:t>
            </w:r>
          </w:p>
        </w:tc>
      </w:tr>
      <w:tr>
        <w:trPr>
          <w:cantSplit w:val="true"/>
        </w:trPr>
        <w:tc>
          <w:tcPr>
            <w:tcW w:type="dxa" w:w="18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多Agent负责人</w:t>
            </w:r>
          </w:p>
        </w:tc>
        <w:tc>
          <w:tcPr>
            <w:tcW w:type="dxa" w:w="3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WorkSwarm、任务图、Artifact、恢复与评测</w:t>
            </w:r>
          </w:p>
        </w:tc>
        <w:tc>
          <w:tcPr>
            <w:tcW w:type="dxa" w:w="1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待填写</w:t>
            </w:r>
          </w:p>
        </w:tc>
        <w:tc>
          <w:tcPr>
            <w:tcW w:type="dxa" w:w="21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模块代码、验收报告</w:t>
            </w:r>
          </w:p>
        </w:tc>
      </w:tr>
      <w:tr>
        <w:trPr>
          <w:cantSplit w:val="true"/>
        </w:trPr>
        <w:tc>
          <w:tcPr>
            <w:tcW w:type="dxa" w:w="18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桌面与交互负责人</w:t>
            </w:r>
          </w:p>
        </w:tc>
        <w:tc>
          <w:tcPr>
            <w:tcW w:type="dxa" w:w="3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桌面工作台、桌宠交互、可用性和视觉系统</w:t>
            </w:r>
          </w:p>
        </w:tc>
        <w:tc>
          <w:tcPr>
            <w:tcW w:type="dxa" w:w="1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待填写</w:t>
            </w:r>
          </w:p>
        </w:tc>
        <w:tc>
          <w:tcPr>
            <w:tcW w:type="dxa" w:w="21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原型、前端代码、测试记录</w:t>
            </w:r>
          </w:p>
        </w:tc>
      </w:tr>
      <w:tr>
        <w:trPr>
          <w:cantSplit w:val="true"/>
        </w:trPr>
        <w:tc>
          <w:tcPr>
            <w:tcW w:type="dxa" w:w="18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市场与运营负责人</w:t>
            </w:r>
          </w:p>
        </w:tc>
        <w:tc>
          <w:tcPr>
            <w:tcW w:type="dxa" w:w="3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市场调研、校园试点、合作、内容和商业验证</w:t>
            </w:r>
          </w:p>
        </w:tc>
        <w:tc>
          <w:tcPr>
            <w:tcW w:type="dxa" w:w="1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待填写</w:t>
            </w:r>
          </w:p>
        </w:tc>
        <w:tc>
          <w:tcPr>
            <w:tcW w:type="dxa" w:w="21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调研表、试点协议、运营数据</w:t>
            </w:r>
          </w:p>
        </w:tc>
      </w:tr>
      <w:tr>
        <w:trPr>
          <w:cantSplit w:val="true"/>
        </w:trPr>
        <w:tc>
          <w:tcPr>
            <w:tcW w:type="dxa" w:w="18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指导教师与顾问</w:t>
            </w:r>
          </w:p>
        </w:tc>
        <w:tc>
          <w:tcPr>
            <w:tcW w:type="dxa" w:w="3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技术、商业、法律、赛事与行业指导</w:t>
            </w:r>
          </w:p>
        </w:tc>
        <w:tc>
          <w:tcPr>
            <w:tcW w:type="dxa" w:w="1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待填写</w:t>
            </w:r>
          </w:p>
        </w:tc>
        <w:tc>
          <w:tcPr>
            <w:tcW w:type="dxa" w:w="21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指导记录与真实简介</w:t>
            </w:r>
          </w:p>
        </w:tc>
      </w:tr>
    </w:tbl>
    <w:p>
      <w:pPr>
        <w:pStyle w:val="Heading2"/>
      </w:pPr>
      <w:r>
        <w:t>协作与质量管理</w:t>
      </w:r>
    </w:p>
    <w:p>
      <w:pPr>
        <w:numPr>
          <w:ilvl w:val="0"/>
          <w:numId w:val="10"/>
        </w:numPr>
      </w:pPr>
      <w:r>
        <w:rPr>
          <w:rFonts w:ascii="Calibri" w:hAnsi="Calibri" w:eastAsia="Microsoft YaHei"/>
          <w:color w:val="243447"/>
          <w:sz w:val="20"/>
        </w:rPr>
        <w:t>代码协作按文件认领，同一文件同一时间只允许一名成员修改，核心接口变更同步契约测试。</w:t>
      </w:r>
    </w:p>
    <w:p>
      <w:pPr>
        <w:numPr>
          <w:ilvl w:val="0"/>
          <w:numId w:val="10"/>
        </w:numPr>
      </w:pPr>
      <w:r>
        <w:rPr>
          <w:rFonts w:ascii="Calibri" w:hAnsi="Calibri" w:eastAsia="Microsoft YaHei"/>
          <w:color w:val="243447"/>
          <w:sz w:val="20"/>
        </w:rPr>
        <w:t>功能完成以源码、测试、构建产物和真实交互四类证据综合判断，不以文档声明替代验收。</w:t>
      </w:r>
    </w:p>
    <w:p>
      <w:pPr>
        <w:numPr>
          <w:ilvl w:val="0"/>
          <w:numId w:val="10"/>
        </w:numPr>
      </w:pPr>
      <w:r>
        <w:rPr>
          <w:rFonts w:ascii="Calibri" w:hAnsi="Calibri" w:eastAsia="Microsoft YaHei"/>
          <w:color w:val="243447"/>
          <w:sz w:val="20"/>
        </w:rPr>
        <w:t>每两周形成产品评审，检查用户价值、进度、风险、数据真实性和演示可复现性。</w:t>
      </w:r>
    </w:p>
    <w:p>
      <w:pPr>
        <w:numPr>
          <w:ilvl w:val="0"/>
          <w:numId w:val="10"/>
        </w:numPr>
      </w:pPr>
      <w:r>
        <w:rPr>
          <w:rFonts w:ascii="Calibri" w:hAnsi="Calibri" w:eastAsia="Microsoft YaHei"/>
          <w:color w:val="243447"/>
          <w:sz w:val="20"/>
        </w:rPr>
        <w:t>公开材料由负责人、技术负责人和指导教师三方复核，确保不夸大能力、不泄露凭据。</w:t>
      </w:r>
    </w:p>
    <w:p>
      <w:pPr>
        <w:pStyle w:val="Heading1"/>
        <w:pBdr>
          <w:bottom w:val="single" w:sz="7" w:space="4" w:color="D9E7F3"/>
        </w:pBdr>
      </w:pPr>
      <w:r>
        <w:t>财务测算与资金规划</w:t>
      </w:r>
    </w:p>
    <w:p>
      <w:pPr>
        <w:pStyle w:val="Heading2"/>
      </w:pPr>
      <w:r>
        <w:t>三年经营情景</w:t>
      </w:r>
    </w:p>
    <w:p>
      <w:pPr>
        <w:keepLines w:val="0"/>
      </w:pPr>
      <w:r>
        <w:rPr>
          <w:rFonts w:ascii="Calibri" w:hAnsi="Calibri" w:eastAsia="Microsoft YaHei"/>
          <w:i w:val="0"/>
          <w:color w:val="243447"/>
          <w:sz w:val="21"/>
        </w:rPr>
        <w:t>以下为参赛用途的中性情景测算。收入由个人订阅、团队许可、私有部署与服务构成；成本包括研发人力、模型与基础设施、市场服务、合规和日常运营。所有数据均为规划假设，正式商业计划应由团队根据实际定价、用户转化和合同复核。</w:t>
      </w:r>
    </w:p>
    <w:tbl>
      <w:tblPr>
        <w:tblW w:type="dxa" w:w="9360"/>
        <w:tblLayout w:type="fixed"/>
        <w:tblLook w:firstColumn="1" w:firstRow="1" w:lastColumn="0" w:lastRow="0" w:noHBand="0" w:noVBand="1" w:val="04A0"/>
        <w:jc w:val="left"/>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1900"/>
        <w:gridCol w:w="1300"/>
        <w:gridCol w:w="1300"/>
        <w:gridCol w:w="1300"/>
        <w:gridCol w:w="3560"/>
      </w:tblGrid>
      <w:tr>
        <w:trPr>
          <w:tblHeader w:val="true"/>
          <w:cantSplit w:val="true"/>
        </w:trPr>
        <w:tc>
          <w:tcPr>
            <w:tcW w:type="dxa" w:w="19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指标</w:t>
            </w:r>
          </w:p>
        </w:tc>
        <w:tc>
          <w:tcPr>
            <w:tcW w:type="dxa" w:w="13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第一年</w:t>
            </w:r>
          </w:p>
        </w:tc>
        <w:tc>
          <w:tcPr>
            <w:tcW w:type="dxa" w:w="13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第二年</w:t>
            </w:r>
          </w:p>
        </w:tc>
        <w:tc>
          <w:tcPr>
            <w:tcW w:type="dxa" w:w="13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第三年</w:t>
            </w:r>
          </w:p>
        </w:tc>
        <w:tc>
          <w:tcPr>
            <w:tcW w:type="dxa" w:w="356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关键假设</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累计注册用户</w:t>
            </w:r>
          </w:p>
        </w:tc>
        <w:tc>
          <w:tcPr>
            <w:tcW w:type="dxa" w:w="13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1万人</w:t>
            </w:r>
          </w:p>
        </w:tc>
        <w:tc>
          <w:tcPr>
            <w:tcW w:type="dxa" w:w="13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8万人</w:t>
            </w:r>
          </w:p>
        </w:tc>
        <w:tc>
          <w:tcPr>
            <w:tcW w:type="dxa" w:w="13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30万人</w:t>
            </w:r>
          </w:p>
        </w:tc>
        <w:tc>
          <w:tcPr>
            <w:tcW w:type="dxa" w:w="35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校园与开发者社区逐步扩散</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付费用户数</w:t>
            </w:r>
          </w:p>
        </w:tc>
        <w:tc>
          <w:tcPr>
            <w:tcW w:type="dxa" w:w="13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500人</w:t>
            </w:r>
          </w:p>
        </w:tc>
        <w:tc>
          <w:tcPr>
            <w:tcW w:type="dxa" w:w="13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6400人</w:t>
            </w:r>
          </w:p>
        </w:tc>
        <w:tc>
          <w:tcPr>
            <w:tcW w:type="dxa" w:w="13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3.6万人</w:t>
            </w:r>
          </w:p>
        </w:tc>
        <w:tc>
          <w:tcPr>
            <w:tcW w:type="dxa" w:w="35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付费率5%、8%、12%</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团队与机构客户</w:t>
            </w:r>
          </w:p>
        </w:tc>
        <w:tc>
          <w:tcPr>
            <w:tcW w:type="dxa" w:w="13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5个</w:t>
            </w:r>
          </w:p>
        </w:tc>
        <w:tc>
          <w:tcPr>
            <w:tcW w:type="dxa" w:w="13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20个</w:t>
            </w:r>
          </w:p>
        </w:tc>
        <w:tc>
          <w:tcPr>
            <w:tcW w:type="dxa" w:w="13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60个</w:t>
            </w:r>
          </w:p>
        </w:tc>
        <w:tc>
          <w:tcPr>
            <w:tcW w:type="dxa" w:w="35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先试点后复制</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营业收入</w:t>
            </w:r>
          </w:p>
        </w:tc>
        <w:tc>
          <w:tcPr>
            <w:tcW w:type="dxa" w:w="13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24万元</w:t>
            </w:r>
          </w:p>
        </w:tc>
        <w:tc>
          <w:tcPr>
            <w:tcW w:type="dxa" w:w="13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180万元</w:t>
            </w:r>
          </w:p>
        </w:tc>
        <w:tc>
          <w:tcPr>
            <w:tcW w:type="dxa" w:w="13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650万元</w:t>
            </w:r>
          </w:p>
        </w:tc>
        <w:tc>
          <w:tcPr>
            <w:tcW w:type="dxa" w:w="35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订阅、许可和服务综合</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经营成本</w:t>
            </w:r>
          </w:p>
        </w:tc>
        <w:tc>
          <w:tcPr>
            <w:tcW w:type="dxa" w:w="13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52万元</w:t>
            </w:r>
          </w:p>
        </w:tc>
        <w:tc>
          <w:tcPr>
            <w:tcW w:type="dxa" w:w="13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150万元</w:t>
            </w:r>
          </w:p>
        </w:tc>
        <w:tc>
          <w:tcPr>
            <w:tcW w:type="dxa" w:w="13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380万元</w:t>
            </w:r>
          </w:p>
        </w:tc>
        <w:tc>
          <w:tcPr>
            <w:tcW w:type="dxa" w:w="35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研发投入前置，规模后成本增加</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经营结果</w:t>
            </w:r>
          </w:p>
        </w:tc>
        <w:tc>
          <w:tcPr>
            <w:tcW w:type="dxa" w:w="13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负28万元</w:t>
            </w:r>
          </w:p>
        </w:tc>
        <w:tc>
          <w:tcPr>
            <w:tcW w:type="dxa" w:w="13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30万元</w:t>
            </w:r>
          </w:p>
        </w:tc>
        <w:tc>
          <w:tcPr>
            <w:tcW w:type="dxa" w:w="13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270万元</w:t>
            </w:r>
          </w:p>
        </w:tc>
        <w:tc>
          <w:tcPr>
            <w:tcW w:type="dxa" w:w="35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第二年中后期达到盈亏平衡</w:t>
            </w:r>
          </w:p>
        </w:tc>
      </w:tr>
    </w:tbl>
    <w:p>
      <w:pPr>
        <w:pStyle w:val="Heading2"/>
      </w:pPr>
      <w:r>
        <w:t>首轮资金需求情景</w:t>
      </w:r>
    </w:p>
    <w:tbl>
      <w:tblPr>
        <w:tblW w:type="dxa" w:w="9360"/>
        <w:tblLayout w:type="fixed"/>
        <w:tblLook w:firstColumn="1" w:firstRow="1" w:lastColumn="0" w:lastRow="0" w:noHBand="0" w:noVBand="1" w:val="04A0"/>
        <w:jc w:val="left"/>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2500"/>
        <w:gridCol w:w="1200"/>
        <w:gridCol w:w="1700"/>
        <w:gridCol w:w="3960"/>
      </w:tblGrid>
      <w:tr>
        <w:trPr>
          <w:tblHeader w:val="true"/>
          <w:cantSplit w:val="true"/>
        </w:trPr>
        <w:tc>
          <w:tcPr>
            <w:tcW w:type="dxa" w:w="25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用途</w:t>
            </w:r>
          </w:p>
        </w:tc>
        <w:tc>
          <w:tcPr>
            <w:tcW w:type="dxa" w:w="12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比例</w:t>
            </w:r>
          </w:p>
        </w:tc>
        <w:tc>
          <w:tcPr>
            <w:tcW w:type="dxa" w:w="17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金额情景</w:t>
            </w:r>
          </w:p>
        </w:tc>
        <w:tc>
          <w:tcPr>
            <w:tcW w:type="dxa" w:w="396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主要产出</w:t>
            </w:r>
          </w:p>
        </w:tc>
      </w:tr>
      <w:tr>
        <w:trPr>
          <w:cantSplit w:val="true"/>
        </w:trPr>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产品与研发</w:t>
            </w:r>
          </w:p>
        </w:tc>
        <w:tc>
          <w:tcPr>
            <w:tcW w:type="dxa" w:w="120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7"/>
              </w:rPr>
              <w:t>45%</w:t>
            </w:r>
          </w:p>
        </w:tc>
        <w:tc>
          <w:tcPr>
            <w:tcW w:type="dxa" w:w="170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7"/>
              </w:rPr>
              <w:t>36万元</w:t>
            </w:r>
          </w:p>
        </w:tc>
        <w:tc>
          <w:tcPr>
            <w:tcW w:type="dxa" w:w="39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发布稳定性、桌面端、技能与兼容测试</w:t>
            </w:r>
          </w:p>
        </w:tc>
      </w:tr>
      <w:tr>
        <w:trPr>
          <w:cantSplit w:val="true"/>
        </w:trPr>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市场与试点</w:t>
            </w:r>
          </w:p>
        </w:tc>
        <w:tc>
          <w:tcPr>
            <w:tcW w:type="dxa" w:w="120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7"/>
              </w:rPr>
              <w:t>20%</w:t>
            </w:r>
          </w:p>
        </w:tc>
        <w:tc>
          <w:tcPr>
            <w:tcW w:type="dxa" w:w="170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7"/>
              </w:rPr>
              <w:t>16万元</w:t>
            </w:r>
          </w:p>
        </w:tc>
        <w:tc>
          <w:tcPr>
            <w:tcW w:type="dxa" w:w="39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校园试点、用户研究、内容与活动</w:t>
            </w:r>
          </w:p>
        </w:tc>
      </w:tr>
      <w:tr>
        <w:trPr>
          <w:cantSplit w:val="true"/>
        </w:trPr>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模型与基础设施</w:t>
            </w:r>
          </w:p>
        </w:tc>
        <w:tc>
          <w:tcPr>
            <w:tcW w:type="dxa" w:w="120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7"/>
              </w:rPr>
              <w:t>15%</w:t>
            </w:r>
          </w:p>
        </w:tc>
        <w:tc>
          <w:tcPr>
            <w:tcW w:type="dxa" w:w="170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7"/>
              </w:rPr>
              <w:t>12万元</w:t>
            </w:r>
          </w:p>
        </w:tc>
        <w:tc>
          <w:tcPr>
            <w:tcW w:type="dxa" w:w="39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推理、更新、监控和测试资源</w:t>
            </w:r>
          </w:p>
        </w:tc>
      </w:tr>
      <w:tr>
        <w:trPr>
          <w:cantSplit w:val="true"/>
        </w:trPr>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合规与知识产权</w:t>
            </w:r>
          </w:p>
        </w:tc>
        <w:tc>
          <w:tcPr>
            <w:tcW w:type="dxa" w:w="120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7"/>
              </w:rPr>
              <w:t>10%</w:t>
            </w:r>
          </w:p>
        </w:tc>
        <w:tc>
          <w:tcPr>
            <w:tcW w:type="dxa" w:w="170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7"/>
              </w:rPr>
              <w:t>8万元</w:t>
            </w:r>
          </w:p>
        </w:tc>
        <w:tc>
          <w:tcPr>
            <w:tcW w:type="dxa" w:w="39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软著、商标、隐私与安全评审</w:t>
            </w:r>
          </w:p>
        </w:tc>
      </w:tr>
      <w:tr>
        <w:trPr>
          <w:cantSplit w:val="true"/>
        </w:trPr>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运营与预备金</w:t>
            </w:r>
          </w:p>
        </w:tc>
        <w:tc>
          <w:tcPr>
            <w:tcW w:type="dxa" w:w="120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7"/>
              </w:rPr>
              <w:t>10%</w:t>
            </w:r>
          </w:p>
        </w:tc>
        <w:tc>
          <w:tcPr>
            <w:tcW w:type="dxa" w:w="1700"/>
            <w:tcMar>
              <w:top w:w="90" w:type="dxa"/>
              <w:start w:w="120" w:type="dxa"/>
              <w:bottom w:w="90" w:type="dxa"/>
              <w:end w:w="120" w:type="dxa"/>
            </w:tcMar>
            <w:vAlign w:val="center"/>
          </w:tcPr>
          <w:p>
            <w:pPr>
              <w:spacing w:after="0" w:line="276" w:lineRule="auto"/>
              <w:jc w:val="center"/>
            </w:pPr>
            <w:r>
              <w:rPr>
                <w:rFonts w:ascii="Calibri" w:hAnsi="Calibri" w:eastAsia="Microsoft YaHei"/>
                <w:color w:val="243447"/>
                <w:sz w:val="17"/>
              </w:rPr>
              <w:t>8万元</w:t>
            </w:r>
          </w:p>
        </w:tc>
        <w:tc>
          <w:tcPr>
            <w:tcW w:type="dxa" w:w="39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支持、设备、差旅与不确定性缓冲</w:t>
            </w:r>
          </w:p>
        </w:tc>
      </w:tr>
    </w:tbl>
    <w:tbl>
      <w:tblPr>
        <w:tblW w:type="dxa" w:w="9360"/>
        <w:jc w:val="left"/>
        <w:tblLayout w:type="fixed"/>
        <w:tblLook w:firstColumn="1" w:firstRow="1" w:lastColumn="0" w:lastRow="0" w:noHBand="0" w:noVBand="1" w:val="04A0"/>
        <w:tblInd w:w="120" w:type="dxa"/>
        <w:tblBorders>
          <w:top w:val="single" w:sz="2" w:space="0" w:color="FFF7E8"/>
          <w:left w:val="single" w:sz="2" w:space="0" w:color="FFF7E8"/>
          <w:bottom w:val="single" w:sz="2" w:space="0" w:color="FFF7E8"/>
          <w:right w:val="single" w:sz="2" w:space="0" w:color="FFF7E8"/>
          <w:insideH w:val="single" w:sz="2" w:space="0" w:color="FFF7E8"/>
          <w:insideV w:val="single" w:sz="2" w:space="0" w:color="FFF7E8"/>
        </w:tblBorders>
      </w:tblPr>
      <w:tblGrid>
        <w:gridCol w:w="9360"/>
      </w:tblGrid>
      <w:tr>
        <w:trPr>
          <w:cantSplit w:val="true"/>
        </w:trPr>
        <w:tc>
          <w:tcPr>
            <w:tcW w:type="dxa" w:w="9360"/>
            <w:tcMar>
              <w:top w:w="90" w:type="dxa"/>
              <w:start w:w="120" w:type="dxa"/>
              <w:bottom w:w="90" w:type="dxa"/>
              <w:end w:w="120" w:type="dxa"/>
            </w:tcMar>
            <w:vAlign w:val="center"/>
            <w:shd w:fill="FFF7E8"/>
          </w:tcPr>
          <w:p>
            <w:pPr>
              <w:spacing w:after="0"/>
            </w:pPr>
            <w:r>
              <w:rPr>
                <w:rFonts w:ascii="Calibri" w:hAnsi="Calibri" w:eastAsia="Microsoft YaHei"/>
                <w:b/>
                <w:color w:val="C89B3C"/>
                <w:sz w:val="21"/>
              </w:rPr>
              <w:t xml:space="preserve">财务纪律  </w:t>
            </w:r>
            <w:r>
              <w:rPr>
                <w:rFonts w:ascii="Calibri" w:hAnsi="Calibri" w:eastAsia="Microsoft YaHei"/>
                <w:color w:val="243447"/>
                <w:sz w:val="20"/>
              </w:rPr>
              <w:t>在真实收入形成前，不以市场规模代替现金流。模型调用、用户支持和机构交付必须建立单任务成本与毛利监控；若付费转化低于假设，应优先缩小范围而非盲目扩大获客。</w:t>
            </w:r>
          </w:p>
        </w:tc>
      </w:tr>
    </w:tbl>
    <w:p>
      <w:pPr>
        <w:spacing w:after="20"/>
      </w:pPr>
    </w:p>
    <w:p>
      <w:pPr>
        <w:pStyle w:val="Heading1"/>
        <w:pBdr>
          <w:bottom w:val="single" w:sz="7" w:space="4" w:color="D9E7F3"/>
        </w:pBdr>
      </w:pPr>
      <w:r>
        <w:t>风险分析与应对</w:t>
      </w:r>
    </w:p>
    <w:tbl>
      <w:tblPr>
        <w:tblW w:type="dxa" w:w="9360"/>
        <w:tblLayout w:type="fixed"/>
        <w:tblLook w:firstColumn="1" w:firstRow="1" w:lastColumn="0" w:lastRow="0" w:noHBand="0" w:noVBand="1" w:val="04A0"/>
        <w:jc w:val="left"/>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1750"/>
        <w:gridCol w:w="900"/>
        <w:gridCol w:w="1000"/>
        <w:gridCol w:w="2500"/>
        <w:gridCol w:w="3210"/>
      </w:tblGrid>
      <w:tr>
        <w:trPr>
          <w:tblHeader w:val="true"/>
          <w:cantSplit w:val="true"/>
        </w:trPr>
        <w:tc>
          <w:tcPr>
            <w:tcW w:type="dxa" w:w="175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风险</w:t>
            </w:r>
          </w:p>
        </w:tc>
        <w:tc>
          <w:tcPr>
            <w:tcW w:type="dxa" w:w="9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概率</w:t>
            </w:r>
          </w:p>
        </w:tc>
        <w:tc>
          <w:tcPr>
            <w:tcW w:type="dxa" w:w="10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影响</w:t>
            </w:r>
          </w:p>
        </w:tc>
        <w:tc>
          <w:tcPr>
            <w:tcW w:type="dxa" w:w="25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预警信号</w:t>
            </w:r>
          </w:p>
        </w:tc>
        <w:tc>
          <w:tcPr>
            <w:tcW w:type="dxa" w:w="321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应对措施</w:t>
            </w:r>
          </w:p>
        </w:tc>
      </w:tr>
      <w:tr>
        <w:trPr>
          <w:cantSplit w:val="true"/>
        </w:trPr>
        <w:tc>
          <w:tcPr>
            <w:tcW w:type="dxa" w:w="17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技术可靠性</w:t>
            </w:r>
          </w:p>
        </w:tc>
        <w:tc>
          <w:tcPr>
            <w:tcW w:type="dxa" w:w="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中</w:t>
            </w:r>
          </w:p>
        </w:tc>
        <w:tc>
          <w:tcPr>
            <w:tcW w:type="dxa" w:w="10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高</w:t>
            </w:r>
          </w:p>
        </w:tc>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任务失败、误操作、恢复失败</w:t>
            </w:r>
          </w:p>
        </w:tc>
        <w:tc>
          <w:tcPr>
            <w:tcW w:type="dxa" w:w="321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固定评测、分层执行、断言、灰度与回退</w:t>
            </w:r>
          </w:p>
        </w:tc>
      </w:tr>
      <w:tr>
        <w:trPr>
          <w:cantSplit w:val="true"/>
        </w:trPr>
        <w:tc>
          <w:tcPr>
            <w:tcW w:type="dxa" w:w="17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隐私与安全</w:t>
            </w:r>
          </w:p>
        </w:tc>
        <w:tc>
          <w:tcPr>
            <w:tcW w:type="dxa" w:w="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中</w:t>
            </w:r>
          </w:p>
        </w:tc>
        <w:tc>
          <w:tcPr>
            <w:tcW w:type="dxa" w:w="10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极高</w:t>
            </w:r>
          </w:p>
        </w:tc>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密钥泄露、越权、敏感数据外发</w:t>
            </w:r>
          </w:p>
        </w:tc>
        <w:tc>
          <w:tcPr>
            <w:tcW w:type="dxa" w:w="321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默认拒绝、独立审批、密钥隔离、审计与安全测试</w:t>
            </w:r>
          </w:p>
        </w:tc>
      </w:tr>
      <w:tr>
        <w:trPr>
          <w:cantSplit w:val="true"/>
        </w:trPr>
        <w:tc>
          <w:tcPr>
            <w:tcW w:type="dxa" w:w="17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产品范围失控</w:t>
            </w:r>
          </w:p>
        </w:tc>
        <w:tc>
          <w:tcPr>
            <w:tcW w:type="dxa" w:w="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高</w:t>
            </w:r>
          </w:p>
        </w:tc>
        <w:tc>
          <w:tcPr>
            <w:tcW w:type="dxa" w:w="10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高</w:t>
            </w:r>
          </w:p>
        </w:tc>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同时推进输入法、桌宠、Agent导致交付延迟</w:t>
            </w:r>
          </w:p>
        </w:tc>
        <w:tc>
          <w:tcPr>
            <w:tcW w:type="dxa" w:w="321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以工作台为主线，其他表层按决策门立项</w:t>
            </w:r>
          </w:p>
        </w:tc>
      </w:tr>
      <w:tr>
        <w:trPr>
          <w:cantSplit w:val="true"/>
        </w:trPr>
        <w:tc>
          <w:tcPr>
            <w:tcW w:type="dxa" w:w="17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用户留存不足</w:t>
            </w:r>
          </w:p>
        </w:tc>
        <w:tc>
          <w:tcPr>
            <w:tcW w:type="dxa" w:w="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中</w:t>
            </w:r>
          </w:p>
        </w:tc>
        <w:tc>
          <w:tcPr>
            <w:tcW w:type="dxa" w:w="10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高</w:t>
            </w:r>
          </w:p>
        </w:tc>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体验新鲜但四周留存低</w:t>
            </w:r>
          </w:p>
        </w:tc>
        <w:tc>
          <w:tcPr>
            <w:tcW w:type="dxa" w:w="321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聚焦高频任务，以真实时间节省和成果质量验证</w:t>
            </w:r>
          </w:p>
        </w:tc>
      </w:tr>
      <w:tr>
        <w:trPr>
          <w:cantSplit w:val="true"/>
        </w:trPr>
        <w:tc>
          <w:tcPr>
            <w:tcW w:type="dxa" w:w="17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平台竞争</w:t>
            </w:r>
          </w:p>
        </w:tc>
        <w:tc>
          <w:tcPr>
            <w:tcW w:type="dxa" w:w="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高</w:t>
            </w:r>
          </w:p>
        </w:tc>
        <w:tc>
          <w:tcPr>
            <w:tcW w:type="dxa" w:w="10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中至高</w:t>
            </w:r>
          </w:p>
        </w:tc>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系统厂商快速集成功能</w:t>
            </w:r>
          </w:p>
        </w:tc>
        <w:tc>
          <w:tcPr>
            <w:tcW w:type="dxa" w:w="321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强调本地、可替换模型、开源扩展和成果协同</w:t>
            </w:r>
          </w:p>
        </w:tc>
      </w:tr>
      <w:tr>
        <w:trPr>
          <w:cantSplit w:val="true"/>
        </w:trPr>
        <w:tc>
          <w:tcPr>
            <w:tcW w:type="dxa" w:w="17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成本波动</w:t>
            </w:r>
          </w:p>
        </w:tc>
        <w:tc>
          <w:tcPr>
            <w:tcW w:type="dxa" w:w="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中</w:t>
            </w:r>
          </w:p>
        </w:tc>
        <w:tc>
          <w:tcPr>
            <w:tcW w:type="dxa" w:w="10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中</w:t>
            </w:r>
          </w:p>
        </w:tc>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模型价格或调用量上升</w:t>
            </w:r>
          </w:p>
        </w:tc>
        <w:tc>
          <w:tcPr>
            <w:tcW w:type="dxa" w:w="321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本地模型、模型分级、预算上限和成本可视化</w:t>
            </w:r>
          </w:p>
        </w:tc>
      </w:tr>
      <w:tr>
        <w:trPr>
          <w:cantSplit w:val="true"/>
        </w:trPr>
        <w:tc>
          <w:tcPr>
            <w:tcW w:type="dxa" w:w="17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合规与知识产权</w:t>
            </w:r>
          </w:p>
        </w:tc>
        <w:tc>
          <w:tcPr>
            <w:tcW w:type="dxa" w:w="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中</w:t>
            </w:r>
          </w:p>
        </w:tc>
        <w:tc>
          <w:tcPr>
            <w:tcW w:type="dxa" w:w="10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高</w:t>
            </w:r>
          </w:p>
        </w:tc>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数据授权不清、第三方许可冲突</w:t>
            </w:r>
          </w:p>
        </w:tc>
        <w:tc>
          <w:tcPr>
            <w:tcW w:type="dxa" w:w="321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数据最小化、许可证清单、真实材料审查</w:t>
            </w:r>
          </w:p>
        </w:tc>
      </w:tr>
      <w:tr>
        <w:trPr>
          <w:cantSplit w:val="true"/>
        </w:trPr>
        <w:tc>
          <w:tcPr>
            <w:tcW w:type="dxa" w:w="175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团队持续性</w:t>
            </w:r>
          </w:p>
        </w:tc>
        <w:tc>
          <w:tcPr>
            <w:tcW w:type="dxa" w:w="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中</w:t>
            </w:r>
          </w:p>
        </w:tc>
        <w:tc>
          <w:tcPr>
            <w:tcW w:type="dxa" w:w="10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高</w:t>
            </w:r>
          </w:p>
        </w:tc>
        <w:tc>
          <w:tcPr>
            <w:tcW w:type="dxa" w:w="2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核心成员投入下降</w:t>
            </w:r>
          </w:p>
        </w:tc>
        <w:tc>
          <w:tcPr>
            <w:tcW w:type="dxa" w:w="321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职责备份、文档化、模块所有权和阶段激励</w:t>
            </w:r>
          </w:p>
        </w:tc>
      </w:tr>
    </w:tbl>
    <w:p>
      <w:pPr>
        <w:pStyle w:val="Heading1"/>
        <w:pBdr>
          <w:bottom w:val="single" w:sz="7" w:space="4" w:color="D9E7F3"/>
        </w:pBdr>
      </w:pPr>
      <w:r>
        <w:t>教育实效与社会价值</w:t>
      </w:r>
    </w:p>
    <w:p>
      <w:pPr>
        <w:pStyle w:val="Heading2"/>
      </w:pPr>
      <w:r>
        <w:t>教育实效</w:t>
      </w:r>
    </w:p>
    <w:p>
      <w:pPr>
        <w:numPr>
          <w:ilvl w:val="0"/>
          <w:numId w:val="10"/>
        </w:numPr>
      </w:pPr>
      <w:r>
        <w:rPr>
          <w:rFonts w:ascii="Calibri" w:hAnsi="Calibri" w:eastAsia="Microsoft YaHei"/>
          <w:color w:val="243447"/>
          <w:sz w:val="20"/>
        </w:rPr>
        <w:t>专创融合：把人工智能、软件工程、人机交互、隐私安全和商业验证组织为同一项目实践。</w:t>
      </w:r>
    </w:p>
    <w:p>
      <w:pPr>
        <w:numPr>
          <w:ilvl w:val="0"/>
          <w:numId w:val="10"/>
        </w:numPr>
      </w:pPr>
      <w:r>
        <w:rPr>
          <w:rFonts w:ascii="Calibri" w:hAnsi="Calibri" w:eastAsia="Microsoft YaHei"/>
          <w:color w:val="243447"/>
          <w:sz w:val="20"/>
        </w:rPr>
        <w:t>能力培养：团队成员经历需求、架构、开发、测试、路演、用户研究和项目管理的完整过程。</w:t>
      </w:r>
    </w:p>
    <w:p>
      <w:pPr>
        <w:numPr>
          <w:ilvl w:val="0"/>
          <w:numId w:val="10"/>
        </w:numPr>
      </w:pPr>
      <w:r>
        <w:rPr>
          <w:rFonts w:ascii="Calibri" w:hAnsi="Calibri" w:eastAsia="Microsoft YaHei"/>
          <w:color w:val="243447"/>
          <w:sz w:val="20"/>
        </w:rPr>
        <w:t>课程支持：为资料整理、证据对照、报告写作和代码实践提供可审阅的智能协作工具。</w:t>
      </w:r>
    </w:p>
    <w:p>
      <w:pPr>
        <w:numPr>
          <w:ilvl w:val="0"/>
          <w:numId w:val="10"/>
        </w:numPr>
      </w:pPr>
      <w:r>
        <w:rPr>
          <w:rFonts w:ascii="Calibri" w:hAnsi="Calibri" w:eastAsia="Microsoft YaHei"/>
          <w:color w:val="243447"/>
          <w:sz w:val="20"/>
        </w:rPr>
        <w:t>开放示范：通过评测套件、契约和技能模板沉淀可复用的创新训练资源。</w:t>
      </w:r>
    </w:p>
    <w:p>
      <w:pPr>
        <w:pStyle w:val="Heading2"/>
      </w:pPr>
      <w:r>
        <w:t>社会价值</w:t>
      </w:r>
    </w:p>
    <w:p>
      <w:pPr>
        <w:keepLines w:val="0"/>
      </w:pPr>
      <w:r>
        <w:rPr>
          <w:rFonts w:ascii="Calibri" w:hAnsi="Calibri" w:eastAsia="Microsoft YaHei"/>
          <w:i w:val="0"/>
          <w:color w:val="243447"/>
          <w:sz w:val="21"/>
        </w:rPr>
        <w:t>OwO 的社会价值不只在于提高输入或生成速度，更在于让普通用户理解人工智能正在做什么、能否执行以及如何纠正。透明的审批和审计可以降低自动化误操作风险；本地优先与模型可替换有助于保护学习、研究和工作资料；陪伴式入口可降低复杂智能体的使用门槛，使更多用户能够获得可控的数字生产力工具。</w:t>
      </w:r>
    </w:p>
    <w:tbl>
      <w:tblPr>
        <w:tblW w:type="dxa" w:w="9360"/>
        <w:tblLayout w:type="fixed"/>
        <w:tblLook w:firstColumn="1" w:firstRow="1" w:lastColumn="0" w:lastRow="0" w:noHBand="0" w:noVBand="1" w:val="04A0"/>
        <w:jc w:val="left"/>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1900"/>
        <w:gridCol w:w="4300"/>
        <w:gridCol w:w="3160"/>
      </w:tblGrid>
      <w:tr>
        <w:trPr>
          <w:tblHeader w:val="true"/>
          <w:cantSplit w:val="true"/>
        </w:trPr>
        <w:tc>
          <w:tcPr>
            <w:tcW w:type="dxa" w:w="19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价值方向</w:t>
            </w:r>
          </w:p>
        </w:tc>
        <w:tc>
          <w:tcPr>
            <w:tcW w:type="dxa" w:w="43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项目贡献</w:t>
            </w:r>
          </w:p>
        </w:tc>
        <w:tc>
          <w:tcPr>
            <w:tcW w:type="dxa" w:w="316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建议评估指标</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学习效率</w:t>
            </w:r>
          </w:p>
        </w:tc>
        <w:tc>
          <w:tcPr>
            <w:tcW w:type="dxa" w:w="43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减少资料整理和格式处理，把时间转向理解与创造</w:t>
            </w:r>
          </w:p>
        </w:tc>
        <w:tc>
          <w:tcPr>
            <w:tcW w:type="dxa" w:w="31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任务节省时间、成果质量、学习者满意度</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数字包容</w:t>
            </w:r>
          </w:p>
        </w:tc>
        <w:tc>
          <w:tcPr>
            <w:tcW w:type="dxa" w:w="43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用可视化伙伴和分级交互降低操作门槛</w:t>
            </w:r>
          </w:p>
        </w:tc>
        <w:tc>
          <w:tcPr>
            <w:tcW w:type="dxa" w:w="31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首次成功率、求助次数、不同用户群可用性</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可信人工智能</w:t>
            </w:r>
          </w:p>
        </w:tc>
        <w:tc>
          <w:tcPr>
            <w:tcW w:type="dxa" w:w="43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让权限、审批、证据和结果可见</w:t>
            </w:r>
          </w:p>
        </w:tc>
        <w:tc>
          <w:tcPr>
            <w:tcW w:type="dxa" w:w="31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越权拦截、审计覆盖、误操作与恢复率</w:t>
            </w:r>
          </w:p>
        </w:tc>
      </w:tr>
      <w:tr>
        <w:trPr>
          <w:cantSplit w:val="true"/>
        </w:trPr>
        <w:tc>
          <w:tcPr>
            <w:tcW w:type="dxa" w:w="19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创新就业</w:t>
            </w:r>
          </w:p>
        </w:tc>
        <w:tc>
          <w:tcPr>
            <w:tcW w:type="dxa" w:w="43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培养AI产品、Agent工程、交互和运营复合能力</w:t>
            </w:r>
          </w:p>
        </w:tc>
        <w:tc>
          <w:tcPr>
            <w:tcW w:type="dxa" w:w="31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参与学生、实习岗位、技能与案例产出</w:t>
            </w:r>
          </w:p>
        </w:tc>
      </w:tr>
    </w:tbl>
    <w:p>
      <w:pPr>
        <w:pStyle w:val="Heading1"/>
        <w:pBdr>
          <w:bottom w:val="single" w:sz="7" w:space="4" w:color="D9E7F3"/>
        </w:pBdr>
      </w:pPr>
      <w:r>
        <w:t>参赛展示与答辩方案</w:t>
      </w:r>
    </w:p>
    <w:p>
      <w:pPr>
        <w:pStyle w:val="Heading2"/>
      </w:pPr>
      <w:r>
        <w:t>三分钟演示主线</w:t>
      </w:r>
    </w:p>
    <w:p>
      <w:pPr>
        <w:numPr>
          <w:ilvl w:val="0"/>
          <w:numId w:val="14"/>
        </w:numPr>
      </w:pPr>
      <w:r>
        <w:rPr>
          <w:rFonts w:ascii="Calibri" w:hAnsi="Calibri" w:eastAsia="Microsoft YaHei"/>
          <w:color w:val="243447"/>
          <w:sz w:val="20"/>
        </w:rPr>
        <w:t>痛点开场：用户在资料、文档和沟通应用间切换，重复复制内容并重新解释任务。</w:t>
      </w:r>
    </w:p>
    <w:p>
      <w:pPr>
        <w:numPr>
          <w:ilvl w:val="0"/>
          <w:numId w:val="14"/>
        </w:numPr>
      </w:pPr>
      <w:r>
        <w:rPr>
          <w:rFonts w:ascii="Calibri" w:hAnsi="Calibri" w:eastAsia="Microsoft YaHei"/>
          <w:color w:val="243447"/>
          <w:sz w:val="20"/>
        </w:rPr>
        <w:t>展示统一入口：导入资料，系统建立任务上下文，桌面状态可见且可纠正。</w:t>
      </w:r>
    </w:p>
    <w:p>
      <w:pPr>
        <w:numPr>
          <w:ilvl w:val="0"/>
          <w:numId w:val="14"/>
        </w:numPr>
      </w:pPr>
      <w:r>
        <w:rPr>
          <w:rFonts w:ascii="Calibri" w:hAnsi="Calibri" w:eastAsia="Microsoft YaHei"/>
          <w:color w:val="243447"/>
          <w:sz w:val="20"/>
        </w:rPr>
        <w:t>展示长任务：Coordinator拆分研究、撰写和校对任务，Worker并行处理并持续回传进度。</w:t>
      </w:r>
    </w:p>
    <w:p>
      <w:pPr>
        <w:numPr>
          <w:ilvl w:val="0"/>
          <w:numId w:val="14"/>
        </w:numPr>
      </w:pPr>
      <w:r>
        <w:rPr>
          <w:rFonts w:ascii="Calibri" w:hAnsi="Calibri" w:eastAsia="Microsoft YaHei"/>
          <w:color w:val="243447"/>
          <w:sz w:val="20"/>
        </w:rPr>
        <w:t>展示可信控制：文件写入或外部操作前出现审批，用户查看范围后确认。</w:t>
      </w:r>
    </w:p>
    <w:p>
      <w:pPr>
        <w:numPr>
          <w:ilvl w:val="0"/>
          <w:numId w:val="14"/>
        </w:numPr>
      </w:pPr>
      <w:r>
        <w:rPr>
          <w:rFonts w:ascii="Calibri" w:hAnsi="Calibri" w:eastAsia="Microsoft YaHei"/>
          <w:color w:val="243447"/>
          <w:sz w:val="20"/>
        </w:rPr>
        <w:t>展示成果：打开版本化Artifact、证据和差异，说明失败可追溯、成果可恢复。</w:t>
      </w:r>
    </w:p>
    <w:p>
      <w:pPr>
        <w:pStyle w:val="Heading2"/>
      </w:pPr>
      <w:r>
        <w:t>评委高频问题准备</w:t>
      </w:r>
    </w:p>
    <w:tbl>
      <w:tblPr>
        <w:tblW w:type="dxa" w:w="9360"/>
        <w:tblLayout w:type="fixed"/>
        <w:tblLook w:firstColumn="1" w:firstRow="1" w:lastColumn="0" w:lastRow="0" w:noHBand="0" w:noVBand="1" w:val="04A0"/>
        <w:jc w:val="left"/>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2000"/>
        <w:gridCol w:w="4700"/>
        <w:gridCol w:w="2660"/>
      </w:tblGrid>
      <w:tr>
        <w:trPr>
          <w:tblHeader w:val="true"/>
          <w:cantSplit w:val="true"/>
        </w:trPr>
        <w:tc>
          <w:tcPr>
            <w:tcW w:type="dxa" w:w="20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可能问题</w:t>
            </w:r>
          </w:p>
        </w:tc>
        <w:tc>
          <w:tcPr>
            <w:tcW w:type="dxa" w:w="47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建议回答要点</w:t>
            </w:r>
          </w:p>
        </w:tc>
        <w:tc>
          <w:tcPr>
            <w:tcW w:type="dxa" w:w="266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必须出示的证据</w:t>
            </w:r>
          </w:p>
        </w:tc>
      </w:tr>
      <w:tr>
        <w:trPr>
          <w:cantSplit w:val="true"/>
        </w:trPr>
        <w:tc>
          <w:tcPr>
            <w:tcW w:type="dxa" w:w="20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与通用AI助手有什么不同</w:t>
            </w:r>
          </w:p>
        </w:tc>
        <w:tc>
          <w:tcPr>
            <w:tcW w:type="dxa" w:w="47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不竞争基础模型，聚焦本地工作区、多Agent成果协作、审批审计和恢复</w:t>
            </w:r>
          </w:p>
        </w:tc>
        <w:tc>
          <w:tcPr>
            <w:tcW w:type="dxa" w:w="26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竞品矩阵、实机任务闭环</w:t>
            </w:r>
          </w:p>
        </w:tc>
      </w:tr>
      <w:tr>
        <w:trPr>
          <w:cantSplit w:val="true"/>
        </w:trPr>
        <w:tc>
          <w:tcPr>
            <w:tcW w:type="dxa" w:w="20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输入法和桌宠是否已经完成</w:t>
            </w:r>
          </w:p>
        </w:tc>
        <w:tc>
          <w:tcPr>
            <w:tcW w:type="dxa" w:w="47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它们是统一产品愿景；当前交付主线是多Agent工作台，明确说明阶段</w:t>
            </w:r>
          </w:p>
        </w:tc>
        <w:tc>
          <w:tcPr>
            <w:tcW w:type="dxa" w:w="26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成熟度表、路线图</w:t>
            </w:r>
          </w:p>
        </w:tc>
      </w:tr>
      <w:tr>
        <w:trPr>
          <w:cantSplit w:val="true"/>
        </w:trPr>
        <w:tc>
          <w:tcPr>
            <w:tcW w:type="dxa" w:w="20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多Agent真的更好吗</w:t>
            </w:r>
          </w:p>
        </w:tc>
        <w:tc>
          <w:tcPr>
            <w:tcW w:type="dxa" w:w="47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只在预设任务满足质量、成功率或耗时收益时启用，不默认堆Agent</w:t>
            </w:r>
          </w:p>
        </w:tc>
        <w:tc>
          <w:tcPr>
            <w:tcW w:type="dxa" w:w="26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单Agent基线、WorkSwarm评测计划</w:t>
            </w:r>
          </w:p>
        </w:tc>
      </w:tr>
      <w:tr>
        <w:trPr>
          <w:cantSplit w:val="true"/>
        </w:trPr>
        <w:tc>
          <w:tcPr>
            <w:tcW w:type="dxa" w:w="20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如何避免误操作和泄密</w:t>
            </w:r>
          </w:p>
        </w:tc>
        <w:tc>
          <w:tcPr>
            <w:tcW w:type="dxa" w:w="47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默认拒绝、独立审批、凭据隔离、敏感熔断、审计和回退</w:t>
            </w:r>
          </w:p>
        </w:tc>
        <w:tc>
          <w:tcPr>
            <w:tcW w:type="dxa" w:w="26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审批流程与安全测试</w:t>
            </w:r>
          </w:p>
        </w:tc>
      </w:tr>
      <w:tr>
        <w:trPr>
          <w:cantSplit w:val="true"/>
        </w:trPr>
        <w:tc>
          <w:tcPr>
            <w:tcW w:type="dxa" w:w="20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商业模式是否成立</w:t>
            </w:r>
          </w:p>
        </w:tc>
        <w:tc>
          <w:tcPr>
            <w:tcW w:type="dxa" w:w="47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先以高频任务验证留存和付费，再扩展团队、私有部署与技能生态</w:t>
            </w:r>
          </w:p>
        </w:tc>
        <w:tc>
          <w:tcPr>
            <w:tcW w:type="dxa" w:w="26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6"/>
              </w:rPr>
              <w:t>用户访谈、试点、付费测试</w:t>
            </w:r>
          </w:p>
        </w:tc>
      </w:tr>
    </w:tbl>
    <w:p>
      <w:pPr>
        <w:pStyle w:val="Heading2"/>
      </w:pPr>
      <w:r>
        <w:t>提交材料清单</w:t>
      </w:r>
    </w:p>
    <w:p>
      <w:pPr>
        <w:numPr>
          <w:ilvl w:val="0"/>
          <w:numId w:val="10"/>
        </w:numPr>
      </w:pPr>
      <w:r>
        <w:rPr>
          <w:rFonts w:ascii="Calibri" w:hAnsi="Calibri" w:eastAsia="Microsoft YaHei"/>
          <w:color w:val="243447"/>
          <w:sz w:val="20"/>
        </w:rPr>
        <w:t>项目计划书、路演PPT、三分钟演示视频或现场演示脚本。</w:t>
      </w:r>
    </w:p>
    <w:p>
      <w:pPr>
        <w:numPr>
          <w:ilvl w:val="0"/>
          <w:numId w:val="10"/>
        </w:numPr>
      </w:pPr>
      <w:r>
        <w:rPr>
          <w:rFonts w:ascii="Calibri" w:hAnsi="Calibri" w:eastAsia="Microsoft YaHei"/>
          <w:color w:val="243447"/>
          <w:sz w:val="20"/>
        </w:rPr>
        <w:t>最新可安装版本、版本哈希、复现实验说明和演示数据。</w:t>
      </w:r>
    </w:p>
    <w:p>
      <w:pPr>
        <w:numPr>
          <w:ilvl w:val="0"/>
          <w:numId w:val="10"/>
        </w:numPr>
      </w:pPr>
      <w:r>
        <w:rPr>
          <w:rFonts w:ascii="Calibri" w:hAnsi="Calibri" w:eastAsia="Microsoft YaHei"/>
          <w:color w:val="243447"/>
          <w:sz w:val="20"/>
        </w:rPr>
        <w:t>源码与功能证据清单、测试报告、失败记录与修复复测。</w:t>
      </w:r>
    </w:p>
    <w:p>
      <w:pPr>
        <w:numPr>
          <w:ilvl w:val="0"/>
          <w:numId w:val="10"/>
        </w:numPr>
      </w:pPr>
      <w:r>
        <w:rPr>
          <w:rFonts w:ascii="Calibri" w:hAnsi="Calibri" w:eastAsia="Microsoft YaHei"/>
          <w:color w:val="243447"/>
          <w:sz w:val="20"/>
        </w:rPr>
        <w:t>团队成员与实质贡献说明、指导教师信息和签字承诺。</w:t>
      </w:r>
    </w:p>
    <w:p>
      <w:pPr>
        <w:numPr>
          <w:ilvl w:val="0"/>
          <w:numId w:val="10"/>
        </w:numPr>
      </w:pPr>
      <w:r>
        <w:rPr>
          <w:rFonts w:ascii="Calibri" w:hAnsi="Calibri" w:eastAsia="Microsoft YaHei"/>
          <w:color w:val="243447"/>
          <w:sz w:val="20"/>
        </w:rPr>
        <w:t>软件著作权、专利、商标、获奖、用户反馈或试点协议等真实附件。</w:t>
      </w:r>
    </w:p>
    <w:p>
      <w:pPr>
        <w:numPr>
          <w:ilvl w:val="0"/>
          <w:numId w:val="10"/>
        </w:numPr>
      </w:pPr>
      <w:r>
        <w:rPr>
          <w:rFonts w:ascii="Calibri" w:hAnsi="Calibri" w:eastAsia="Microsoft YaHei"/>
          <w:color w:val="243447"/>
          <w:sz w:val="20"/>
        </w:rPr>
        <w:t>市场调研原始表、访谈纪要、财务假设表与引用来源。</w:t>
      </w:r>
    </w:p>
    <w:p>
      <w:pPr>
        <w:pStyle w:val="Heading1"/>
        <w:pBdr>
          <w:bottom w:val="single" w:sz="7" w:space="4" w:color="D9E7F3"/>
        </w:pBdr>
      </w:pPr>
      <w:r>
        <w:t>结论</w:t>
      </w:r>
    </w:p>
    <w:p>
      <w:pPr>
        <w:keepLines w:val="0"/>
      </w:pPr>
      <w:r>
        <w:rPr>
          <w:rFonts w:ascii="Calibri" w:hAnsi="Calibri" w:eastAsia="Microsoft YaHei"/>
          <w:i w:val="0"/>
          <w:color w:val="243447"/>
          <w:sz w:val="21"/>
        </w:rPr>
        <w:t>OwO 选择了一条兼顾用户体验与安全边界的桌面智能体路线。它以情境连续性连接理解、表达与行动，以多智能体协同处理复杂任务，以版本化成果替代零散回答，并把权限、审批、审计和恢复作为产品核心。当前项目已经形成可持续开发的本地Agent工程基础和量化评测方法，下一阶段应集中完成发布稳定性、真实用户验证和工作台产品化，再逐步扩展桌面伙伴、表达入口和商业生态。</w:t>
      </w:r>
    </w:p>
    <w:p>
      <w:pPr>
        <w:keepLines w:val="0"/>
      </w:pPr>
      <w:r>
        <w:rPr>
          <w:rFonts w:ascii="Calibri" w:hAnsi="Calibri" w:eastAsia="Microsoft YaHei"/>
          <w:i w:val="0"/>
          <w:color w:val="243447"/>
          <w:sz w:val="21"/>
        </w:rPr>
        <w:t>参赛的关键不在于展示最多功能，而在于用一条真实、可复现的任务证明项目能够解决明确痛点，并诚实说明已完成、可演示和后续规划的边界。只要团队持续以真实证据驱动迭代，OwO 有机会成为面向学习、研究、文档与开发场景的可信个人智能工作台，并进一步演化为具有陪伴感和情境理解能力的桌面智能交互系统。</w:t>
      </w:r>
    </w:p>
    <w:p>
      <w:pPr>
        <w:pStyle w:val="Heading1"/>
        <w:pBdr>
          <w:bottom w:val="single" w:sz="7" w:space="4" w:color="D9E7F3"/>
        </w:pBdr>
      </w:pPr>
      <w:r>
        <w:t>参考资料</w:t>
      </w:r>
    </w:p>
    <w:p>
      <w:pPr>
        <w:numPr>
          <w:ilvl w:val="0"/>
          <w:numId w:val="15"/>
        </w:numPr>
      </w:pPr>
      <w:r>
        <w:rPr>
          <w:rFonts w:ascii="Calibri" w:hAnsi="Calibri" w:eastAsia="Microsoft YaHei"/>
          <w:color w:val="243447"/>
          <w:sz w:val="18"/>
        </w:rPr>
        <w:t xml:space="preserve">教育部关于举办中国国际大学生创新大赛（2026）的通知  </w:t>
      </w:r>
      <w:hyperlink r:id="rId14">
        <w:r>
          <w:rPr>
            <w:rFonts w:ascii="Calibri" w:hAnsi="Calibri" w:eastAsia="Microsoft YaHei"/>
            <w:color w:val="2E74B5"/>
            <w:u w:val="single"/>
          </w:rPr>
          <w:t>https://hudong.moe.gov.cn/srcsite/A08/s5672/202607/t20260731_1445670.html</w:t>
        </w:r>
      </w:hyperlink>
    </w:p>
    <w:p>
      <w:pPr>
        <w:numPr>
          <w:ilvl w:val="0"/>
          <w:numId w:val="15"/>
        </w:numPr>
      </w:pPr>
      <w:r>
        <w:rPr>
          <w:rFonts w:ascii="Calibri" w:hAnsi="Calibri" w:eastAsia="Microsoft YaHei"/>
          <w:color w:val="243447"/>
          <w:sz w:val="18"/>
        </w:rPr>
        <w:t xml:space="preserve">中国国际大学生创新大赛高教主赛道商业计划书参考模板  </w:t>
      </w:r>
      <w:hyperlink r:id="rId15">
        <w:r>
          <w:rPr>
            <w:rFonts w:ascii="Calibri" w:hAnsi="Calibri" w:eastAsia="Microsoft YaHei"/>
            <w:color w:val="2E74B5"/>
            <w:u w:val="single"/>
          </w:rPr>
          <w:t>https://cxcyxy.whmc.edu.cn/info/1091/2592.htm</w:t>
        </w:r>
      </w:hyperlink>
    </w:p>
    <w:p>
      <w:pPr>
        <w:numPr>
          <w:ilvl w:val="0"/>
          <w:numId w:val="15"/>
        </w:numPr>
      </w:pPr>
      <w:r>
        <w:rPr>
          <w:rFonts w:ascii="Calibri" w:hAnsi="Calibri" w:eastAsia="Microsoft YaHei"/>
          <w:color w:val="243447"/>
          <w:sz w:val="18"/>
        </w:rPr>
        <w:t xml:space="preserve">CNNIC 第57次中国互联网络发展状况统计报告  </w:t>
      </w:r>
      <w:hyperlink r:id="rId16">
        <w:r>
          <w:rPr>
            <w:rFonts w:ascii="Calibri" w:hAnsi="Calibri" w:eastAsia="Microsoft YaHei"/>
            <w:color w:val="2E74B5"/>
            <w:u w:val="single"/>
          </w:rPr>
          <w:t>https://www3.cnnic.cn/n4/2026/0304/c88-11549.html</w:t>
        </w:r>
      </w:hyperlink>
    </w:p>
    <w:p>
      <w:pPr>
        <w:numPr>
          <w:ilvl w:val="0"/>
          <w:numId w:val="15"/>
        </w:numPr>
      </w:pPr>
      <w:r>
        <w:rPr>
          <w:rFonts w:ascii="Calibri" w:hAnsi="Calibri" w:eastAsia="Microsoft YaHei"/>
          <w:color w:val="243447"/>
          <w:sz w:val="18"/>
        </w:rPr>
        <w:t xml:space="preserve">CNNIC 生成式人工智能应用发展报告（2025）发布信息  </w:t>
      </w:r>
      <w:hyperlink r:id="rId17">
        <w:r>
          <w:rPr>
            <w:rFonts w:ascii="Calibri" w:hAnsi="Calibri" w:eastAsia="Microsoft YaHei"/>
            <w:color w:val="2E74B5"/>
            <w:u w:val="single"/>
          </w:rPr>
          <w:t>https://www2.cnnic.cn/n4/2025/1020/c326-11388.html</w:t>
        </w:r>
      </w:hyperlink>
    </w:p>
    <w:p>
      <w:pPr>
        <w:numPr>
          <w:ilvl w:val="0"/>
          <w:numId w:val="15"/>
        </w:numPr>
      </w:pPr>
      <w:r>
        <w:rPr>
          <w:rFonts w:ascii="Calibri" w:hAnsi="Calibri" w:eastAsia="Microsoft YaHei"/>
          <w:color w:val="243447"/>
          <w:sz w:val="18"/>
        </w:rPr>
        <w:t xml:space="preserve">国务院关于深入实施人工智能加行动的意见  </w:t>
      </w:r>
      <w:hyperlink r:id="rId18">
        <w:r>
          <w:rPr>
            <w:rFonts w:ascii="Calibri" w:hAnsi="Calibri" w:eastAsia="Microsoft YaHei"/>
            <w:color w:val="2E74B5"/>
            <w:u w:val="single"/>
          </w:rPr>
          <w:t>https://www.gov.cn/gongbao/2025/issue_12266/material/gwygb202525.pdf</w:t>
        </w:r>
      </w:hyperlink>
    </w:p>
    <w:p>
      <w:pPr>
        <w:numPr>
          <w:ilvl w:val="0"/>
          <w:numId w:val="15"/>
        </w:numPr>
      </w:pPr>
      <w:r>
        <w:rPr>
          <w:rFonts w:ascii="Calibri" w:hAnsi="Calibri" w:eastAsia="Microsoft YaHei"/>
          <w:color w:val="243447"/>
          <w:sz w:val="18"/>
        </w:rPr>
        <w:t xml:space="preserve">Microsoft Support  Copilot on Windows 功能说明  </w:t>
      </w:r>
      <w:hyperlink r:id="rId19">
        <w:r>
          <w:rPr>
            <w:rFonts w:ascii="Calibri" w:hAnsi="Calibri" w:eastAsia="Microsoft YaHei"/>
            <w:color w:val="2E74B5"/>
            <w:u w:val="single"/>
          </w:rPr>
          <w:t>https://support.microsoft.com/en-us/microsoft-copilot/getting-started-with-copilot-on-windows</w:t>
        </w:r>
      </w:hyperlink>
    </w:p>
    <w:p>
      <w:pPr>
        <w:numPr>
          <w:ilvl w:val="0"/>
          <w:numId w:val="15"/>
        </w:numPr>
      </w:pPr>
      <w:r>
        <w:rPr>
          <w:rFonts w:ascii="Calibri" w:hAnsi="Calibri" w:eastAsia="Microsoft YaHei"/>
          <w:color w:val="243447"/>
          <w:sz w:val="18"/>
        </w:rPr>
        <w:t xml:space="preserve">OpenAI Help Center  Apps in ChatGPT  </w:t>
      </w:r>
      <w:hyperlink r:id="rId20">
        <w:r>
          <w:rPr>
            <w:rFonts w:ascii="Calibri" w:hAnsi="Calibri" w:eastAsia="Microsoft YaHei"/>
            <w:color w:val="2E74B5"/>
            <w:u w:val="single"/>
          </w:rPr>
          <w:t>https://help.openai.com/en/articles/11487775-apps-in-chatgpt</w:t>
        </w:r>
      </w:hyperlink>
    </w:p>
    <w:p>
      <w:pPr>
        <w:numPr>
          <w:ilvl w:val="0"/>
          <w:numId w:val="15"/>
        </w:numPr>
      </w:pPr>
      <w:r>
        <w:rPr>
          <w:rFonts w:ascii="Calibri" w:hAnsi="Calibri" w:eastAsia="Microsoft YaHei"/>
          <w:color w:val="243447"/>
          <w:sz w:val="18"/>
        </w:rPr>
        <w:t xml:space="preserve">OwO Agent SDK README 与当前源码  </w:t>
      </w:r>
      <w:r>
        <w:rPr>
          <w:rFonts w:ascii="Calibri" w:hAnsi="Calibri" w:eastAsia="Microsoft YaHei"/>
          <w:color w:val="66758A"/>
          <w:sz w:val="17"/>
        </w:rPr>
        <w:t>T:\创新创业\OwO-master\agent-sdk\README.md</w:t>
      </w:r>
    </w:p>
    <w:p>
      <w:pPr>
        <w:numPr>
          <w:ilvl w:val="0"/>
          <w:numId w:val="15"/>
        </w:numPr>
      </w:pPr>
      <w:r>
        <w:rPr>
          <w:rFonts w:ascii="Calibri" w:hAnsi="Calibri" w:eastAsia="Microsoft YaHei"/>
          <w:color w:val="243447"/>
          <w:sz w:val="18"/>
        </w:rPr>
        <w:t xml:space="preserve">OwO V1-R1 产品评测验收报告  </w:t>
      </w:r>
      <w:r>
        <w:rPr>
          <w:rFonts w:ascii="Calibri" w:hAnsi="Calibri" w:eastAsia="Microsoft YaHei"/>
          <w:color w:val="66758A"/>
          <w:sz w:val="17"/>
        </w:rPr>
        <w:t>T:\创新创业\OwO-master\agent-sdk\evals\v1\results\accept-20260831-142050\acceptance-report.md</w:t>
      </w:r>
    </w:p>
    <w:p>
      <w:pPr>
        <w:numPr>
          <w:ilvl w:val="0"/>
          <w:numId w:val="15"/>
        </w:numPr>
      </w:pPr>
      <w:r>
        <w:rPr>
          <w:rFonts w:ascii="Calibri" w:hAnsi="Calibri" w:eastAsia="Microsoft YaHei"/>
          <w:color w:val="243447"/>
          <w:sz w:val="18"/>
        </w:rPr>
        <w:t xml:space="preserve">OwO 主开发技术文档 Agent SDK v1  </w:t>
      </w:r>
      <w:r>
        <w:rPr>
          <w:rFonts w:ascii="Calibri" w:hAnsi="Calibri" w:eastAsia="Microsoft YaHei"/>
          <w:color w:val="66758A"/>
          <w:sz w:val="17"/>
        </w:rPr>
        <w:t>T:\创新创业\OwO-master\builGoal\主开发技术文档-Agent-SDK-v1.md</w:t>
      </w:r>
    </w:p>
    <w:p>
      <w:pPr>
        <w:pStyle w:val="Heading1"/>
        <w:pBdr>
          <w:bottom w:val="single" w:sz="7" w:space="4" w:color="D9E7F3"/>
        </w:pBdr>
      </w:pPr>
      <w:r>
        <w:t>附录  提交前补充清单</w:t>
      </w:r>
    </w:p>
    <w:tbl>
      <w:tblPr>
        <w:tblW w:type="dxa" w:w="9360"/>
        <w:tblLayout w:type="fixed"/>
        <w:tblLook w:firstColumn="1" w:firstRow="1" w:lastColumn="0" w:lastRow="0" w:noHBand="0" w:noVBand="1" w:val="04A0"/>
        <w:jc w:val="left"/>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2600"/>
        <w:gridCol w:w="1500"/>
        <w:gridCol w:w="1800"/>
        <w:gridCol w:w="3460"/>
      </w:tblGrid>
      <w:tr>
        <w:trPr>
          <w:tblHeader w:val="true"/>
          <w:cantSplit w:val="true"/>
        </w:trPr>
        <w:tc>
          <w:tcPr>
            <w:tcW w:type="dxa" w:w="26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事项</w:t>
            </w:r>
          </w:p>
        </w:tc>
        <w:tc>
          <w:tcPr>
            <w:tcW w:type="dxa" w:w="15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当前状态</w:t>
            </w:r>
          </w:p>
        </w:tc>
        <w:tc>
          <w:tcPr>
            <w:tcW w:type="dxa" w:w="180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负责人</w:t>
            </w:r>
          </w:p>
        </w:tc>
        <w:tc>
          <w:tcPr>
            <w:tcW w:type="dxa" w:w="3460"/>
            <w:tcMar>
              <w:top w:w="90" w:type="dxa"/>
              <w:start w:w="120" w:type="dxa"/>
              <w:bottom w:w="90" w:type="dxa"/>
              <w:end w:w="120" w:type="dxa"/>
            </w:tcMar>
            <w:vAlign w:val="center"/>
            <w:shd w:fill="F4F6F9"/>
          </w:tcPr>
          <w:p>
            <w:pPr>
              <w:spacing w:after="0"/>
              <w:jc w:val="center"/>
            </w:pPr>
            <w:r>
              <w:rPr>
                <w:rFonts w:ascii="Calibri" w:hAnsi="Calibri" w:eastAsia="Microsoft YaHei"/>
                <w:b/>
                <w:color w:val="12233F"/>
                <w:sz w:val="18"/>
              </w:rPr>
              <w:t>完成标准</w:t>
            </w:r>
          </w:p>
        </w:tc>
      </w:tr>
      <w:tr>
        <w:trPr>
          <w:cantSplit w:val="true"/>
        </w:trPr>
        <w:tc>
          <w:tcPr>
            <w:tcW w:type="dxa" w:w="2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比赛名称、赛道与格式</w:t>
            </w:r>
          </w:p>
        </w:tc>
        <w:tc>
          <w:tcPr>
            <w:tcW w:type="dxa" w:w="1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待确认</w:t>
            </w:r>
          </w:p>
        </w:tc>
        <w:tc>
          <w:tcPr>
            <w:tcW w:type="dxa" w:w="18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项目负责人</w:t>
            </w:r>
          </w:p>
        </w:tc>
        <w:tc>
          <w:tcPr>
            <w:tcW w:type="dxa" w:w="34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对照当届通知逐项通过</w:t>
            </w:r>
          </w:p>
        </w:tc>
      </w:tr>
      <w:tr>
        <w:trPr>
          <w:cantSplit w:val="true"/>
        </w:trPr>
        <w:tc>
          <w:tcPr>
            <w:tcW w:type="dxa" w:w="2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团队成员与真实贡献</w:t>
            </w:r>
          </w:p>
        </w:tc>
        <w:tc>
          <w:tcPr>
            <w:tcW w:type="dxa" w:w="1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待填写</w:t>
            </w:r>
          </w:p>
        </w:tc>
        <w:tc>
          <w:tcPr>
            <w:tcW w:type="dxa" w:w="18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项目负责人</w:t>
            </w:r>
          </w:p>
        </w:tc>
        <w:tc>
          <w:tcPr>
            <w:tcW w:type="dxa" w:w="34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成员确认并有证据</w:t>
            </w:r>
          </w:p>
        </w:tc>
      </w:tr>
      <w:tr>
        <w:trPr>
          <w:cantSplit w:val="true"/>
        </w:trPr>
        <w:tc>
          <w:tcPr>
            <w:tcW w:type="dxa" w:w="2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用户调研与试点</w:t>
            </w:r>
          </w:p>
        </w:tc>
        <w:tc>
          <w:tcPr>
            <w:tcW w:type="dxa" w:w="1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待补充</w:t>
            </w:r>
          </w:p>
        </w:tc>
        <w:tc>
          <w:tcPr>
            <w:tcW w:type="dxa" w:w="18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市场负责人</w:t>
            </w:r>
          </w:p>
        </w:tc>
        <w:tc>
          <w:tcPr>
            <w:tcW w:type="dxa" w:w="34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原始问卷、访谈和反馈可追溯</w:t>
            </w:r>
          </w:p>
        </w:tc>
      </w:tr>
      <w:tr>
        <w:trPr>
          <w:cantSplit w:val="true"/>
        </w:trPr>
        <w:tc>
          <w:tcPr>
            <w:tcW w:type="dxa" w:w="2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知识产权与许可证</w:t>
            </w:r>
          </w:p>
        </w:tc>
        <w:tc>
          <w:tcPr>
            <w:tcW w:type="dxa" w:w="1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待核验</w:t>
            </w:r>
          </w:p>
        </w:tc>
        <w:tc>
          <w:tcPr>
            <w:tcW w:type="dxa" w:w="18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技术负责人</w:t>
            </w:r>
          </w:p>
        </w:tc>
        <w:tc>
          <w:tcPr>
            <w:tcW w:type="dxa" w:w="34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证书或申请材料、依赖清单完整</w:t>
            </w:r>
          </w:p>
        </w:tc>
      </w:tr>
      <w:tr>
        <w:trPr>
          <w:cantSplit w:val="true"/>
        </w:trPr>
        <w:tc>
          <w:tcPr>
            <w:tcW w:type="dxa" w:w="2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最新发布包实机验收</w:t>
            </w:r>
          </w:p>
        </w:tc>
        <w:tc>
          <w:tcPr>
            <w:tcW w:type="dxa" w:w="1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部分完成</w:t>
            </w:r>
          </w:p>
        </w:tc>
        <w:tc>
          <w:tcPr>
            <w:tcW w:type="dxa" w:w="18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技术负责人</w:t>
            </w:r>
          </w:p>
        </w:tc>
        <w:tc>
          <w:tcPr>
            <w:tcW w:type="dxa" w:w="34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安装、配对、核心流程、恢复和卸载通过</w:t>
            </w:r>
          </w:p>
        </w:tc>
      </w:tr>
      <w:tr>
        <w:trPr>
          <w:cantSplit w:val="true"/>
        </w:trPr>
        <w:tc>
          <w:tcPr>
            <w:tcW w:type="dxa" w:w="2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多Agent收益证据</w:t>
            </w:r>
          </w:p>
        </w:tc>
        <w:tc>
          <w:tcPr>
            <w:tcW w:type="dxa" w:w="1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待专项评测</w:t>
            </w:r>
          </w:p>
        </w:tc>
        <w:tc>
          <w:tcPr>
            <w:tcW w:type="dxa" w:w="18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评测负责人</w:t>
            </w:r>
          </w:p>
        </w:tc>
        <w:tc>
          <w:tcPr>
            <w:tcW w:type="dxa" w:w="34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与单Agent相比至少一项指标显著改善</w:t>
            </w:r>
          </w:p>
        </w:tc>
      </w:tr>
      <w:tr>
        <w:trPr>
          <w:cantSplit w:val="true"/>
        </w:trPr>
        <w:tc>
          <w:tcPr>
            <w:tcW w:type="dxa" w:w="2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财务假设复核</w:t>
            </w:r>
          </w:p>
        </w:tc>
        <w:tc>
          <w:tcPr>
            <w:tcW w:type="dxa" w:w="1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情景测算</w:t>
            </w:r>
          </w:p>
        </w:tc>
        <w:tc>
          <w:tcPr>
            <w:tcW w:type="dxa" w:w="18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财务负责人</w:t>
            </w:r>
          </w:p>
        </w:tc>
        <w:tc>
          <w:tcPr>
            <w:tcW w:type="dxa" w:w="34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价格、转化、成本有依据并签字</w:t>
            </w:r>
          </w:p>
        </w:tc>
      </w:tr>
      <w:tr>
        <w:trPr>
          <w:cantSplit w:val="true"/>
        </w:trPr>
        <w:tc>
          <w:tcPr>
            <w:tcW w:type="dxa" w:w="26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PPT与演示视频</w:t>
            </w:r>
          </w:p>
        </w:tc>
        <w:tc>
          <w:tcPr>
            <w:tcW w:type="dxa" w:w="15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待制作</w:t>
            </w:r>
          </w:p>
        </w:tc>
        <w:tc>
          <w:tcPr>
            <w:tcW w:type="dxa" w:w="180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路演负责人</w:t>
            </w:r>
          </w:p>
        </w:tc>
        <w:tc>
          <w:tcPr>
            <w:tcW w:type="dxa" w:w="3460"/>
            <w:tcMar>
              <w:top w:w="90" w:type="dxa"/>
              <w:start w:w="120" w:type="dxa"/>
              <w:bottom w:w="90" w:type="dxa"/>
              <w:end w:w="120" w:type="dxa"/>
            </w:tcMar>
            <w:vAlign w:val="center"/>
          </w:tcPr>
          <w:p>
            <w:pPr>
              <w:spacing w:after="0" w:line="276" w:lineRule="auto"/>
              <w:jc w:val="left"/>
            </w:pPr>
            <w:r>
              <w:rPr>
                <w:rFonts w:ascii="Calibri" w:hAnsi="Calibri" w:eastAsia="Microsoft YaHei"/>
                <w:color w:val="243447"/>
                <w:sz w:val="17"/>
              </w:rPr>
              <w:t>3分钟主线清晰、无夸大、可复现</w:t>
            </w:r>
          </w:p>
        </w:tc>
      </w:tr>
    </w:tbl>
    <w:sectPr w:rsidR="00FC693F" w:rsidRPr="0006063C" w:rsidSect="00034616">
      <w:headerReference w:type="default" r:id="rId9"/>
      <w:footerReference w:type="default" r:id="rId10"/>
      <w:pgSz w:w="12240" w:h="15840"/>
      <w:pgMar w:top="1123" w:right="1181" w:bottom="1037" w:left="1181"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66758A"/>
        <w:sz w:val="17"/>
      </w:rPr>
      <w:t xml:space="preserve">第 </w:t>
    </w:r>
    <w:r>
      <w:rPr>
        <w:rFonts w:ascii="Calibri" w:hAnsi="Calibri" w:eastAsia="Microsoft YaHei"/>
        <w:color w:val="66758A"/>
        <w:sz w:val="17"/>
      </w:rPr>
      <w:fldChar w:fldCharType="begin"/>
      <w:instrText xml:space="preserve"> PAGE </w:instrText>
      <w:fldChar w:fldCharType="separate"/>
      <w:t>1</w:t>
      <w:fldChar w:fldCharType="end"/>
    </w:r>
    <w:r>
      <w:rPr>
        <w:rFonts w:ascii="Calibri" w:hAnsi="Calibri" w:eastAsia="Microsoft YaHei"/>
        <w:color w:val="66758A"/>
        <w:sz w:val="17"/>
      </w:rPr>
      <w:t xml:space="preserve"> 页  共 </w:t>
    </w:r>
    <w:r>
      <w:rPr>
        <w:rFonts w:ascii="Calibri" w:hAnsi="Calibri" w:eastAsia="Microsoft YaHei"/>
        <w:color w:val="66758A"/>
        <w:sz w:val="17"/>
      </w:rPr>
      <w:fldChar w:fldCharType="begin"/>
      <w:instrText xml:space="preserve"> NUMPAGES </w:instrText>
      <w:fldChar w:fldCharType="separate"/>
      <w:t>1</w:t>
      <w:fldChar w:fldCharType="end"/>
    </w:r>
    <w:r>
      <w:rPr>
        <w:rFonts w:ascii="Calibri" w:hAnsi="Calibri" w:eastAsia="Microsoft YaHei"/>
        <w:color w:val="66758A"/>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3" w:color="DDE4EC"/>
      </w:pBdr>
    </w:pPr>
    <w:r>
      <w:rPr>
        <w:rFonts w:ascii="Calibri" w:hAnsi="Calibri" w:eastAsia="Microsoft YaHei"/>
        <w:b/>
        <w:color w:val="66758A"/>
        <w:sz w:val="17"/>
      </w:rPr>
      <w:t>OwO 情境感知智能交互系统  |  参赛项目计划书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after="80" w:line="290"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540"/>
        </w:tabs>
        <w:ind w:left="540" w:hanging="280"/>
        <w:spacing w:after="80" w:line="290" w:lineRule="auto"/>
      </w:pPr>
      <w:rPr>
        <w:rFonts w:ascii="Calibri" w:hAnsi="Calibri"/>
      </w:r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307" w:lineRule="auto"/>
      <w:jc w:val="both"/>
    </w:pPr>
    <w:rPr>
      <w:rFonts w:ascii="Calibri" w:hAnsi="Calibri" w:eastAsia="Microsoft YaHei"/>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eastAsia="Microsoft YaHe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eastAsia="Microsoft YaHei"/>
      <w:b/>
      <w:bCs/>
      <w:color w:val="1223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Microsoft YaHei"/>
      <w:b/>
      <w:color w:val="1223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eastAsia="Microsoft YaHei"/>
      <w:b w:val="0"/>
      <w:i/>
      <w:iCs/>
      <w:color w:val="66758A"/>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60"/>
      <w:jc w:val="center"/>
    </w:pPr>
    <w:rPr>
      <w:rFonts w:ascii="Calibri" w:hAnsi="Calibri" w:eastAsia="Microsoft YaHei"/>
      <w:b/>
      <w:bCs/>
      <w:color w:val="66758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hudong.moe.gov.cn/srcsite/A08/s5672/202607/t20260731_1445670.html" TargetMode="External"/><Relationship Id="rId15" Type="http://schemas.openxmlformats.org/officeDocument/2006/relationships/hyperlink" Target="https://cxcyxy.whmc.edu.cn/info/1091/2592.htm" TargetMode="External"/><Relationship Id="rId16" Type="http://schemas.openxmlformats.org/officeDocument/2006/relationships/hyperlink" Target="https://www3.cnnic.cn/n4/2026/0304/c88-11549.html" TargetMode="External"/><Relationship Id="rId17" Type="http://schemas.openxmlformats.org/officeDocument/2006/relationships/hyperlink" Target="https://www2.cnnic.cn/n4/2025/1020/c326-11388.html" TargetMode="External"/><Relationship Id="rId18" Type="http://schemas.openxmlformats.org/officeDocument/2006/relationships/hyperlink" Target="https://www.gov.cn/gongbao/2025/issue_12266/material/gwygb202525.pdf" TargetMode="External"/><Relationship Id="rId19" Type="http://schemas.openxmlformats.org/officeDocument/2006/relationships/hyperlink" Target="https://support.microsoft.com/en-us/microsoft-copilot/getting-started-with-copilot-on-windows" TargetMode="External"/><Relationship Id="rId20" Type="http://schemas.openxmlformats.org/officeDocument/2006/relationships/hyperlink" Target="https://help.openai.com/en/articles/11487775-apps-in-chatg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OwO 情境感知智能交互系统参赛项目计划书</dc:title>
  <dc:subject>大学生创新创业竞赛项目计划书</dc:subject>
  <dc:creator>OwO 项目团队</dc:creator>
  <cp:keywords>OwO, 情境感知, 桌面智能体, 多智能体, WorkSwarm, 创新创业</cp:keywords>
  <dc:description>基于当前源码、测试报告、产品文档与公开赛事资料生成的参赛初稿。</dc:description>
  <cp:lastModifiedBy/>
  <cp:revision>1</cp:revision>
  <dcterms:created xsi:type="dcterms:W3CDTF">2013-12-23T23:15:00Z</dcterms:created>
  <dcterms:modified xsi:type="dcterms:W3CDTF">2013-12-23T23:15:00Z</dcterms:modified>
  <cp:category/>
</cp:coreProperties>
</file>