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rPr>
          <w:rFonts w:ascii="Microsoft YaHei" w:hAnsi="Microsoft YaHei" w:eastAsia="Microsoft YaHei" w:cs="Microsoft YaHei"/>
          <w:b/>
          <w:color w:val="163B65"/>
          <w:sz w:val="30"/>
        </w:rPr>
        <w:t>中国国际大学生创新大赛 2026</w:t>
      </w:r>
    </w:p>
    <w:p>
      <w:pPr>
        <w:jc w:val="center"/>
      </w:pPr>
      <w:r>
        <w:drawing>
          <wp:inline xmlns:a="http://schemas.openxmlformats.org/drawingml/2006/main" xmlns:pic="http://schemas.openxmlformats.org/drawingml/2006/picture">
            <wp:extent cx="1512000" cy="1512000"/>
            <wp:docPr id="1" name="Picture 1" title="Cuttle 品牌标识" descr="Cuttle 章鱼形品牌标识"/>
            <wp:cNvGraphicFramePr>
              <a:graphicFrameLocks noChangeAspect="1"/>
            </wp:cNvGraphicFramePr>
            <a:graphic>
              <a:graphicData uri="http://schemas.openxmlformats.org/drawingml/2006/picture">
                <pic:pic>
                  <pic:nvPicPr>
                    <pic:cNvPr id="0" name="cuttle-logo.png"/>
                    <pic:cNvPicPr/>
                  </pic:nvPicPr>
                  <pic:blipFill>
                    <a:blip r:embed="rId11"/>
                    <a:stretch>
                      <a:fillRect/>
                    </a:stretch>
                  </pic:blipFill>
                  <pic:spPr>
                    <a:xfrm>
                      <a:off x="0" y="0"/>
                      <a:ext cx="1512000" cy="1512000"/>
                    </a:xfrm>
                    <a:prstGeom prst="rect"/>
                  </pic:spPr>
                </pic:pic>
              </a:graphicData>
            </a:graphic>
          </wp:inline>
        </w:drawing>
      </w:r>
    </w:p>
    <w:p>
      <w:pPr>
        <w:pStyle w:val="Title"/>
        <w:spacing w:before="300"/>
        <w:jc w:val="center"/>
      </w:pPr>
      <w:r>
        <w:t>Cuttle 情境原生智能输入系统</w:t>
      </w:r>
    </w:p>
    <w:p>
      <w:pPr>
        <w:spacing w:after="360"/>
        <w:jc w:val="center"/>
      </w:pPr>
      <w:r>
        <w:rPr>
          <w:rFonts w:ascii="Microsoft YaHei" w:hAnsi="Microsoft YaHei" w:eastAsia="Microsoft YaHei" w:cs="Microsoft YaHei"/>
          <w:b/>
          <w:color w:val="1C9AA5"/>
          <w:sz w:val="28"/>
        </w:rPr>
        <w:t>从自然语言输入到可验证智能体行动</w:t>
      </w:r>
    </w:p>
    <w:p>
      <w:pPr>
        <w:spacing w:after="720"/>
        <w:ind w:left="1134" w:right="1134"/>
        <w:jc w:val="center"/>
      </w:pPr>
      <w:r>
        <w:rPr>
          <w:rFonts w:ascii="Microsoft YaHei" w:hAnsi="Microsoft YaHei" w:eastAsia="Microsoft YaHei" w:cs="Microsoft YaHei"/>
          <w:color w:val="1D2733"/>
          <w:sz w:val="23"/>
        </w:rPr>
        <w:t>把用户在任意输入框中的自然语言，连续升级为可验证、可撤销的智能体行动，并把成果与证据返回需求产生的原工作位置</w:t>
      </w:r>
    </w:p>
    <w:tbl>
      <w:tblPr>
        <w:tblW w:type="dxa" w:w="9638"/>
        <w:jc w:val="center"/>
        <w:tblLayout w:type="fixed"/>
        <w:tblLook w:firstColumn="1" w:firstRow="1" w:lastColumn="0" w:lastRow="0" w:noHBand="0" w:noVBand="1" w:val="04A0"/>
      </w:tblPr>
      <w:tblGrid>
        <w:gridCol w:w="2972"/>
        <w:gridCol w:w="6666"/>
      </w:tblGrid>
      <w:tr>
        <w:trPr>
          <w:cantSplit/>
          <w:tblHeader/>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参赛组别</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高教主赛道  本科生创意组</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项目类型</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人工智能+  新工科</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参赛学校</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西南大学</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项目负责人</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杨俊熙</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指导教师</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赵恒军</w:t>
            </w:r>
          </w:p>
        </w:tc>
      </w:tr>
    </w:tbl>
    <w:p>
      <w:r>
        <w:br w:type="page"/>
      </w:r>
    </w:p>
    <w:p>
      <w:pPr>
        <w:pStyle w:val="Heading1"/>
        <w:pageBreakBefore w:val="0"/>
        <w:spacing w:after="280"/>
      </w:pPr>
      <w:r>
        <w:t>目录</w:t>
      </w:r>
    </w:p>
    <w:p>
      <w:pPr>
        <w:spacing w:after="0" w:line="276" w:lineRule="auto"/>
        <w:ind w:firstLine="0"/>
        <w:tabs>
          <w:tab w:val="right" w:leader="dot" w:pos="9638"/>
        </w:tabs>
      </w:pPr>
      <w:r>
        <w:rPr>
          <w:rFonts w:ascii="Microsoft YaHei" w:hAnsi="Microsoft YaHei" w:eastAsia="Microsoft YaHei"/>
        </w:rPr>
        <w:fldChar w:fldCharType="begin"/>
      </w:r>
      <w:r>
        <w:rPr>
          <w:rFonts w:ascii="Microsoft YaHei" w:hAnsi="Microsoft YaHei" w:eastAsia="Microsoft YaHei"/>
        </w:rPr>
        <w:instrText xml:space="preserve"> TOC \o "1-2" \h \z \u </w:instrText>
      </w:r>
      <w:r>
        <w:rPr>
          <w:rFonts w:ascii="Microsoft YaHei" w:hAnsi="Microsoft YaHei" w:eastAsia="Microsoft YaHei"/>
        </w:rPr>
        <w:fldChar w:fldCharType="separate"/>
      </w:r>
      <w:r>
        <w:rPr>
          <w:rFonts w:ascii="Microsoft YaHei" w:hAnsi="Microsoft YaHei" w:eastAsia="Microsoft YaHei" w:cs="Microsoft YaHei"/>
          <w:b/>
          <w:color w:val="1D2733"/>
          <w:sz w:val="21"/>
        </w:rPr>
        <w:t>项目摘要</w:t>
        <w:tab/>
        <w:t>3</w:t>
      </w:r>
    </w:p>
    <w:p>
      <w:pPr>
        <w:spacing w:after="0" w:line="276" w:lineRule="auto"/>
        <w:ind w:firstLine="0"/>
        <w:tabs>
          <w:tab w:val="right" w:leader="dot" w:pos="9638"/>
        </w:tabs>
      </w:pPr>
      <w:r>
        <w:rPr>
          <w:rFonts w:ascii="Microsoft YaHei" w:hAnsi="Microsoft YaHei" w:eastAsia="Microsoft YaHei" w:cs="Microsoft YaHei"/>
          <w:b/>
          <w:color w:val="1D2733"/>
          <w:sz w:val="21"/>
        </w:rPr>
        <w:t>第一章  真实问题与项目机会</w:t>
        <w:tab/>
        <w:t>4</w:t>
      </w:r>
    </w:p>
    <w:p>
      <w:pPr>
        <w:spacing w:after="0" w:line="276" w:lineRule="auto"/>
        <w:ind w:firstLine="0"/>
        <w:tabs>
          <w:tab w:val="right" w:leader="dot" w:pos="9638"/>
        </w:tabs>
      </w:pPr>
      <w:r>
        <w:rPr>
          <w:rFonts w:ascii="Microsoft YaHei" w:hAnsi="Microsoft YaHei" w:eastAsia="Microsoft YaHei" w:cs="Microsoft YaHei"/>
          <w:b/>
          <w:color w:val="1D2733"/>
          <w:sz w:val="21"/>
        </w:rPr>
        <w:t>第二章  用户需求与验证设计</w:t>
        <w:tab/>
        <w:t>7</w:t>
      </w:r>
    </w:p>
    <w:p>
      <w:pPr>
        <w:spacing w:after="0" w:line="276" w:lineRule="auto"/>
        <w:ind w:firstLine="0"/>
        <w:tabs>
          <w:tab w:val="right" w:leader="dot" w:pos="9638"/>
        </w:tabs>
      </w:pPr>
      <w:r>
        <w:rPr>
          <w:rFonts w:ascii="Microsoft YaHei" w:hAnsi="Microsoft YaHei" w:eastAsia="Microsoft YaHei" w:cs="Microsoft YaHei"/>
          <w:b/>
          <w:color w:val="1D2733"/>
          <w:sz w:val="21"/>
        </w:rPr>
        <w:t>第三章  产品方案与体验闭环</w:t>
        <w:tab/>
        <w:t>10</w:t>
      </w:r>
    </w:p>
    <w:p>
      <w:pPr>
        <w:spacing w:after="0" w:line="276" w:lineRule="auto"/>
        <w:ind w:firstLine="0"/>
        <w:tabs>
          <w:tab w:val="right" w:leader="dot" w:pos="9638"/>
        </w:tabs>
      </w:pPr>
      <w:r>
        <w:rPr>
          <w:rFonts w:ascii="Microsoft YaHei" w:hAnsi="Microsoft YaHei" w:eastAsia="Microsoft YaHei" w:cs="Microsoft YaHei"/>
          <w:b/>
          <w:color w:val="1D2733"/>
          <w:sz w:val="21"/>
        </w:rPr>
        <w:t>第四章  核心技术与创新机制</w:t>
        <w:tab/>
        <w:t>13</w:t>
      </w:r>
    </w:p>
    <w:p>
      <w:pPr>
        <w:spacing w:after="0" w:line="276" w:lineRule="auto"/>
        <w:ind w:firstLine="0"/>
        <w:tabs>
          <w:tab w:val="right" w:leader="dot" w:pos="9638"/>
        </w:tabs>
      </w:pPr>
      <w:r>
        <w:rPr>
          <w:rFonts w:ascii="Microsoft YaHei" w:hAnsi="Microsoft YaHei" w:eastAsia="Microsoft YaHei" w:cs="Microsoft YaHei"/>
          <w:b/>
          <w:color w:val="1D2733"/>
          <w:sz w:val="21"/>
        </w:rPr>
        <w:t>第五章  安全伦理与数据治理</w:t>
        <w:tab/>
        <w:t>18</w:t>
      </w:r>
    </w:p>
    <w:p>
      <w:pPr>
        <w:spacing w:after="0" w:line="276" w:lineRule="auto"/>
        <w:ind w:firstLine="0"/>
        <w:tabs>
          <w:tab w:val="right" w:leader="dot" w:pos="9638"/>
        </w:tabs>
      </w:pPr>
      <w:r>
        <w:rPr>
          <w:rFonts w:ascii="Microsoft YaHei" w:hAnsi="Microsoft YaHei" w:eastAsia="Microsoft YaHei" w:cs="Microsoft YaHei"/>
          <w:b/>
          <w:color w:val="1D2733"/>
          <w:sz w:val="21"/>
        </w:rPr>
        <w:t>第六章  市场空间与竞争定位</w:t>
        <w:tab/>
        <w:t>20</w:t>
      </w:r>
    </w:p>
    <w:p>
      <w:pPr>
        <w:spacing w:after="0" w:line="276" w:lineRule="auto"/>
        <w:ind w:firstLine="0"/>
        <w:tabs>
          <w:tab w:val="right" w:leader="dot" w:pos="9638"/>
        </w:tabs>
      </w:pPr>
      <w:r>
        <w:rPr>
          <w:rFonts w:ascii="Microsoft YaHei" w:hAnsi="Microsoft YaHei" w:eastAsia="Microsoft YaHei" w:cs="Microsoft YaHei"/>
          <w:b/>
          <w:color w:val="1D2733"/>
          <w:sz w:val="21"/>
        </w:rPr>
        <w:t>第七章  商业模式与市场进入</w:t>
        <w:tab/>
        <w:t>23</w:t>
      </w:r>
    </w:p>
    <w:p>
      <w:pPr>
        <w:spacing w:after="0" w:line="276" w:lineRule="auto"/>
        <w:ind w:firstLine="0"/>
        <w:tabs>
          <w:tab w:val="right" w:leader="dot" w:pos="9638"/>
        </w:tabs>
      </w:pPr>
      <w:r>
        <w:rPr>
          <w:rFonts w:ascii="Microsoft YaHei" w:hAnsi="Microsoft YaHei" w:eastAsia="Microsoft YaHei" w:cs="Microsoft YaHei"/>
          <w:b/>
          <w:color w:val="1D2733"/>
          <w:sz w:val="21"/>
        </w:rPr>
        <w:t>第八章  研发验证与实施路径</w:t>
        <w:tab/>
        <w:t>25</w:t>
      </w:r>
    </w:p>
    <w:p>
      <w:pPr>
        <w:spacing w:after="0" w:line="276" w:lineRule="auto"/>
        <w:ind w:firstLine="0"/>
        <w:tabs>
          <w:tab w:val="right" w:leader="dot" w:pos="9638"/>
        </w:tabs>
      </w:pPr>
      <w:r>
        <w:rPr>
          <w:rFonts w:ascii="Microsoft YaHei" w:hAnsi="Microsoft YaHei" w:eastAsia="Microsoft YaHei" w:cs="Microsoft YaHei"/>
          <w:b/>
          <w:color w:val="1D2733"/>
          <w:sz w:val="21"/>
        </w:rPr>
        <w:t>第九章  团队协作与人才培养</w:t>
        <w:tab/>
        <w:t>28</w:t>
      </w:r>
    </w:p>
    <w:p>
      <w:pPr>
        <w:spacing w:after="0" w:line="276" w:lineRule="auto"/>
        <w:ind w:firstLine="0"/>
        <w:tabs>
          <w:tab w:val="right" w:leader="dot" w:pos="9638"/>
        </w:tabs>
      </w:pPr>
      <w:r>
        <w:rPr>
          <w:rFonts w:ascii="Microsoft YaHei" w:hAnsi="Microsoft YaHei" w:eastAsia="Microsoft YaHei" w:cs="Microsoft YaHei"/>
          <w:b/>
          <w:color w:val="1D2733"/>
          <w:sz w:val="21"/>
        </w:rPr>
        <w:t>第十章  财务规划与资源配置</w:t>
        <w:tab/>
        <w:t>30</w:t>
      </w:r>
    </w:p>
    <w:p>
      <w:pPr>
        <w:spacing w:after="0" w:line="276" w:lineRule="auto"/>
        <w:ind w:firstLine="0"/>
        <w:tabs>
          <w:tab w:val="right" w:leader="dot" w:pos="9638"/>
        </w:tabs>
      </w:pPr>
      <w:r>
        <w:rPr>
          <w:rFonts w:ascii="Microsoft YaHei" w:hAnsi="Microsoft YaHei" w:eastAsia="Microsoft YaHei" w:cs="Microsoft YaHei"/>
          <w:b/>
          <w:color w:val="1D2733"/>
          <w:sz w:val="21"/>
        </w:rPr>
        <w:t>第十一章  风险管理</w:t>
        <w:tab/>
        <w:t>33</w:t>
      </w:r>
    </w:p>
    <w:p>
      <w:pPr>
        <w:spacing w:after="0" w:line="276" w:lineRule="auto"/>
        <w:ind w:firstLine="0"/>
        <w:tabs>
          <w:tab w:val="right" w:leader="dot" w:pos="9638"/>
        </w:tabs>
      </w:pPr>
      <w:r>
        <w:rPr>
          <w:rFonts w:ascii="Microsoft YaHei" w:hAnsi="Microsoft YaHei" w:eastAsia="Microsoft YaHei" w:cs="Microsoft YaHei"/>
          <w:b/>
          <w:color w:val="1D2733"/>
          <w:sz w:val="21"/>
        </w:rPr>
        <w:t>第十二章  社会价值与发展愿景</w:t>
        <w:tab/>
        <w:t>34</w:t>
      </w:r>
    </w:p>
    <w:p>
      <w:pPr>
        <w:spacing w:after="0" w:line="276" w:lineRule="auto"/>
        <w:ind w:firstLine="0"/>
        <w:tabs>
          <w:tab w:val="right" w:leader="dot" w:pos="9638"/>
        </w:tabs>
      </w:pPr>
      <w:r>
        <w:rPr>
          <w:rFonts w:ascii="Microsoft YaHei" w:hAnsi="Microsoft YaHei" w:eastAsia="Microsoft YaHei" w:cs="Microsoft YaHei"/>
          <w:b/>
          <w:color w:val="1D2733"/>
          <w:sz w:val="21"/>
        </w:rPr>
        <w:t>参考资料</w:t>
        <w:tab/>
        <w:t>35</w:t>
      </w:r>
    </w:p>
    <w:p>
      <w:pPr>
        <w:ind w:firstLine="0"/>
        <w:spacing w:after="0"/>
      </w:pPr>
      <w:r>
        <w:rPr>
          <w:rFonts w:ascii="Microsoft YaHei" w:hAnsi="Microsoft YaHei" w:eastAsia="Microsoft YaHei"/>
        </w:rPr>
        <w:fldChar w:fldCharType="end"/>
      </w:r>
    </w:p>
    <w:p>
      <w:pPr>
        <w:spacing w:before="240"/>
        <w:ind w:firstLine="0"/>
        <w:jc w:val="center"/>
      </w:pPr>
      <w:r>
        <w:rPr>
          <w:rFonts w:ascii="Microsoft YaHei" w:hAnsi="Microsoft YaHei" w:eastAsia="Microsoft YaHei" w:cs="Microsoft YaHei"/>
          <w:b/>
          <w:color w:val="66717E"/>
          <w:sz w:val="19"/>
        </w:rPr>
        <w:t>问题牵引  机制创新  证据验证  产业闭环  成长育人</w:t>
      </w:r>
    </w:p>
    <w:p>
      <w:r>
        <w:br w:type="page"/>
      </w:r>
    </w:p>
    <w:p>
      <w:pPr>
        <w:pStyle w:val="Heading1"/>
        <w:pageBreakBefore w:val="0"/>
      </w:pPr>
      <w:r>
        <w:t>项目摘要</w:t>
      </w:r>
    </w:p>
    <w:p>
      <w:r>
        <w:rPr>
          <w:rFonts w:ascii="Microsoft YaHei" w:hAnsi="Microsoft YaHei" w:eastAsia="Microsoft YaHei" w:cs="Microsoft YaHei"/>
          <w:color w:val="1D2733"/>
          <w:sz w:val="21"/>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r>
        <w:rPr>
          <w:rFonts w:ascii="Microsoft YaHei" w:hAnsi="Microsoft YaHei" w:eastAsia="Microsoft YaHei" w:cs="Microsoft YaHei"/>
          <w:color w:val="1D2733"/>
          <w:sz w:val="21"/>
        </w:rPr>
        <w:t>项目的核心命题是：AI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选择这两者之间尚未贯通的位置：把输入焦点作为意图的原生起点，让意图进入系统后的每一次升级都有边界、有证据、可撤销。</w:t>
      </w:r>
    </w:p>
    <w:p>
      <w:r>
        <w:rPr>
          <w:rFonts w:ascii="Microsoft YaHei" w:hAnsi="Microsoft YaHei" w:eastAsia="Microsoft YaHei" w:cs="Microsoft YaHei"/>
          <w:color w:val="1D2733"/>
          <w:sz w:val="21"/>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r>
        <w:rPr>
          <w:rFonts w:ascii="Microsoft YaHei" w:hAnsi="Microsoft YaHei" w:eastAsia="Microsoft YaHei" w:cs="Microsoft YaHei"/>
          <w:color w:val="1D2733"/>
          <w:sz w:val="21"/>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证据校准。</w:t>
      </w:r>
    </w:p>
    <w:p>
      <w:pPr>
        <w:spacing w:after="20"/>
      </w:pPr>
    </w:p>
    <w:p>
      <w:pPr>
        <w:pStyle w:val="Heading1"/>
        <w:pageBreakBefore/>
      </w:pPr>
      <w:r>
        <w:t>第一章 真实问题与项目机会</w:t>
      </w:r>
    </w:p>
    <w:p>
      <w:r>
        <w:rPr>
          <w:rFonts w:ascii="Microsoft YaHei" w:hAnsi="Microsoft YaHei" w:eastAsia="Microsoft YaHei" w:cs="Microsoft YaHei"/>
          <w:color w:val="1D2733"/>
          <w:sz w:val="21"/>
        </w:rPr>
        <w:t>核心结论：被消耗的不是模型能力，而是意图产生位置与任务承接位置之间的距离。输入时刻是同时具备显式意图与原位置锚点的少数切入点。</w:t>
      </w:r>
    </w:p>
    <w:p>
      <w:pPr>
        <w:pStyle w:val="Heading2"/>
      </w:pPr>
      <w:r>
        <w:t>1.1 一个发生在输入时刻的真实矛盾</w:t>
      </w:r>
    </w:p>
    <w:p>
      <w:r>
        <w:rPr>
          <w:rFonts w:ascii="Microsoft YaHei" w:hAnsi="Microsoft YaHei" w:eastAsia="Microsoft YaHei" w:cs="Microsoft YaHei"/>
          <w:color w:val="1D2733"/>
          <w:sz w:val="21"/>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r>
        <w:rPr>
          <w:rFonts w:ascii="Microsoft YaHei" w:hAnsi="Microsoft YaHei" w:eastAsia="Microsoft YaHei" w:cs="Microsoft YaHei"/>
          <w:color w:val="1D2733"/>
          <w:sz w:val="21"/>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pPr>
        <w:keepNext/>
        <w:spacing w:before="140" w:after="0"/>
        <w:ind w:firstLine="0"/>
        <w:jc w:val="center"/>
      </w:pPr>
      <w:r>
        <w:drawing>
          <wp:inline xmlns:a="http://schemas.openxmlformats.org/drawingml/2006/main" xmlns:pic="http://schemas.openxmlformats.org/drawingml/2006/picture">
            <wp:extent cx="5112000" cy="2158400"/>
            <wp:docPr id="2" name="Picture 2" title="图 1 现有 AI 工作流的断点与 Cuttle 的项目机会" descr="图 1 现有 AI 工作流的断点与 Cuttle 的项目机会"/>
            <wp:cNvGraphicFramePr>
              <a:graphicFrameLocks noChangeAspect="1"/>
            </wp:cNvGraphicFramePr>
            <a:graphic>
              <a:graphicData uri="http://schemas.openxmlformats.org/drawingml/2006/picture">
                <pic:pic>
                  <pic:nvPicPr>
                    <pic:cNvPr id="0" name="fig01-opportunity.png"/>
                    <pic:cNvPicPr/>
                  </pic:nvPicPr>
                  <pic:blipFill>
                    <a:blip r:embed="rId12"/>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 现有 AI 工作流的断点与 Cuttle 的项目机会</w:t>
      </w:r>
    </w:p>
    <w:p>
      <w:pPr>
        <w:pStyle w:val="Heading2"/>
      </w:pPr>
      <w:r>
        <w:t>1.2 项目洞察</w:t>
      </w:r>
    </w:p>
    <w:p>
      <w:r>
        <w:rPr>
          <w:rFonts w:ascii="Microsoft YaHei" w:hAnsi="Microsoft YaHei" w:eastAsia="Microsoft YaHei" w:cs="Microsoft YaHei"/>
          <w:color w:val="1D2733"/>
          <w:sz w:val="21"/>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r>
        <w:rPr>
          <w:rFonts w:ascii="Microsoft YaHei" w:hAnsi="Microsoft YaHei" w:eastAsia="Microsoft YaHei" w:cs="Microsoft YaHei"/>
          <w:color w:val="1D2733"/>
          <w:sz w:val="21"/>
        </w:rPr>
        <w:t>这一思路把产品竞争从模型问答能力转向意图承接与任务交付能力。项目不与基础模型厂商争夺模型能力本身，而是在模型与桌面应用之间构建一层可控、可验证、可替换的意图基础设施。模型能力越强，Cuttle 可调度的执行能力越丰富，而用户始终保有对情境范围、权限边界与最终结果的控制。判断项目是否成立的最终标准，是是否形成与系统实际能力相匹配的适当信任：低风险任务敢于授权，高风险任务能够理解、审阅并及时接管；自动化信任研究表明，信任的设计目标应与系统可靠性对齐，而非单纯追求提高。[25][26]</w:t>
      </w:r>
    </w:p>
    <w:p>
      <w:pPr>
        <w:keepNext/>
        <w:spacing w:before="140" w:after="0"/>
        <w:ind w:firstLine="0"/>
        <w:jc w:val="center"/>
      </w:pPr>
      <w:r>
        <w:drawing>
          <wp:inline xmlns:a="http://schemas.openxmlformats.org/drawingml/2006/main" xmlns:pic="http://schemas.openxmlformats.org/drawingml/2006/picture">
            <wp:extent cx="5112000" cy="1988000"/>
            <wp:docPr id="3" name="Picture 3" title="图 2 Cuttle 从输入到成果返回原处的完整闭环" descr="图 2 Cuttle 从输入到成果返回原处的完整闭环"/>
            <wp:cNvGraphicFramePr>
              <a:graphicFrameLocks noChangeAspect="1"/>
            </wp:cNvGraphicFramePr>
            <a:graphic>
              <a:graphicData uri="http://schemas.openxmlformats.org/drawingml/2006/picture">
                <pic:pic>
                  <pic:nvPicPr>
                    <pic:cNvPr id="0" name="fig02-closed-loop.png"/>
                    <pic:cNvPicPr/>
                  </pic:nvPicPr>
                  <pic:blipFill>
                    <a:blip r:embed="rId13"/>
                    <a:stretch>
                      <a:fillRect/>
                    </a:stretch>
                  </pic:blipFill>
                  <pic:spPr>
                    <a:xfrm>
                      <a:off x="0" y="0"/>
                      <a:ext cx="5112000" cy="198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2 Cuttle 从输入到成果返回原处的完整闭环</w:t>
      </w:r>
    </w:p>
    <w:p>
      <w:pPr>
        <w:pStyle w:val="Heading2"/>
      </w:pPr>
      <w:r>
        <w:t>1.3 输入时刻作为原生入口的技术依据</w:t>
      </w:r>
    </w:p>
    <w:p>
      <w:pPr/>
      <w: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pPr/>
      <w: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pPr/>
      <w:r>
        <w:t>第三，输入入口具备跨应用一致性。不同软件的界面各不相同，而几乎所有生产力任务都要经过输入框，因此输入焦点是少数天然跨应用、可长期复用的统一入口；每增加一个应用，需要适配的是语境与返回方式，交互范式本身保持稳定。</w:t>
      </w:r>
    </w:p>
    <w:p>
      <w:pPr/>
      <w:r>
        <w:t>第四，输入法不应承担无限权限。它位于高频、全局且敏感的系统位置，因此项目把输入层限定为意图捕获与最小情境，由独立的 Agent Core 承担执行。这条架构边界决定了权限、审计与恢复能力的分布方式。</w:t>
      </w:r>
    </w:p>
    <w:p>
      <w:pPr/>
      <w:r>
        <w:t>上述四条说明了输入时刻在信号质量上的优势，还需要回答一个关键问题——一个全局快捷键加悬浮窗口是否同样可以完成这些任务。两者的差别在信号的来源与稳定性：输入系统本身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项目要验证的正是这项差别在真实任务中能否产生可测的效率与准确性差异。</w:t>
      </w:r>
    </w:p>
    <w:p>
      <w:pPr/>
      <w:r>
        <w:t>项目把这条命题设计为可验证的实验：对照实验设置三组入口，独立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pPr/>
      <w:r>
        <w:t>Cuttle 的研究对象是用户意图如何从输入时刻进入系统，并在保留控制权的前提下安全地升级为可验证行动。输入焦点是兼顾意图质量与控制权的切入口；后续章节围绕这一命题展开。</w:t>
      </w:r>
    </w:p>
    <w:p>
      <w:pPr>
        <w:pStyle w:val="Heading2"/>
      </w:pPr>
      <w:r>
        <w:t>1.4 项目边界与价值主张</w:t>
      </w:r>
    </w:p>
    <w:p>
      <w:pPr/>
      <w:r>
        <w:t>按上述边界，Cuttle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1，全部指标由真实任务日志与用户研究记录支撑。</w:t>
      </w:r>
    </w:p>
    <w:p>
      <w:pPr>
        <w:spacing w:after="20"/>
      </w:pPr>
    </w:p>
    <w:p>
      <w:pPr>
        <w:pStyle w:val="Heading1"/>
        <w:pageBreakBefore/>
      </w:pPr>
      <w:r>
        <w:t>第二章 用户需求与验证设计</w:t>
      </w:r>
    </w:p>
    <w:p>
      <w:r>
        <w:rPr>
          <w:rFonts w:ascii="Microsoft YaHei" w:hAnsi="Microsoft YaHei" w:eastAsia="Microsoft YaHei" w:cs="Microsoft YaHei"/>
          <w:color w:val="1D2733"/>
          <w:sz w:val="21"/>
        </w:rPr>
        <w:t>核心结论：项目只验证两条任务链与四项机制假设，全部门槛在实验前预设，未达标即按预设方案收缩范围。</w:t>
      </w:r>
    </w:p>
    <w:p>
      <w:pPr>
        <w:pStyle w:val="Heading2"/>
      </w:pPr>
      <w:r>
        <w:t>2.1 首批用户与高频任务</w:t>
      </w:r>
    </w:p>
    <w:p>
      <w:r>
        <w:rPr>
          <w:rFonts w:ascii="Microsoft YaHei" w:hAnsi="Microsoft YaHei" w:eastAsia="Microsoft YaHei" w:cs="Microsoft YaHei"/>
          <w:color w:val="1D2733"/>
          <w:sz w:val="21"/>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r>
        <w:rPr>
          <w:rFonts w:ascii="Microsoft YaHei" w:hAnsi="Microsoft YaHei" w:eastAsia="Microsoft YaHei" w:cs="Microsoft YaHei"/>
          <w:color w:val="1D2733"/>
          <w:sz w:val="21"/>
        </w:rPr>
        <w:t>学生与科研人员属于上述用户群的重要子集，也是团队最先能够触达的样本来源，教育人口统计用于说明这一早期样本池的规模上限[4]。单点文本生成任务由通用写作工具即可覆盖，本项目聚焦跨来源取数与口径核验，这类工作依赖持续的情境、来源追溯与受控执行。</w:t>
      </w:r>
    </w:p>
    <w:p>
      <w:r>
        <w:rPr>
          <w:rFonts w:ascii="Microsoft YaHei" w:hAnsi="Microsoft YaHei" w:eastAsia="Microsoft YaHei" w:cs="Microsoft YaHei"/>
          <w:color w:val="1D2733"/>
          <w:sz w:val="21"/>
        </w:rPr>
        <w:t>表 1 核心用户、高频任务与验证场景</w:t>
      </w:r>
    </w:p>
    <w:tbl>
      <w:tblPr>
        <w:tblW w:type="dxa" w:w="9638"/>
        <w:jc w:val="center"/>
        <w:tblLayout w:type="fixed"/>
        <w:tblLook w:firstColumn="1" w:firstRow="1" w:lastColumn="0" w:lastRow="0" w:noHBand="0" w:noVBand="1" w:val="04A0"/>
      </w:tblPr>
      <w:tblGrid>
        <w:gridCol w:w="1626"/>
        <w:gridCol w:w="2650"/>
        <w:gridCol w:w="2711"/>
        <w:gridCol w:w="2651"/>
      </w:tblGrid>
      <w:tr>
        <w:trPr>
          <w:tblHeader w:val="true"/>
          <w:cantSplit/>
        </w:trPr>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用户与岗位</w:t>
            </w:r>
          </w:p>
        </w:tc>
        <w:tc>
          <w:tcPr>
            <w:tcW w:type="dxa" w:w="265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高频任务</w:t>
            </w:r>
          </w:p>
        </w:tc>
        <w:tc>
          <w:tcPr>
            <w:tcW w:type="dxa" w:w="271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现有障碍</w:t>
            </w:r>
          </w:p>
        </w:tc>
        <w:tc>
          <w:tcPr>
            <w:tcW w:type="dxa" w:w="265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首个验证场景</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运营、项目、咨询、研究、行政、产品（主场景）</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跨来源取数、口径核验、报告与材料交付</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数据分散在网页、PDF、表格与聊天记录中，来源与口径难以复核</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跨来源资料到分析与 Word 报告（主链）</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数据与研发人员（副链）</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代码修复、测试与文档</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任务在 IDE、浏览器与终端之间切换，失败恢复成本高</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错误到修复、测试与可审阅差异（副链）</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高校学生与科研人员（早期样本）</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资料检索、综述与项目材料</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重复格式工作，审核链条长</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作为独立验证组的样本来源，不单独设定场景</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实验室与机构（后续扩展）</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数据整理、材料归档、多人协作</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模型与工具分散，缺少权限治理与审计</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本轮不纳入，作为团队许可与私有部署的需求来源</w:t>
            </w:r>
          </w:p>
        </w:tc>
      </w:tr>
      <w:p>
        <w:r>
          <w:rPr>
            <w:rFonts w:ascii="Microsoft YaHei" w:hAnsi="Microsoft YaHei" w:eastAsia="Microsoft YaHei" w:cs="Microsoft YaHei"/>
            <w:color w:val="1D2733"/>
            <w:sz w:val="21"/>
          </w:rPr>
          <w:t>首个验证场景只保留一条主链路和一条副链路，教师教学材料与实验室治理本轮不纳入：所有指标都来自同一条任务链路，才能回答“机制是否有效”，而不是回答“某个功能是否有人喜欢”。</w:t>
        </w:r>
      </w:p>
    </w:tbl>
    <w:p>
      <w:pPr>
        <w:spacing w:after="20"/>
      </w:pPr>
    </w:p>
    <w:p>
      <w:pPr>
        <w:pStyle w:val="Heading2"/>
      </w:pPr>
      <w:r>
        <w:t>2.2 用户研究方法</w:t>
      </w:r>
    </w:p>
    <w:p>
      <w:r>
        <w:rPr>
          <w:rFonts w:ascii="Microsoft YaHei" w:hAnsi="Microsoft YaHei" w:eastAsia="Microsoft YaHei" w:cs="Microsoft YaHei"/>
          <w:color w:val="1D2733"/>
          <w:sz w:val="21"/>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r>
        <w:rPr>
          <w:rFonts w:ascii="Microsoft YaHei" w:hAnsi="Microsoft YaHei" w:eastAsia="Microsoft YaHei" w:cs="Microsoft YaHei"/>
          <w:color w:val="1D2733"/>
          <w:sz w:val="21"/>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pPr>
        <w:keepNext/>
        <w:spacing w:before="140" w:after="0"/>
        <w:ind w:firstLine="0"/>
        <w:jc w:val="center"/>
      </w:pPr>
      <w:r>
        <w:drawing>
          <wp:inline xmlns:a="http://schemas.openxmlformats.org/drawingml/2006/main" xmlns:pic="http://schemas.openxmlformats.org/drawingml/2006/picture">
            <wp:extent cx="5112000" cy="2414000"/>
            <wp:docPr id="4" name="Picture 4" title="图 3 从问题发现到价值验证的研究路径" descr="图 3 从问题发现到价值验证的研究路径"/>
            <wp:cNvGraphicFramePr>
              <a:graphicFrameLocks noChangeAspect="1"/>
            </wp:cNvGraphicFramePr>
            <a:graphic>
              <a:graphicData uri="http://schemas.openxmlformats.org/drawingml/2006/picture">
                <pic:pic>
                  <pic:nvPicPr>
                    <pic:cNvPr id="0" name="fig07-validation-plan.png"/>
                    <pic:cNvPicPr/>
                  </pic:nvPicPr>
                  <pic:blipFill>
                    <a:blip r:embed="rId14"/>
                    <a:stretch>
                      <a:fillRect/>
                    </a:stretch>
                  </pic:blipFill>
                  <pic:spPr>
                    <a:xfrm>
                      <a:off x="0" y="0"/>
                      <a:ext cx="5112000" cy="2414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3 Cuttle 用户研究与价值验证路径</w:t>
      </w:r>
    </w:p>
    <w:p>
      <w:pPr>
        <w:pStyle w:val="Heading2"/>
        <w:spacing w:before="0" w:after="0"/>
      </w:pPr>
      <w:r>
        <w:t>2.3 核心验证指标与决策门</w:t>
      </w:r>
    </w:p>
    <w:p>
      <w:r>
        <w:rPr>
          <w:rFonts w:ascii="Microsoft YaHei" w:hAnsi="Microsoft YaHei" w:eastAsia="Microsoft YaHei" w:cs="Microsoft YaHei"/>
          <w:color w:val="1D2733"/>
          <w:sz w:val="21"/>
        </w:rPr>
        <w:t>以下七项为进入正式实验前预设的验证方向、判定标准与决策门。判定数据来源包括任务日志、情境标注集、产品分析记录与试点合作材料，样本量在实验前依据预实验效应量做统计功效分析后确定。</w:t>
      </w:r>
    </w:p>
    <w:p>
      <w:pPr>
        <w:keepNext/>
        <w:pageBreakBefore/>
        <w:spacing w:after="0" w:before="0"/>
      </w:pPr>
      <w:r>
        <w:rPr>
          <w:rFonts w:ascii="Microsoft YaHei" w:hAnsi="Microsoft YaHei" w:eastAsia="Microsoft YaHei" w:cs="Microsoft YaHei"/>
          <w:color w:val="1D2733"/>
          <w:sz w:val="21"/>
        </w:rPr>
        <w:t>表 2 核心验证指标与决策门</w:t>
      </w:r>
    </w:p>
    <w:tbl>
      <w:tblPr>
        <w:tblW w:type="dxa" w:w="9638"/>
        <w:jc w:val="center"/>
        <w:tblLayout w:type="fixed"/>
        <w:tblLook w:firstColumn="1" w:firstRow="1" w:lastColumn="0" w:lastRow="0" w:noHBand="0" w:noVBand="1" w:val="04A0"/>
      </w:tblPr>
      <w:tblGrid>
        <w:gridCol w:w="3000"/>
        <w:gridCol w:w="1900"/>
        <w:gridCol w:w="3438"/>
        <w:gridCol w:w="1300"/>
      </w:tblGrid>
      <w:tr>
        <w:trPr>
          <w:tblHeader w:val="true"/>
          <w:cantSplit/>
        </w:trPr>
        <w:tc>
          <w:tcPr>
            <w:tcW w:type="dxa" w:w="30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验证方向（分组）</w:t>
            </w:r>
          </w:p>
        </w:tc>
        <w:tc>
          <w:tcPr>
            <w:tcW w:type="dxa" w:w="19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验证方法</w:t>
            </w:r>
          </w:p>
        </w:tc>
        <w:tc>
          <w:tcPr>
            <w:tcW w:type="dxa" w:w="343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判定标准</w:t>
            </w:r>
          </w:p>
        </w:tc>
        <w:tc>
          <w:tcPr>
            <w:tcW w:type="dxa" w:w="13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未达标调整</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【用户价值】入口机制优于独立工作台与全局快捷 Agent</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三组入口同任务对照，顺序平衡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上下文重复说明次数降低 15% 以上；Origin 绑定准确率不下降；发起步骤数与结果返回成本至少一项显著改善</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缩小入口范围，保留快捷指令</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【核心机制】意图胶囊减少重复说明并抑制多余读取</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对照任务计时与记录，情境标注集</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Context Recall 不低于 90%；情境过度读取率低于 5%；重复输入减少 30%</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减少自动感知，增强手动选区</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【核心机制】三维任务决策优于固定档位</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同任务计时与接管计数，标注集评测</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三维任务决策 Macro-F1 不低于 0.85；过度升级率低于 10%；高风险低估率低于 3%</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只保留高价值任务升级</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【安全可靠】可见审批提高影响范围理解</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敏感任务可用性测试</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影响范围判断正确率不低于 95%；误批准率低于 3%</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增加解释与二次确认</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【安全可靠】端到端任务可稳定完成</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固定任务套件与真实任务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任务成功率不低于 85%；可逆任务恢复率不低于 90%；完成时间降低 25%</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收敛任务范围并加固恢复路径</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【商业验证】团队与机构客户愿意为治理能力付费</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试点与报价测试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取得至少 3 份付费意向或采购流程</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转向个人订阅与开发者生态</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【商业验证】纵向留存与首用接受度</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产品分析与合作记录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纵向组四周留存率 40%；独立组首次使用后继续进入下一任务的比例达到预实验设定阈值</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修复新用户上手路径与首用价值</w:t>
            </w:r>
          </w:p>
        </w:tc>
      </w:tr>
      <w:p>
        <w:r>
          <w:rPr>
            <w:rFonts w:ascii="Microsoft YaHei" w:hAnsi="Microsoft YaHei" w:eastAsia="Microsoft YaHei" w:cs="Microsoft YaHei"/>
            <w:color w:val="1D2733"/>
            <w:sz w:val="21"/>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r>
          <w:rPr>
            <w:rFonts w:ascii="Microsoft YaHei" w:hAnsi="Microsoft YaHei" w:eastAsia="Microsoft YaHei" w:cs="Microsoft YaHei"/>
            <w:color w:val="1D2733"/>
            <w:sz w:val="21"/>
          </w:rPr>
          <w:t>表中阈值是预实验前预设的判断标准，不是研究结论，也不是既有门槛。正式实验前依据预实验效应量做统计功效分析，据此确定各指标所需样本量，再把定性阈值收敛为具体数值。</w:t>
        </w:r>
      </w:p>
      <w:p>
        <w:r>
          <w:rPr>
            <w:rFonts w:ascii="Microsoft YaHei" w:hAnsi="Microsoft YaHei" w:eastAsia="Microsoft YaHei" w:cs="Microsoft YaHei"/>
            <w:color w:val="1D2733"/>
            <w:sz w:val="21"/>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tbl>
    <w:p>
      <w:r>
        <w:rPr>
          <w:rFonts w:ascii="Microsoft YaHei" w:hAnsi="Microsoft YaHei" w:eastAsia="Microsoft YaHei" w:cs="Microsoft YaHei"/>
          <w:color w:val="1D2733"/>
          <w:sz w:val="21"/>
        </w:rPr>
        <w:t>注：判定数据来源包括任务日志、情境标注集、产品分析记录与试点合作材料。</w:t>
      </w:r>
    </w:p>
    <w:p>
      <w:pPr>
        <w:spacing w:after="20"/>
      </w:pPr>
    </w:p>
    <w:p>
      <w:pPr>
        <w:pStyle w:val="Heading1"/>
        <w:pageBreakBefore/>
      </w:pPr>
      <w:r>
        <w:t>第三章 产品方案与体验闭环</w:t>
      </w:r>
    </w:p>
    <w:p>
      <w:r>
        <w:rPr>
          <w:rFonts w:ascii="Microsoft YaHei" w:hAnsi="Microsoft YaHei" w:eastAsia="Microsoft YaHei" w:cs="Microsoft YaHei"/>
          <w:color w:val="1D2733"/>
          <w:sz w:val="21"/>
        </w:rPr>
        <w:t>核心结论：普通输入与智能体链路架构分离，只有用户主动发起才进入智能体流程；首阶段以 Windows 与三类高频应用为验证范围。</w:t>
      </w:r>
    </w:p>
    <w:p>
      <w:pPr>
        <w:pStyle w:val="Heading2"/>
      </w:pPr>
      <w:r>
        <w:t>3.1 产品总体形态</w:t>
      </w:r>
    </w:p>
    <w:p>
      <w:r>
        <w:rPr>
          <w:rFonts w:ascii="Microsoft YaHei" w:hAnsi="Microsoft YaHei" w:eastAsia="Microsoft YaHei" w:cs="Microsoft YaHei"/>
          <w:color w:val="1D2733"/>
          <w:sz w:val="21"/>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r>
        <w:rPr>
          <w:rFonts w:ascii="Microsoft YaHei" w:hAnsi="Microsoft YaHei" w:eastAsia="Microsoft YaHei" w:cs="Microsoft YaHei"/>
          <w:color w:val="1D2733"/>
          <w:sz w:val="21"/>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这一设计同时解决三个问题：避免误触发、控制隐私暴露面、保证打字链路的响应速度。</w:t>
      </w:r>
    </w:p>
    <w:p>
      <w:r>
        <w:rPr>
          <w:rFonts w:ascii="Microsoft YaHei" w:hAnsi="Microsoft YaHei" w:eastAsia="Microsoft YaHei" w:cs="Microsoft YaHei"/>
          <w:color w:val="1D2733"/>
          <w:sz w:val="21"/>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pPr>
        <w:keepNext/>
        <w:pageBreakBefore w:val="0"/>
        <w:spacing w:before="140" w:after="0"/>
        <w:ind w:firstLine="0"/>
        <w:jc w:val="center"/>
      </w:pPr>
      <w:r>
        <w:drawing>
          <wp:inline xmlns:a="http://schemas.openxmlformats.org/drawingml/2006/main" xmlns:pic="http://schemas.openxmlformats.org/drawingml/2006/picture">
            <wp:extent cx="5112000" cy="2698000"/>
            <wp:docPr id="5" name="Picture 5" title="图 4 Cuttle 一个入口与四个核心系统" descr="图 4 Cuttle 一个入口与四个核心系统"/>
            <wp:cNvGraphicFramePr>
              <a:graphicFrameLocks noChangeAspect="1"/>
            </wp:cNvGraphicFramePr>
            <a:graphic>
              <a:graphicData uri="http://schemas.openxmlformats.org/drawingml/2006/picture">
                <pic:pic>
                  <pic:nvPicPr>
                    <pic:cNvPr id="0" name="fig04-architecture.png"/>
                    <pic:cNvPicPr/>
                  </pic:nvPicPr>
                  <pic:blipFill>
                    <a:blip r:embed="rId15"/>
                    <a:stretch>
                      <a:fillRect/>
                    </a:stretch>
                  </pic:blipFill>
                  <pic:spPr>
                    <a:xfrm>
                      <a:off x="0" y="0"/>
                      <a:ext cx="5112000" cy="269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4 Cuttle 一个入口与四个核心系统</w:t>
      </w:r>
    </w:p>
    <w:p>
      <w:pPr>
        <w:pStyle w:val="Heading2"/>
      </w:pPr>
      <w:r>
        <w:t>3.2 核心验证场景</w:t>
      </w:r>
    </w:p>
    <w:p>
      <w:pPr>
        <w:pStyle w:val="Heading2"/>
      </w:pPr>
      <w: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pPr>
        <w:pStyle w:val="Heading2"/>
      </w:pPr>
      <w:r>
        <w:t>案例 B：IDE 错误到可验证差异。用户在 IDE 中输入“修复这个报错并测试”，系统读取错误信息与相关文件，生成计划并执行测试，返回可审阅差异、测试结果与回滚点。</w:t>
      </w:r>
    </w:p>
    <w:p>
      <w:r>
        <w:rPr>
          <w:rFonts w:ascii="Microsoft YaHei" w:hAnsi="Microsoft YaHei" w:eastAsia="Microsoft YaHei" w:cs="Microsoft YaHei"/>
          <w:color w:val="1D2733"/>
          <w:sz w:val="21"/>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证据卡，用户可在原处直接审阅并继续编辑。</w:t>
      </w:r>
    </w:p>
    <w:p>
      <w:r>
        <w:rPr>
          <w:rFonts w:ascii="Microsoft YaHei" w:hAnsi="Microsoft YaHei" w:eastAsia="Microsoft YaHei" w:cs="Microsoft YaHei"/>
          <w:color w:val="1D2733"/>
          <w:sz w:val="21"/>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r>
        <w:rPr>
          <w:rFonts w:ascii="Microsoft YaHei" w:hAnsi="Microsoft YaHei" w:eastAsia="Microsoft YaHei" w:cs="Microsoft YaHei"/>
          <w:color w:val="1D2733"/>
          <w:sz w:val="21"/>
        </w:rPr>
        <w:t>低风险的文本表达、资料比较与格式整理沿用同一入口，但不作为核心验证场景；它们用于验证链路稳定性与用户留存，不用于证明项目的差异点。</w:t>
      </w:r>
    </w:p>
    <w:p>
      <w:pPr>
        <w:spacing w:after="20"/>
      </w:pPr>
    </w:p>
    <w:p>
      <w:pPr>
        <w:pStyle w:val="Heading2"/>
      </w:pPr>
      <w:r>
        <w:t>3.3 交互与执行决策</w:t>
      </w:r>
    </w:p>
    <w:p>
      <w:r>
        <w:rPr>
          <w:rFonts w:ascii="Microsoft YaHei" w:hAnsi="Microsoft YaHei" w:eastAsia="Microsoft YaHei" w:cs="Microsoft YaHei"/>
          <w:color w:val="1D2733"/>
          <w:sz w:val="21"/>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pPr>
        <w:keepNext/>
        <w:spacing w:before="140" w:after="0"/>
        <w:ind w:firstLine="0"/>
        <w:jc w:val="center"/>
      </w:pPr>
      <w:r>
        <w:drawing>
          <wp:inline xmlns:a="http://schemas.openxmlformats.org/drawingml/2006/main" xmlns:pic="http://schemas.openxmlformats.org/drawingml/2006/picture">
            <wp:extent cx="5112000" cy="2328800"/>
            <wp:docPr id="6" name="Picture 6" title="图 5 从直接表达至多智能体协作的意图升级阶梯" descr="图 5 从直接表达至多智能体协作的意图升级阶梯"/>
            <wp:cNvGraphicFramePr>
              <a:graphicFrameLocks noChangeAspect="1"/>
            </wp:cNvGraphicFramePr>
            <a:graphic>
              <a:graphicData uri="http://schemas.openxmlformats.org/drawingml/2006/picture">
                <pic:pic>
                  <pic:nvPicPr>
                    <pic:cNvPr id="0" name="fig06-intent-escalation.png"/>
                    <pic:cNvPicPr/>
                  </pic:nvPicPr>
                  <pic:blipFill>
                    <a:blip r:embed="rId16"/>
                    <a:stretch>
                      <a:fillRect/>
                    </a:stretch>
                  </pic:blipFill>
                  <pic:spPr>
                    <a:xfrm>
                      <a:off x="0" y="0"/>
                      <a:ext cx="5112000" cy="2328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5 三维决策：自治程度 · 协作形态 · 执行位置</w:t>
      </w:r>
    </w:p>
    <w:p>
      <w:pPr>
        <w:pStyle w:val="Heading2"/>
      </w:pPr>
      <w:r>
        <w:t>3.4 返回原处机制</w:t>
      </w:r>
    </w:p>
    <w:p>
      <w:r>
        <w:rPr>
          <w:rFonts w:ascii="Microsoft YaHei" w:hAnsi="Microsoft YaHei" w:eastAsia="Microsoft YaHei" w:cs="Microsoft YaHei"/>
          <w:color w:val="1D2733"/>
          <w:sz w:val="21"/>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pPr>
        <w:pStyle w:val="Heading1"/>
        <w:pageBreakBefore/>
      </w:pPr>
      <w:r>
        <w:t>第四章 核心技术与创新机制</w:t>
      </w:r>
    </w:p>
    <w:p>
      <w:r>
        <w:rPr>
          <w:rFonts w:ascii="Microsoft YaHei" w:hAnsi="Microsoft YaHei" w:eastAsia="Microsoft YaHei" w:cs="Microsoft YaHei"/>
          <w:color w:val="1D2733"/>
          <w:sz w:val="21"/>
        </w:rPr>
        <w:t>核心创新：不是更多的 Agent，而是让每一次自治升级都有情境边界、权限边界与返回锚点。</w:t>
      </w:r>
    </w:p>
    <w:p>
      <w:pPr>
        <w:pStyle w:val="Heading2"/>
      </w:pPr>
      <w:r>
        <w:t>4.1 核心创新一 意图胶囊与最小情境机制</w:t>
      </w:r>
    </w:p>
    <w:p>
      <w:r>
        <w:rPr>
          <w:rFonts w:ascii="Microsoft YaHei" w:hAnsi="Microsoft YaHei" w:eastAsia="Microsoft YaHei" w:cs="Microsoft YaHei"/>
          <w:color w:val="1D2733"/>
          <w:sz w:val="21"/>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r>
        <w:rPr>
          <w:rFonts w:ascii="Microsoft YaHei" w:hAnsi="Microsoft YaHei" w:eastAsia="Microsoft YaHei" w:cs="Microsoft YaHei"/>
          <w:color w:val="1D2733"/>
          <w:sz w:val="21"/>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r>
        <w:rPr>
          <w:rFonts w:ascii="Microsoft YaHei" w:hAnsi="Microsoft YaHei" w:eastAsia="Microsoft YaHei" w:cs="Microsoft YaHei"/>
          <w:color w:val="1D2733"/>
          <w:sz w:val="21"/>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r>
        <w:rPr>
          <w:rFonts w:ascii="Microsoft YaHei" w:hAnsi="Microsoft YaHei" w:eastAsia="Microsoft YaHei" w:cs="Microsoft YaHei"/>
          <w:color w:val="1D2733"/>
          <w:sz w:val="21"/>
        </w:rPr>
        <w:t>Scope 定义系统可读取与可执行范围的权限上界，具体动作是否需要审批，则由策略引擎根据执行计划和目标对象动态判定。</w:t>
      </w:r>
    </w:p>
    <w:p>
      <w:r>
        <w:rPr>
          <w:rFonts w:ascii="Microsoft YaHei" w:hAnsi="Microsoft YaHei" w:eastAsia="Microsoft YaHei" w:cs="Microsoft YaHei"/>
          <w:color w:val="1D2733"/>
          <w:sz w:val="21"/>
        </w:rPr>
        <w:t>现有桌面 Agent 在情境获取上存在三个结构性缺陷：每次请求都要重新交代背景，因为工作台不在任务现场；情境读取没有边界，因为系统不知道读取是为了哪一件事；任务结束后上下文残留，因为没有失效条件。IC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r>
        <w:rPr>
          <w:rFonts w:ascii="Microsoft YaHei" w:hAnsi="Microsoft YaHei" w:eastAsia="Microsoft YaHei" w:cs="Microsoft YaHei"/>
          <w:color w:val="1D2733"/>
          <w:sz w:val="21"/>
        </w:rPr>
        <w:t>IC 的评价对象是情境质量：来源绑定是否正确、最小情境是否漏读、是否多读、是否仍在使用已失效上下文、证据是否完整，以及用户是否需要重复交代背景。路由类指标属于 4.2 节的评价对象。</w:t>
      </w:r>
    </w:p>
    <w:p>
      <w:pPr>
        <w:keepNext/>
        <w:spacing w:before="140" w:after="0"/>
        <w:ind w:firstLine="0"/>
        <w:jc w:val="center"/>
      </w:pPr>
      <w:r>
        <w:drawing>
          <wp:inline xmlns:a="http://schemas.openxmlformats.org/drawingml/2006/main" xmlns:pic="http://schemas.openxmlformats.org/drawingml/2006/picture">
            <wp:extent cx="5112000" cy="2796565"/>
            <wp:docPr id="7" name="Picture 7" title="图 6 意图胶囊的数据结构与可信属性" descr="图 6 意图胶囊的数据结构与可信属性"/>
            <wp:cNvGraphicFramePr>
              <a:graphicFrameLocks noChangeAspect="1"/>
            </wp:cNvGraphicFramePr>
            <a:graphic>
              <a:graphicData uri="http://schemas.openxmlformats.org/drawingml/2006/picture">
                <pic:pic>
                  <pic:nvPicPr>
                    <pic:cNvPr id="0" name="fig05-intent-capsule.png"/>
                    <pic:cNvPicPr/>
                  </pic:nvPicPr>
                  <pic:blipFill>
                    <a:blip r:embed="rId17"/>
                    <a:stretch>
                      <a:fillRect/>
                    </a:stretch>
                  </pic:blipFill>
                  <pic:spPr>
                    <a:xfrm>
                      <a:off x="0" y="0"/>
                      <a:ext cx="5112000" cy="2796565"/>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6 意图胶囊 IC 的数据结构与可信属性</w:t>
      </w:r>
    </w:p>
    <w:p>
      <w:r>
        <w:rPr>
          <w:rFonts w:ascii="Microsoft YaHei" w:hAnsi="Microsoft YaHei" w:eastAsia="Microsoft YaHei" w:cs="Microsoft YaHei"/>
          <w:color w:val="1D2733"/>
          <w:sz w:val="21"/>
        </w:rPr>
        <w:t>表 3 意图胶囊的字段定义</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IC 字段</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含义</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作用</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失效事件</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用户控制</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I — Intent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任务意图</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记录用户目标与对象关系</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用户纠正、任务结束</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直接修改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C — Context</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最小情境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只保留完成当前任务所需的最少信息</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超出当前意图、任务结束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按应用与字段关闭</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O — Origin</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来源位置</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标识当前应用、窗口、输入焦点与对象</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切换应用、关闭窗口</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查看、关闭感知</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P — Provenance</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证据来源</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记录每条情境结论的来源与获取方式</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来源变化、依赖失效</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查看来源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F — Freshness</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时效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设定有效期与失效条件</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超过期限、对象修改</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查看、手动失效</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S — Scope</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授权范围</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限定可读取范围与可执行范围，并记录同意边界</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授权变更、范围外读取请求</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确认、拒绝、撤回授权</w:t>
            </w:r>
          </w:p>
        </w:tc>
      </w:tr>
    </w:tbl>
    <w:p>
      <w:pPr>
        <w:spacing w:after="20"/>
      </w:pPr>
    </w:p>
    <w:p>
      <w:pPr>
        <w:pStyle w:val="Heading2"/>
      </w:pPr>
      <w:r>
        <w:t>4.2 核心创新二 三维任务决策与受控自治升级</w:t>
      </w:r>
    </w:p>
    <w:p>
      <w:r>
        <w:rPr>
          <w:rFonts w:ascii="Microsoft YaHei" w:hAnsi="Microsoft YaHei" w:eastAsia="Microsoft YaHei" w:cs="Microsoft YaHei"/>
          <w:color w:val="1D2733"/>
          <w:sz w:val="21"/>
        </w:rPr>
        <w:t>系统为每一次输入回答三个相互独立的问题：这次任务需要多大的自治程度；需不需要拆给多个执行者协作；在哪个设备或环境执行。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r>
        <w:rPr>
          <w:rFonts w:ascii="Microsoft YaHei" w:hAnsi="Microsoft YaHei" w:eastAsia="Microsoft YaHei" w:cs="Microsoft YaHei"/>
          <w:color w:val="1D2733"/>
          <w:sz w:val="21"/>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r>
        <w:rPr>
          <w:rFonts w:ascii="Microsoft YaHei" w:hAnsi="Microsoft YaHei" w:eastAsia="Microsoft YaHei" w:cs="Microsoft YaHei"/>
          <w:color w:val="1D2733"/>
          <w:sz w:val="21"/>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r>
        <w:rPr>
          <w:rFonts w:ascii="Microsoft YaHei" w:hAnsi="Microsoft YaHei" w:eastAsia="Microsoft YaHei" w:cs="Microsoft YaHei"/>
          <w:color w:val="1D2733"/>
          <w:sz w:val="21"/>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该原则用于让过度升级率与高风险低估率同时可观测、可调参。执行失败时以反思式重试替代盲目重复，并把失败原因写入恢复记录。[15]</w:t>
      </w:r>
    </w:p>
    <w:p>
      <w:r>
        <w:rPr>
          <w:rFonts w:ascii="Microsoft YaHei" w:hAnsi="Microsoft YaHei" w:eastAsia="Microsoft YaHei" w:cs="Microsoft YaHei"/>
          <w:color w:val="1D2733"/>
          <w:sz w:val="21"/>
        </w:rPr>
        <w:t>本项目定义的“升级”指任务自治等级的离散跃迁，包括文本表达、工具调用与智能体执行三个阶段；每一次跃迁都在同一任务生命周期内完成，可被审批，也可被撤销。</w:t>
      </w:r>
    </w:p>
    <w:p>
      <w:r>
        <w:rPr>
          <w:rFonts w:ascii="Microsoft YaHei" w:hAnsi="Microsoft YaHei" w:eastAsia="Microsoft YaHei" w:cs="Microsoft YaHei"/>
          <w:color w:val="1D2733"/>
          <w:sz w:val="21"/>
        </w:rPr>
        <w:t>升级机制同时解决了输入法与 Agent 之间的责任断层。输入入口只负责理解意图与路由，不直接持有高风险工具；Agent Core 负责规划与执行，但不能为自己扩大权限；审批系统独立判断，最终验证器依据任务契约检查结果。任何一方都无法单独完成一次越权动作。</w:t>
      </w:r>
    </w:p>
    <w:p>
      <w:pPr>
        <w:pStyle w:val="Heading2"/>
      </w:pPr>
      <w:r>
        <w:t>4.3 协作机制 版本化成果契约与自适应组队</w:t>
      </w:r>
    </w:p>
    <w:p>
      <w:r>
        <w:rPr>
          <w:rFonts w:ascii="Microsoft YaHei" w:hAnsi="Microsoft YaHei" w:eastAsia="Microsoft YaHei" w:cs="Microsoft YaHei"/>
          <w:color w:val="1D2733"/>
          <w:sz w:val="21"/>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r>
        <w:rPr>
          <w:rFonts w:ascii="Microsoft YaHei" w:hAnsi="Microsoft YaHei" w:eastAsia="Microsoft YaHei" w:cs="Microsoft YaHei"/>
          <w:color w:val="1D2733"/>
          <w:sz w:val="21"/>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r>
        <w:rPr>
          <w:rFonts w:ascii="Microsoft YaHei" w:hAnsi="Microsoft YaHei" w:eastAsia="Microsoft YaHei" w:cs="Microsoft YaHei"/>
          <w:color w:val="1D2733"/>
          <w:sz w:val="21"/>
        </w:rPr>
        <w:t>执行后的实测收益包括相对单执行者的质量变化、耗时变化、额外推理成本、结果冲突与合并失败次数，用于判定本次组队是否值得，并作为标签校准事前判断。</w:t>
      </w:r>
    </w:p>
    <w:p>
      <w:r>
        <w:rPr>
          <w:rFonts w:ascii="Microsoft YaHei" w:hAnsi="Microsoft YaHei" w:eastAsia="Microsoft YaHei" w:cs="Microsoft YaHei"/>
          <w:color w:val="1D2733"/>
          <w:sz w:val="21"/>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pPr>
        <w:spacing w:after="20"/>
      </w:pPr>
    </w:p>
    <w:p>
      <w:pPr>
        <w:pStyle w:val="Heading2"/>
      </w:pPr>
      <w:r>
        <w:t>4.4 关键工程体系 返回原处与策略验证恢复</w:t>
      </w:r>
    </w:p>
    <w:p>
      <w:r>
        <w:rPr>
          <w:rFonts w:ascii="Microsoft YaHei" w:hAnsi="Microsoft YaHei" w:eastAsia="Microsoft YaHei" w:cs="Microsoft YaHei"/>
          <w:color w:val="1D2733"/>
          <w:sz w:val="21"/>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pPr>
        <w:pStyle w:val="Heading2"/>
      </w:pPr>
      <w:r>
        <w:t>4.5 核心机制的扩展 跨设备能力节点</w:t>
      </w:r>
    </w:p>
    <w:p>
      <w:r>
        <w:rPr>
          <w:rFonts w:ascii="Microsoft YaHei" w:hAnsi="Microsoft YaHei" w:eastAsia="Microsoft YaHei" w:cs="Microsoft YaHei"/>
          <w:color w:val="1D2733"/>
          <w:sz w:val="21"/>
        </w:rPr>
        <w:t>跨设备能力是意图协议与 Agent Runtime 在多设备环境中的自然扩展。设备是带能力、数据位置、可信等级与在线状态的执行节点；调度器优先让任务在数据所在设备执行，只传递完成任务所需的摘要或成果，高风险动作需要目标设备本地确认。该扩展在第二阶段以验证为主，本轮不进入主产品路线。</w:t>
      </w:r>
    </w:p>
    <w:p>
      <w:pPr>
        <w:pStyle w:val="Heading2"/>
      </w:pPr>
      <w:r>
        <w:t>4.6 核心机制验证</w:t>
      </w:r>
    </w:p>
    <w:p>
      <w:r>
        <w:rPr>
          <w:rFonts w:ascii="Microsoft YaHei" w:hAnsi="Microsoft YaHei" w:eastAsia="Microsoft YaHei" w:cs="Microsoft YaHei"/>
          <w:color w:val="1D2733"/>
          <w:sz w:val="21"/>
        </w:rPr>
        <w:t>表 4 三组对照实验与消融实验设计</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实验</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对照组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处理组</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主指标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入口对照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 AI 工作台；全局快捷键 Agent</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输入焦点原生的 Cuttle</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上下文重复说明次数、来源绑定准确率、发起步骤数、结果返回成本</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意图胶囊消融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无情境传递；仅传递整屏内容</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完整 IC（六字段）</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Context Recall 与 Precision、来源绑定正确率、失效上下文误用率、情境过度读取率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自治决策消融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所有任务固定为单 Agent 或固定档位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三维判定加策略引擎审批</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过度升级率、高风险低估率、单任务成本、端到端时延</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协作机制消融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固定多执行者且自由对话接力</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版本化成果契约加阈值式组队</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净收益、冲突率、合并失败率、返工次数</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安全授权消融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由 Agent 自主授权</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独立审批加最小权限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越权拦截率、误审批率、禁止字段访问率</w:t>
            </w:r>
          </w:p>
        </w:tc>
      </w:tr>
    </w:tbl>
    <w:p>
      <w:r>
        <w:rPr>
          <w:rFonts w:ascii="Microsoft YaHei" w:hAnsi="Microsoft YaHei" w:eastAsia="Microsoft YaHei" w:cs="Microsoft YaHei"/>
          <w:color w:val="1D2733"/>
          <w:sz w:val="21"/>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pPr>
        <w:spacing w:after="20"/>
      </w:pPr>
    </w:p>
    <w:p>
      <w:pPr>
        <w:pStyle w:val="Heading1"/>
        <w:pageBreakBefore/>
      </w:pPr>
      <w:r>
        <w:t>第五章 安全伦理与数据治理</w:t>
      </w:r>
    </w:p>
    <w:p>
      <w:r>
        <w:rPr>
          <w:rFonts w:ascii="Microsoft YaHei" w:hAnsi="Microsoft YaHei" w:eastAsia="Microsoft YaHei" w:cs="Microsoft YaHei"/>
          <w:color w:val="1D2733"/>
          <w:sz w:val="21"/>
        </w:rPr>
        <w:t>核心结论：安全边界写入产品结构而非依赖约定——敏感字段访问为 0，高风险动作独立审批，资金类操作不纳入可执行范围。</w:t>
      </w:r>
    </w:p>
    <w:p>
      <w:pPr>
        <w:pStyle w:val="Heading2"/>
      </w:pPr>
      <w:r>
        <w:t>5.1 输入法场景的安全原则</w:t>
      </w:r>
    </w:p>
    <w:p>
      <w:r>
        <w:rPr>
          <w:rFonts w:ascii="Microsoft YaHei" w:hAnsi="Microsoft YaHei" w:eastAsia="Microsoft YaHei" w:cs="Microsoft YaHei"/>
          <w:color w:val="1D2733"/>
          <w:sz w:val="21"/>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[9][10][11]</w:t>
      </w:r>
    </w:p>
    <w:p>
      <w:pPr>
        <w:spacing w:after="20"/>
      </w:pPr>
    </w:p>
    <w:p>
      <w:pPr>
        <w:pStyle w:val="Heading2"/>
      </w:pPr>
      <w:r>
        <w:t>5.2 数据生命周期</w:t>
      </w:r>
    </w:p>
    <w:p>
      <w:pPr>
        <w:pStyle w:val="ListBullet"/>
        <w:ind w:hanging="198"/>
      </w:pPr>
      <w:r>
        <w:rPr>
          <w:rFonts w:ascii="Microsoft YaHei" w:hAnsi="Microsoft YaHei" w:eastAsia="Microsoft YaHei" w:cs="Microsoft YaHei"/>
          <w:color w:val="1D2733"/>
          <w:sz w:val="21"/>
        </w:rPr>
        <w:t>采集前说明对象、用途、范围和保留时间，用户可按应用、字段和任务类型关闭感知。</w:t>
      </w:r>
    </w:p>
    <w:p>
      <w:pPr>
        <w:pStyle w:val="ListBullet"/>
        <w:ind w:hanging="198"/>
      </w:pPr>
      <w:r>
        <w:rPr>
          <w:rFonts w:ascii="Microsoft YaHei" w:hAnsi="Microsoft YaHei" w:eastAsia="Microsoft YaHei" w:cs="Microsoft YaHei"/>
          <w:color w:val="1D2733"/>
          <w:sz w:val="21"/>
        </w:rPr>
        <w:t>处理时优先在本地完成；确需云模型时，只发送完成任务所需的最小片段，并在发送前展示范围。</w:t>
      </w:r>
    </w:p>
    <w:p>
      <w:pPr>
        <w:pStyle w:val="ListBullet"/>
        <w:ind w:hanging="198"/>
      </w:pPr>
      <w:r>
        <w:rPr>
          <w:rFonts w:ascii="Microsoft YaHei" w:hAnsi="Microsoft YaHei" w:eastAsia="Microsoft YaHei" w:cs="Microsoft YaHei"/>
          <w:color w:val="1D2733"/>
          <w:sz w:val="21"/>
        </w:rPr>
        <w:t>存储时区分临时情境、任务证据和长期技能，分别设置短时有效期、项目保留期和用户主动保存。</w:t>
      </w:r>
    </w:p>
    <w:p>
      <w:pPr>
        <w:pStyle w:val="ListBullet"/>
        <w:ind w:hanging="198"/>
      </w:pPr>
      <w:r>
        <w:rPr>
          <w:rFonts w:ascii="Microsoft YaHei" w:hAnsi="Microsoft YaHei" w:eastAsia="Microsoft YaHei" w:cs="Microsoft YaHei"/>
          <w:color w:val="1D2733"/>
          <w:sz w:val="21"/>
        </w:rPr>
        <w:t>任务结束后自动让短时情境失效；用户可以导出、删除、清空和撤回授权。</w:t>
      </w:r>
    </w:p>
    <w:p>
      <w:pPr>
        <w:pStyle w:val="ListBullet"/>
        <w:ind w:hanging="198"/>
      </w:pPr>
      <w:r>
        <w:rPr>
          <w:rFonts w:ascii="Microsoft YaHei" w:hAnsi="Microsoft YaHei" w:eastAsia="Microsoft YaHei" w:cs="Microsoft YaHei"/>
          <w:color w:val="1D2733"/>
          <w:sz w:val="21"/>
        </w:rPr>
        <w:t>训练与分析默认不使用个人内容；匿名化统计与改进计划需单独授权。</w:t>
      </w:r>
    </w:p>
    <w:p>
      <w:pPr>
        <w:pStyle w:val="Heading2"/>
      </w:pPr>
      <w:r>
        <w:t>5.3 安全控制与发布门槛</w:t>
      </w:r>
    </w:p>
    <w:p>
      <w:r>
        <w:rPr>
          <w:rFonts w:ascii="Microsoft YaHei" w:hAnsi="Microsoft YaHei" w:eastAsia="Microsoft YaHei" w:cs="Microsoft YaHei"/>
          <w:color w:val="1D2733"/>
          <w:sz w:val="21"/>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br/>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pPr>
        <w:keepNext/>
        <w:spacing w:before="120" w:after="80"/>
        <w:ind w:firstLine="0"/>
        <w:jc w:val="center"/>
      </w:pPr>
      <w:r>
        <w:rPr>
          <w:rFonts w:ascii="Microsoft YaHei" w:hAnsi="Microsoft YaHei" w:eastAsia="Microsoft YaHei" w:cs="Microsoft YaHei"/>
          <w:b/>
          <w:color w:val="1D2733"/>
          <w:sz w:val="19"/>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r>
        <w:rPr>
          <w:rFonts w:ascii="Microsoft YaHei" w:hAnsi="Microsoft YaHei" w:eastAsia="Microsoft YaHei" w:cs="Microsoft YaHei"/>
          <w:color w:val="1D2733"/>
          <w:sz w:val="21"/>
        </w:rPr>
        <w:t>表 5 安全控制与发布门槛</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安全目标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指标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阶段门槛</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不达标处理</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未经授权不执行</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高风险动作未授权执行次数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冻结发布并复盘</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禁止字段</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明确标识的密码框 支付确认 金融敏感字段访问率</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扩大系统级屏蔽并回归测试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情境过度读取</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普通工作情境中读取非必需数据的比例</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收缩读取范围 复核意图绑定</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自治过度升级</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执行档位高于用户意图所需的比例</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10%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强制回退档位 增加确认</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审批可理解</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用户能正确判断影响范围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正确率不低于 95%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重写说明与交互</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失败可恢复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可逆任务恢复成功率</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不低于 90%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限制能力并补偿测试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证据可追溯</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外部动作带来源与审计记录</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覆盖率 100%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阻止交付</w:t>
            </w:r>
          </w:p>
        </w:tc>
      </w:tr>
    </w:tbl>
    <w:p>
      <w:r>
        <w:rPr>
          <w:rFonts w:ascii="Microsoft YaHei" w:hAnsi="Microsoft YaHei" w:eastAsia="Microsoft YaHei" w:cs="Microsoft YaHei"/>
          <w:color w:val="1D2733"/>
          <w:sz w:val="21"/>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pPr>
        <w:spacing w:after="20"/>
      </w:pPr>
    </w:p>
    <w:p>
      <w:pPr>
        <w:pStyle w:val="Heading1"/>
        <w:pageBreakBefore w:val="0"/>
      </w:pPr>
      <w:r>
        <w:t>第六章 市场空间与竞争定位</w:t>
      </w:r>
    </w:p>
    <w:p>
      <w:r>
        <w:rPr>
          <w:rFonts w:ascii="Microsoft YaHei" w:hAnsi="Microsoft YaHei" w:eastAsia="Microsoft YaHei" w:cs="Microsoft YaHei"/>
          <w:color w:val="1D2733"/>
          <w:sz w:val="21"/>
        </w:rPr>
        <w:t>核心结论：首年规模由服务承载能力决定，不按市场规模推算；长期空间以公开行业数据作参照，随真实转化数据校准。</w:t>
      </w:r>
    </w:p>
    <w:p>
      <w:pPr>
        <w:pStyle w:val="Heading2"/>
      </w:pPr>
      <w:r>
        <w:t>6.1 行业机会与目标市场</w:t>
      </w:r>
    </w:p>
    <w:p>
      <w:r>
        <w:rPr>
          <w:rFonts w:ascii="Microsoft YaHei" w:hAnsi="Microsoft YaHei" w:eastAsia="Microsoft YaHei" w:cs="Microsoft YaHei"/>
          <w:color w:val="1D2733"/>
          <w:sz w:val="21"/>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这些数据说明 AI 使用已进入大规模扩散阶段，市场问题正在从是否使用 AI 转向如何把 AI 安全地接入日常工作。</w:t>
      </w:r>
    </w:p>
    <w:p>
      <w:r>
        <w:rPr>
          <w:rFonts w:ascii="Microsoft YaHei" w:hAnsi="Microsoft YaHei" w:eastAsia="Microsoft YaHei" w:cs="Microsoft YaHei"/>
          <w:color w:val="1D2733"/>
          <w:sz w:val="21"/>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这一需求随 AI 使用普及而扩大：模型能力越强，用户越需要把分散的模型调用收敛到一条可控、可追溯的链路中。</w:t>
      </w:r>
    </w:p>
    <w:p>
      <w:r>
        <w:rPr>
          <w:rFonts w:ascii="Microsoft YaHei" w:hAnsi="Microsoft YaHei" w:eastAsia="Microsoft YaHei" w:cs="Microsoft YaHei"/>
          <w:color w:val="1D2733"/>
          <w:sz w:val="21"/>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pPr>
        <w:pStyle w:val="Heading2"/>
      </w:pPr>
      <w:r>
        <w:t>6.2 市场进入规模</w:t>
      </w:r>
    </w:p>
    <w:p>
      <w:pPr>
        <w:keepNext/>
        <w:spacing w:before="140" w:after="0"/>
        <w:ind w:firstLine="0"/>
        <w:jc w:val="center"/>
      </w:pPr>
      <w:r>
        <w:drawing>
          <wp:inline xmlns:a="http://schemas.openxmlformats.org/drawingml/2006/main" xmlns:pic="http://schemas.openxmlformats.org/drawingml/2006/picture">
            <wp:extent cx="5400000" cy="2550000"/>
            <wp:docPr id="8" name="Picture 8" title="图 7 Cuttle 市场规模与三年目标漏斗" descr="图 7 Cuttle 市场规模与三年目标漏斗"/>
            <wp:cNvGraphicFramePr>
              <a:graphicFrameLocks noChangeAspect="1"/>
            </wp:cNvGraphicFramePr>
            <a:graphic>
              <a:graphicData uri="http://schemas.openxmlformats.org/drawingml/2006/picture">
                <pic:pic>
                  <pic:nvPicPr>
                    <pic:cNvPr id="0" name="fig08-market-funnel.png"/>
                    <pic:cNvPicPr/>
                  </pic:nvPicPr>
                  <pic:blipFill>
                    <a:blip r:embed="rId18"/>
                    <a:stretch>
                      <a:fillRect/>
                    </a:stretch>
                  </pic:blipFill>
                  <pic:spPr>
                    <a:xfrm>
                      <a:off x="0" y="0"/>
                      <a:ext cx="5400000" cy="2550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7 第一年试点容量与验证容量测算</w:t>
      </w:r>
    </w:p>
    <w:p>
      <w:pPr/>
      <w:r>
        <w:rPr>
          <w:rFonts w:ascii="Microsoft YaHei" w:hAnsi="Microsoft YaHei" w:eastAsia="Microsoft YaHei" w:cs="Microsoft YaHei"/>
          <w:color w:val="1D2733"/>
          <w:sz w:val="21"/>
        </w:rPr>
        <w:t>首年容量依据研发、试点与服务承载能力配置，正式试点开始后由真实使用数据持续校准；若转化率低于预设下限，项目将缩小场景范围并重新测算。</w:t>
      </w:r>
    </w:p>
    <w:p>
      <w:pPr>
        <w:keepNext/>
        <w:pageBreakBefore w:val="0"/>
      </w:pPr>
      <w:r>
        <w:rPr>
          <w:rFonts w:ascii="Microsoft YaHei" w:hAnsi="Microsoft YaHei" w:eastAsia="Microsoft YaHei" w:cs="Microsoft YaHei"/>
          <w:color w:val="1D2733"/>
          <w:sz w:val="21"/>
        </w:rPr>
        <w:t>表 6 首年验证容量与市场空间口径</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口径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测算对象</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测算方式</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结果与用途</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首年可交付容量</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团队可稳定服务并完整观察的用户数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按产品验证与服务承载能力配置，不按市场规模推算；首批试点以团队可直接触达的组织、合作单位与知识工作场景为来源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首年按不超过 200 名稳定用户配置服务能力，并以此约束付费用户规模</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验证与实验容量</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支撑对照实验与纵向观察的样本规模</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纵向核心组 15 至 25 人全程跟踪；独立验证组另招 20 至 30 人</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50 至 80 人形成深度数据，其中 35 至 55 人进入正式实验</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中长期市场空间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产品扩展潜力的参考量级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引用我国生成式人工智能用户规模、软件业务收入等公开统计数据作为行业背景</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用于判断长期扩展潜力，随试点转化率、留存率与复制效率持续校准</w:t>
            </w:r>
          </w:p>
        </w:tc>
      </w:tr>
    </w:tbl>
    <w:p>
      <w:pPr>
        <w:pStyle w:val="Heading2"/>
      </w:pPr>
      <w:r>
        <w:t>6.3 竞争格局</w:t>
      </w:r>
    </w:p>
    <w:p>
      <w:r>
        <w:rPr>
          <w:rFonts w:ascii="Microsoft YaHei" w:hAnsi="Microsoft YaHei" w:eastAsia="Microsoft YaHei" w:cs="Microsoft YaHei"/>
          <w:color w:val="1D2733"/>
          <w:sz w:val="21"/>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Agent、技能与桌面执行能力。[8][12]这些产品的能力边界正在快速移动，项目的差异来源是设计目标：它们的交互形态以独立 Agent 工作空间或显式任务入口为主，价值集中于任务执行本身；输入法类产品的价值集中于输入表达效率。Cuttle 把输入焦点、持续情境、分级执行、成果验证与返回原处组成一条系统链路。</w:t>
      </w:r>
    </w:p>
    <w:p>
      <w:r>
        <w:rPr>
          <w:rFonts w:ascii="Microsoft YaHei" w:hAnsi="Microsoft YaHei" w:eastAsia="Microsoft YaHei" w:cs="Microsoft YaHei"/>
          <w:color w:val="1D2733"/>
          <w:sz w:val="21"/>
        </w:rPr>
        <w:t>按任务生命周期的六个环节（意图捕获、情境构建、受控执行、结果验证、返回原处、治理审计）比较，输入法产品在意图捕获与表达效率上领先，通用助手与工作台在受控执行与验证上更完整；在当前公开产品中，同时覆盖上述六个环节并以输入焦点贯穿任务生命周期的完整方案仍较少见。Cuttle 的设计目标正是补齐这条链路，并以跨应用适配与可靠性积累作为差异化基础。</w:t>
      </w:r>
    </w:p>
    <w:p>
      <w:pPr>
        <w:keepNext/>
        <w:spacing w:before="140" w:after="0"/>
        <w:ind w:firstLine="0"/>
        <w:jc w:val="center"/>
      </w:pPr>
      <w:r>
        <w:drawing>
          <wp:inline xmlns:a="http://schemas.openxmlformats.org/drawingml/2006/main" xmlns:pic="http://schemas.openxmlformats.org/drawingml/2006/picture">
            <wp:extent cx="5112000" cy="3195000"/>
            <wp:docPr id="9" name="Picture 9" title="图 8 主要产品的入口距离与任务闭环能力定位" descr="图 8 主要产品的入口距离与任务闭环能力定位"/>
            <wp:cNvGraphicFramePr>
              <a:graphicFrameLocks noChangeAspect="1"/>
            </wp:cNvGraphicFramePr>
            <a:graphic>
              <a:graphicData uri="http://schemas.openxmlformats.org/drawingml/2006/picture">
                <pic:pic>
                  <pic:nvPicPr>
                    <pic:cNvPr id="0" name="fig03-competition-map.png"/>
                    <pic:cNvPicPr/>
                  </pic:nvPicPr>
                  <pic:blipFill>
                    <a:blip r:embed="rId19"/>
                    <a:stretch>
                      <a:fillRect/>
                    </a:stretch>
                  </pic:blipFill>
                  <pic:spPr>
                    <a:xfrm>
                      <a:off x="0" y="0"/>
                      <a:ext cx="5112000" cy="3195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8 主要产品在任务生命周期与执行治理深度上的定位</w:t>
      </w:r>
    </w:p>
    <w:p>
      <w:pPr>
        <w:spacing w:after="20"/>
      </w:pPr>
    </w:p>
    <w:p>
      <w:pPr>
        <w:pStyle w:val="Heading2"/>
      </w:pPr>
      <w:r>
        <w:t>6.4 核心竞争力</w:t>
      </w:r>
    </w:p>
    <w:p>
      <w:pPr>
        <w:pStyle w:val="ListBullet"/>
        <w:ind w:hanging="198"/>
      </w:pPr>
      <w:r>
        <w:rPr>
          <w:rFonts w:ascii="Microsoft YaHei" w:hAnsi="Microsoft YaHei" w:eastAsia="Microsoft YaHei" w:cs="Microsoft YaHei"/>
          <w:color w:val="1D2733"/>
          <w:sz w:val="21"/>
        </w:rPr>
        <w:t>交互协议壁垒：意图胶囊与 Return to Origin 的跨应用适配体系。它由数据结构、失效规则、返回适配器与兼容性测试套件共同构成，单个应用内的体验容易被复制，跨应用的一致协议需要长期积累与反复回归验证。</w:t>
      </w:r>
    </w:p>
    <w:p>
      <w:pPr>
        <w:pStyle w:val="ListBullet"/>
        <w:ind w:hanging="198"/>
      </w:pPr>
      <w:r>
        <w:rPr>
          <w:rFonts w:ascii="Microsoft YaHei" w:hAnsi="Microsoft YaHei" w:eastAsia="Microsoft YaHei" w:cs="Microsoft YaHei"/>
          <w:color w:val="1D2733"/>
          <w:sz w:val="21"/>
        </w:rPr>
        <w:t>工程可靠性壁垒：权限、验证、恢复与兼容矩阵。包括独立审批、最小权限、失败回滚、审计留痕，以及可复现的兼容与安全测试集，这部分能力的价值随承载的真实任务量上升。</w:t>
      </w:r>
    </w:p>
    <w:p>
      <w:pPr>
        <w:pStyle w:val="ListBullet"/>
        <w:ind w:hanging="198"/>
      </w:pPr>
      <w:r>
        <w:rPr>
          <w:rFonts w:ascii="Microsoft YaHei" w:hAnsi="Microsoft YaHei" w:eastAsia="Microsoft YaHei" w:cs="Microsoft YaHei"/>
          <w:color w:val="1D2733"/>
          <w:sz w:val="21"/>
        </w:rPr>
        <w:t>经验数据：在用户授权前提下，团队逐步积累匿名化的任务类型、路由效果与失败模式，用于改进映射规则与阈值，不沉淀个人内容。</w:t>
      </w:r>
    </w:p>
    <w:p>
      <w:pPr>
        <w:pStyle w:val="ListBullet"/>
        <w:ind w:hanging="198"/>
      </w:pPr>
      <w:r>
        <w:rPr>
          <w:rFonts w:ascii="Microsoft YaHei" w:hAnsi="Microsoft YaHei" w:eastAsia="Microsoft YaHei" w:cs="Microsoft YaHei"/>
          <w:color w:val="1D2733"/>
          <w:sz w:val="21"/>
        </w:rPr>
        <w:t>生态与信任：随团队许可客户、开发者伙伴与真实任务量同步积累，形成应用适配与安全验证的正向循环。以上能力将在应用适配、真实任务与安全验证中持续积累。</w:t>
      </w:r>
    </w:p>
    <w:p>
      <w:pPr>
        <w:pStyle w:val="Heading1"/>
        <w:pageBreakBefore w:val="0"/>
      </w:pPr>
      <w:r>
        <w:t>第七章 商业模式与市场进入</w:t>
      </w:r>
    </w:p>
    <w:p>
      <w:r>
        <w:rPr>
          <w:rFonts w:ascii="Microsoft YaHei" w:hAnsi="Microsoft YaHei" w:eastAsia="Microsoft YaHei" w:cs="Microsoft YaHei"/>
          <w:color w:val="1D2733"/>
          <w:sz w:val="21"/>
        </w:rPr>
        <w:t>核心结论：收入来自个人订阅、团队许可与私有部署三种模式，个人版积累的工作流是团队许可的主要入口。</w:t>
      </w:r>
    </w:p>
    <w:p>
      <w:pPr>
        <w:pStyle w:val="Heading2"/>
      </w:pPr>
      <w:r>
        <w:t>7.1 商业模式</w:t>
      </w:r>
    </w:p>
    <w:p>
      <w:r>
        <w:rPr>
          <w:rFonts w:ascii="Microsoft YaHei" w:hAnsi="Microsoft YaHei" w:eastAsia="Microsoft YaHei" w:cs="Microsoft YaHei"/>
          <w:color w:val="1D2733"/>
          <w:sz w:val="21"/>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pPr>
        <w:spacing w:after="20"/>
      </w:pPr>
    </w:p>
    <w:p>
      <w:pPr>
        <w:pStyle w:val="Heading2"/>
      </w:pPr>
      <w:r>
        <w:t>7.2 市场进入路径</w:t>
      </w:r>
    </w:p>
    <w:p>
      <w:pPr>
        <w:keepNext/>
        <w:spacing w:before="140" w:after="0"/>
        <w:ind w:firstLine="0"/>
        <w:jc w:val="center"/>
      </w:pPr>
      <w:r>
        <w:drawing>
          <wp:inline xmlns:a="http://schemas.openxmlformats.org/drawingml/2006/main" xmlns:pic="http://schemas.openxmlformats.org/drawingml/2006/picture">
            <wp:extent cx="5112000" cy="2158400"/>
            <wp:docPr id="10" name="Picture 10" title="图 9 Cuttle 从校园任务到机构服务的市场进入路径" descr="图 9 Cuttle 从校园任务到机构服务的市场进入路径"/>
            <wp:cNvGraphicFramePr>
              <a:graphicFrameLocks noChangeAspect="1"/>
            </wp:cNvGraphicFramePr>
            <a:graphic>
              <a:graphicData uri="http://schemas.openxmlformats.org/drawingml/2006/picture">
                <pic:pic>
                  <pic:nvPicPr>
                    <pic:cNvPr id="0" name="fig09-go-to-market.png"/>
                    <pic:cNvPicPr/>
                  </pic:nvPicPr>
                  <pic:blipFill>
                    <a:blip r:embed="rId20"/>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9 Cuttle 从知识工作场景样板到团队许可与私有部署的市场进入路径</w:t>
      </w:r>
    </w:p>
    <w:p>
      <w:r>
        <w:rPr>
          <w:rFonts w:ascii="Microsoft YaHei" w:hAnsi="Microsoft YaHei" w:eastAsia="Microsoft YaHei" w:cs="Microsoft YaHei"/>
          <w:color w:val="1D2733"/>
          <w:sz w:val="21"/>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pPr>
        <w:pStyle w:val="Heading2"/>
      </w:pPr>
      <w:r>
        <w:t>7.3 获客、转化与留存</w:t>
      </w:r>
    </w:p>
    <w:p>
      <w:pPr>
        <w:pStyle w:val="ListBullet"/>
        <w:ind w:hanging="198"/>
      </w:pPr>
      <w:r>
        <w:rPr>
          <w:rFonts w:ascii="Microsoft YaHei" w:hAnsi="Microsoft YaHei" w:eastAsia="Microsoft YaHei" w:cs="Microsoft YaHei"/>
          <w:color w:val="1D2733"/>
          <w:sz w:val="21"/>
        </w:rPr>
        <w:t>首用价值：用户在十分钟内完成一个低风险任务，理解系统能做什么和不能做什么。</w:t>
      </w:r>
    </w:p>
    <w:p>
      <w:pPr>
        <w:pStyle w:val="ListBullet"/>
        <w:ind w:hanging="198"/>
      </w:pPr>
      <w:r>
        <w:rPr>
          <w:rFonts w:ascii="Microsoft YaHei" w:hAnsi="Microsoft YaHei" w:eastAsia="Microsoft YaHei" w:cs="Microsoft YaHei"/>
          <w:color w:val="1D2733"/>
          <w:sz w:val="21"/>
        </w:rPr>
        <w:t>习惯形成：任务结束后把验证过的流程沉淀为个人技能，减少下一次重复说明。</w:t>
      </w:r>
    </w:p>
    <w:p>
      <w:pPr>
        <w:pStyle w:val="ListBullet"/>
        <w:ind w:hanging="198"/>
      </w:pPr>
      <w:r>
        <w:rPr>
          <w:rFonts w:ascii="Microsoft YaHei" w:hAnsi="Microsoft YaHei" w:eastAsia="Microsoft YaHei" w:cs="Microsoft YaHei"/>
          <w:color w:val="1D2733"/>
          <w:sz w:val="21"/>
        </w:rPr>
        <w:t>自然传播：只允许分享已脱敏的技能模板、方法和时间节省，不以用户内容换取奖励。</w:t>
      </w:r>
    </w:p>
    <w:p>
      <w:pPr>
        <w:pStyle w:val="ListBullet"/>
        <w:ind w:hanging="198"/>
      </w:pPr>
      <w:r>
        <w:rPr>
          <w:rFonts w:ascii="Microsoft YaHei" w:hAnsi="Microsoft YaHei" w:eastAsia="Microsoft YaHei" w:cs="Microsoft YaHei"/>
          <w:color w:val="1D2733"/>
          <w:sz w:val="21"/>
        </w:rPr>
        <w:t>团队扩散：个人用户将验证过的流程带入所在团队与机构，形成团队许可机会。</w:t>
      </w:r>
    </w:p>
    <w:p>
      <w:pPr>
        <w:pStyle w:val="ListBullet"/>
        <w:ind w:hanging="198"/>
      </w:pPr>
      <w:r>
        <w:rPr>
          <w:rFonts w:ascii="Microsoft YaHei" w:hAnsi="Microsoft YaHei" w:eastAsia="Microsoft YaHei" w:cs="Microsoft YaHei"/>
          <w:color w:val="1D2733"/>
          <w:sz w:val="21"/>
        </w:rPr>
        <w:t>留存诊断：区分新鲜感流失、任务价值不足、信任不足和兼容性问题，分别调整产品。</w:t>
      </w:r>
    </w:p>
    <w:p>
      <w:r>
        <w:rPr>
          <w:rFonts w:ascii="Microsoft YaHei" w:hAnsi="Microsoft YaHei" w:eastAsia="Microsoft YaHei" w:cs="Microsoft YaHei"/>
          <w:color w:val="1D2733"/>
          <w:sz w:val="21"/>
        </w:rPr>
        <w:t>获客路径分为个人与组织两条。个人用户来自开发者社群与专业社区的内容传播、面向高频知识工作者的定向试点、以及可复用工作流模板的自然扩散，投入以内容与模板为主。组织客户来自个人用户的内部扩散：一名成员在日常工作中稳定使用后，把流程带入所在团队，先形成小范围试点，再进入部门采购流程。</w:t>
      </w:r>
    </w:p>
    <w:p>
      <w:r>
        <w:rPr>
          <w:rFonts w:ascii="Microsoft YaHei" w:hAnsi="Microsoft YaHei" w:eastAsia="Microsoft YaHei" w:cs="Microsoft YaHei"/>
          <w:color w:val="1D2733"/>
          <w:sz w:val="21"/>
        </w:rPr>
        <w:t>续费动机来自使用过程中积累的资产，而不是模型能力本身：已验证的工作流、个人技能配置、来源与审计记录、跨应用适配习惯都会随使用加深而沉淀，迁移到其他工具意味着重新建立这些资产。这也是项目把来源可追溯与审批记录写入产品结构、而不只作为合规要求的原因。</w:t>
      </w:r>
    </w:p>
    <w:p>
      <w:pPr>
        <w:pStyle w:val="Heading2"/>
      </w:pPr>
      <w:r>
        <w:t>7.4 从个人版到团队版的转化</w:t>
      </w:r>
    </w:p>
    <w:p>
      <w:r>
        <w:rPr>
          <w:rFonts w:ascii="Microsoft YaHei" w:hAnsi="Microsoft YaHei" w:eastAsia="Microsoft YaHei" w:cs="Microsoft YaHei"/>
          <w:color w:val="1D2733"/>
          <w:sz w:val="21"/>
        </w:rPr>
        <w:t>个人专业版是团队许可的入口。成员在个人版中积累的工作流可以直接迁移为团队共享技能，团队版在此基础上增加成员管理、统一策略、审计记录与预算控制，解决个人工具无法覆盖的治理问题。这一路径决定了销售方式：前期不设独立销售团队，由产品与运营成员直接对接试点团队，把服务过程中的共性问题沉淀为标准化交付流程，再逐步扩展到渠道合作。</w:t>
      </w:r>
    </w:p>
    <w:p>
      <w:pPr>
        <w:pStyle w:val="Heading2"/>
      </w:pPr>
      <w:r>
        <w:t>7.5 产品版本与单位经济</w:t>
      </w:r>
    </w:p>
    <w:p>
      <w:r>
        <w:rPr>
          <w:rFonts w:ascii="Microsoft YaHei" w:hAnsi="Microsoft YaHei" w:eastAsia="Microsoft YaHei" w:cs="Microsoft YaHei"/>
          <w:color w:val="1D2733"/>
          <w:sz w:val="21"/>
        </w:rPr>
        <w:t>表 7 产品版本、定价与单位经济</w:t>
      </w:r>
    </w:p>
    <w:p>
      <w:r>
        <w:rPr>
          <w:rFonts w:ascii="Microsoft YaHei" w:hAnsi="Microsoft YaHei" w:eastAsia="Microsoft YaHei" w:cs="Microsoft YaHei"/>
          <w:color w:val="1D2733"/>
          <w:sz w:val="21"/>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type="dxa" w:w="9638"/>
        <w:jc w:val="center"/>
        <w:tblLayout w:type="fixed"/>
        <w:tblLook w:firstColumn="1" w:firstRow="1" w:lastColumn="0" w:lastRow="0" w:noHBand="0" w:noVBand="1" w:val="04A0"/>
      </w:tblPr>
      <w:tblGrid>
        <w:gridCol w:w="1807"/>
        <w:gridCol w:w="2048"/>
        <w:gridCol w:w="2289"/>
        <w:gridCol w:w="1626"/>
        <w:gridCol w:w="1868"/>
      </w:tblGrid>
      <w:tr>
        <w:trPr>
          <w:tblHeader w:val="true"/>
          <w:cantSplit/>
        </w:trPr>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产品版本</w:t>
            </w:r>
          </w:p>
        </w:tc>
        <w:tc>
          <w:tcPr>
            <w:tcW w:type="dxa" w:w="204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目标用户</w:t>
            </w:r>
          </w:p>
        </w:tc>
        <w:tc>
          <w:tcPr>
            <w:tcW w:type="dxa" w:w="2289"/>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规划定价</w:t>
            </w:r>
          </w:p>
        </w:tc>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成本与毛利假设</w:t>
            </w:r>
          </w:p>
        </w:tc>
        <w:tc>
          <w:tcPr>
            <w:tcW w:type="dxa" w:w="186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验证状态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个人免费版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轻度用户与新用户</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免费</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模型成本由预算上限控制</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获客与验证；以试用转化率与成本上限约束</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个人专业版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运营、项目、咨询、研究、行政、开发等高频知识工作者</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240 元每年</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模型与支持成本约 60 元每人，毛利率约 75%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主收入方式；年费价位须经 20 份定价访谈与真实付费验证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团队版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需要统一策略与审计的团队与机构</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4 万元每团队每年起</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交付支持成本约 1.2 万元每团队，毛利率约 70%</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第二收入方式；须取得至少 3 份试点意向与首次报价反馈</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私有部署版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有数据合规采购需求的机构</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18 万元每项目起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实施与维护成本约 8 万元每项目，毛利率约 55%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按验收确认收入；第二轮试点之后启动</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技能生态</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开发者与行业伙伴</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暂不定价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远期方向；前两年不设为独立收入来源</w:t>
            </w:r>
          </w:p>
        </w:tc>
      </w:tr>
      <w:p>
        <w:r>
          <w:rPr>
            <w:rFonts w:ascii="Microsoft YaHei" w:hAnsi="Microsoft YaHei" w:eastAsia="Microsoft YaHei" w:cs="Microsoft YaHei"/>
            <w:color w:val="1D2733"/>
            <w:sz w:val="21"/>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r>
          <w:rPr>
            <w:rFonts w:ascii="Microsoft YaHei" w:hAnsi="Microsoft YaHei" w:eastAsia="Microsoft YaHei" w:cs="Microsoft YaHei"/>
            <w:color w:val="1D2733"/>
            <w:sz w:val="21"/>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r>
          <w:rPr>
            <w:rFonts w:ascii="Microsoft YaHei" w:hAnsi="Microsoft YaHei" w:eastAsia="Microsoft YaHei" w:cs="Microsoft YaHei"/>
            <w:color w:val="1D2733"/>
            <w:sz w:val="21"/>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tbl>
    <w:p>
      <w:pPr>
        <w:spacing w:after="20"/>
      </w:pPr>
    </w:p>
    <w:p>
      <w:pPr>
        <w:pStyle w:val="Heading1"/>
        <w:pageBreakBefore w:val="0"/>
      </w:pPr>
      <w:r>
        <w:t>第八章 研发验证与实施路径</w:t>
      </w:r>
    </w:p>
    <w:p>
      <w:r>
        <w:rPr>
          <w:rFonts w:ascii="Microsoft YaHei" w:hAnsi="Microsoft YaHei" w:eastAsia="Microsoft YaHei" w:cs="Microsoft YaHei"/>
          <w:color w:val="1D2733"/>
          <w:sz w:val="21"/>
        </w:rPr>
        <w:t>核心结论：每个阶段以决策门结算，达标才进入下一阶段；团队已具备运行时、权限、审计与回滚的工程基础。</w:t>
      </w:r>
    </w:p>
    <w:p>
      <w:pPr>
        <w:pStyle w:val="Heading2"/>
      </w:pPr>
      <w:r>
        <w:t>8.1 研发原则</w:t>
      </w:r>
    </w:p>
    <w:p>
      <w:r>
        <w:rPr>
          <w:rFonts w:ascii="Microsoft YaHei" w:hAnsi="Microsoft YaHei" w:eastAsia="Microsoft YaHei" w:cs="Microsoft YaHei"/>
          <w:color w:val="1D2733"/>
          <w:sz w:val="21"/>
        </w:rPr>
        <w:t>研发以可验证闭环为最小单位。每个版本必须同时交付输入入口、情境来源、权限策略、执行结果、验证证据与恢复路径，不以功能列表作为完成标准。产品先覆盖少数高频应用与固定任务，再依据试点数据扩大兼容性。模型层保持可替换，避免项目价值依赖单一模型。</w:t>
      </w:r>
    </w:p>
    <w:p>
      <w:pPr>
        <w:pStyle w:val="Heading2"/>
      </w:pPr>
      <w:r>
        <w:t>8.2 前期工程基础与团队能力证据</w:t>
      </w:r>
    </w:p>
    <w:p>
      <w:r>
        <w:rPr>
          <w:rFonts w:ascii="Microsoft YaHei" w:hAnsi="Microsoft YaHei" w:eastAsia="Microsoft YaHei" w:cs="Microsoft YaHei"/>
          <w:color w:val="1D2733"/>
          <w:sz w:val="21"/>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读取控件树并完成输入、点击与选区操作；四是审计、回滚与多 Worker 协作，任务失败后可恢复到最近检查点并保留完整执行记录。</w:t>
      </w:r>
    </w:p>
    <w:p>
      <w:pPr/>
      <w:r>
        <w:rPr>
          <w:rFonts w:ascii="Microsoft YaHei" w:hAnsi="Microsoft YaHei" w:eastAsia="Microsoft YaHei" w:cs="Microsoft YaHei"/>
          <w:color w:val="1D2733"/>
          <w:sz w:val="21"/>
        </w:rPr>
        <w:t>上述实现构成团队承担本项目核心研发的工程基础。项目核心创新集中于意图胶囊与受控自治升级闭环，而运行时、权限、审计、回滚与多 Worker 等基础层是这两项机制能够被真实执行的前提。后续研发重点集中在输入入口、意图胶囊、返回原处、自治升级阈值与真实用户验证五个方向。</w:t>
      </w:r>
    </w:p>
    <w:p>
      <w:pPr>
        <w:pStyle w:val="Heading2"/>
      </w:pPr>
      <w:r>
        <w:t>8.3 二十四个月路线与阶段决策门</w:t>
      </w:r>
    </w:p>
    <w:p>
      <w:pPr>
        <w:pStyle w:val="Heading2"/>
      </w:pPr>
      <w:r>
        <w:t>路线分五个阶段推进。前三个月完成问题验证，交付交互原型与情境边界定义，进入下一阶段的条件是需求重复出现且结果可验收。</w:t>
      </w:r>
    </w:p>
    <w:p>
      <w:pPr>
        <w:pStyle w:val="Heading2"/>
      </w:pPr>
      <w:r>
        <w:t>第四至六个月建成输入入口、意图胶囊与单执行器返回闭环，完成可用性与安全测试并校准验证阈值，进入下一阶段的条件是任务成功率达到 80% 且安全红线全部通过。</w:t>
      </w:r>
    </w:p>
    <w:p>
      <w:pPr>
        <w:pStyle w:val="Heading2"/>
      </w:pPr>
      <w:r>
        <w:t>第七至十二个月完成兼容矩阵与 Origin、Return 适配器标准化，完成三组对照实验与消融实验并标定路由阈值，在两条核心任务链和不少于三个试点单位中验证连续四周留存与安全门槛。</w:t>
      </w:r>
    </w:p>
    <w:p>
      <w:pPr>
        <w:pStyle w:val="Heading2"/>
      </w:pPr>
      <w:r>
        <w:t>第十三至十八个月交付团队版与版本化成果契约接口，验证协同净收益与团队交付成本，形成首批付费团队。</w:t>
      </w:r>
    </w:p>
    <w:p>
      <w:pPr>
        <w:pStyle w:val="Heading2"/>
      </w:pPr>
      <w:r>
        <w:t>第十九至二十四个月进入规模化复制与工程加固，验证跨设备最小数据原则，形成机构合作、私有部署首单与场景复制能力。</w:t>
      </w:r>
    </w:p>
    <w:p>
      <w:pPr>
        <w:keepNext/>
        <w:spacing w:before="140" w:after="0"/>
        <w:ind w:firstLine="0"/>
        <w:jc w:val="center"/>
      </w:pPr>
      <w:r>
        <w:drawing>
          <wp:inline xmlns:a="http://schemas.openxmlformats.org/drawingml/2006/main" xmlns:pic="http://schemas.openxmlformats.org/drawingml/2006/picture">
            <wp:extent cx="5112000" cy="2101600"/>
            <wp:docPr id="11" name="Picture 11" title="图 10 Cuttle 二十四个月产品与市场路线" descr="图 10 Cuttle 二十四个月产品与市场路线"/>
            <wp:cNvGraphicFramePr>
              <a:graphicFrameLocks noChangeAspect="1"/>
            </wp:cNvGraphicFramePr>
            <a:graphic>
              <a:graphicData uri="http://schemas.openxmlformats.org/drawingml/2006/picture">
                <pic:pic>
                  <pic:nvPicPr>
                    <pic:cNvPr id="0" name="fig11-roadmap.png"/>
                    <pic:cNvPicPr/>
                  </pic:nvPicPr>
                  <pic:blipFill>
                    <a:blip r:embed="rId21"/>
                    <a:stretch>
                      <a:fillRect/>
                    </a:stretch>
                  </pic:blipFill>
                  <pic:spPr>
                    <a:xfrm>
                      <a:off x="0" y="0"/>
                      <a:ext cx="5112000" cy="21016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10 Cuttle 二十四个月研发与市场路线</w:t>
      </w:r>
    </w:p>
    <w:p>
      <w:pPr>
        <w:spacing w:after="20"/>
      </w:pPr>
    </w:p>
    <w:p>
      <w:pPr>
        <w:pStyle w:val="Heading2"/>
      </w:pPr>
      <w:r>
        <w:t>8.4 关键指标体系</w:t>
      </w:r>
    </w:p>
    <w:p>
      <w:r>
        <w:rPr>
          <w:rFonts w:ascii="Microsoft YaHei" w:hAnsi="Microsoft YaHei" w:eastAsia="Microsoft YaHei" w:cs="Microsoft YaHei"/>
          <w:color w:val="1D2733"/>
          <w:sz w:val="21"/>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pPr>
        <w:spacing w:after="20"/>
      </w:pPr>
    </w:p>
    <w:p>
      <w:pPr>
        <w:pStyle w:val="Heading2"/>
      </w:pPr>
      <w:r>
        <w:t>8.5 知识产权与成果计划</w:t>
      </w:r>
    </w:p>
    <w:p>
      <w:r>
        <w:rPr>
          <w:rFonts w:ascii="Microsoft YaHei" w:hAnsi="Microsoft YaHei" w:eastAsia="Microsoft YaHei" w:cs="Microsoft YaHei"/>
          <w:color w:val="1D2733"/>
          <w:sz w:val="21"/>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pPr>
        <w:pStyle w:val="Heading1"/>
        <w:pageBreakBefore w:val="0"/>
      </w:pPr>
      <w:r>
        <w:t>第九章 团队协作与人才培养</w:t>
      </w:r>
    </w:p>
    <w:p>
      <w:r>
        <w:rPr>
          <w:rFonts w:ascii="Microsoft YaHei" w:hAnsi="Microsoft YaHei" w:eastAsia="Microsoft YaHei" w:cs="Microsoft YaHei"/>
          <w:color w:val="1D2733"/>
          <w:sz w:val="21"/>
        </w:rPr>
        <w:t>核心结论：核心研发、产品决策与成果表达由学生团队承担，指导教师负责方法、安全合规与阶段评审。</w:t>
      </w:r>
    </w:p>
    <w:p>
      <w:pPr>
        <w:pStyle w:val="Heading2"/>
      </w:pPr>
      <w:r>
        <w:t>9.1 团队结构</w:t>
      </w:r>
    </w:p>
    <w:p>
      <w:r>
        <w:rPr>
          <w:rFonts w:ascii="Microsoft YaHei" w:hAnsi="Microsoft YaHei" w:eastAsia="Microsoft YaHei" w:cs="Microsoft YaHei"/>
          <w:color w:val="1D2733"/>
          <w:sz w:val="21"/>
        </w:rPr>
        <w:t>项目由学生团队主导研发，教师以指导身份参与。产品面向高频 PC 知识工作者，团队围绕产品架构、智能体工程、用户研究与商业验证形成明确分工，每个里程碑保留任务单、版本记录、测试报告与用户证据。核心研发、产品决策与成果表达均由学生团队承担，指导教师负责研究方法、安全合规与阶段评审。</w:t>
      </w:r>
    </w:p>
    <w:p>
      <w:r>
        <w:rPr>
          <w:rFonts w:ascii="Microsoft YaHei" w:hAnsi="Microsoft YaHei" w:eastAsia="Microsoft YaHei" w:cs="Microsoft YaHei"/>
          <w:color w:val="1D2733"/>
          <w:sz w:val="21"/>
        </w:rPr>
        <w:t>表 8 学生团队分工与工程基础</w:t>
      </w:r>
    </w:p>
    <w:tbl>
      <w:tblPr>
        <w:tblW w:type="dxa" w:w="9638"/>
        <w:jc w:val="center"/>
        <w:tblLayout w:type="fixed"/>
        <w:tblLook w:firstColumn="1" w:firstRow="1" w:lastColumn="0" w:lastRow="0" w:noHBand="0" w:noVBand="1" w:val="04A0"/>
      </w:tblPr>
      <w:tblGrid>
        <w:gridCol w:w="1506"/>
        <w:gridCol w:w="1807"/>
        <w:gridCol w:w="3735"/>
        <w:gridCol w:w="2590"/>
      </w:tblGrid>
      <w:tr>
        <w:trPr>
          <w:tblHeader w:val="true"/>
          <w:cantSplit/>
        </w:trPr>
        <w:tc>
          <w:tcPr>
            <w:tcW w:type="dxa" w:w="150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学生团队成员</w:t>
            </w:r>
          </w:p>
        </w:tc>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角色与专业方向</w:t>
            </w:r>
          </w:p>
        </w:tc>
        <w:tc>
          <w:tcPr>
            <w:tcW w:type="dxa" w:w="3735"/>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主要职责</w:t>
            </w:r>
          </w:p>
        </w:tc>
        <w:tc>
          <w:tcPr>
            <w:tcW w:type="dxa" w:w="259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过程证据</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杨俊熙</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项目负责人</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项目统筹、产品设计、架构协调与资源整合</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需求文档、设计决策、版本里程碑</w:t>
            </w:r>
          </w:p>
        </w:tc>
      </w:tr>
      <w:tr>
        <w:trPr>
          <w:cantSplit/>
        </w:trPr>
        <w:tc>
          <w:tcPr>
            <w:tcW w:type="dxa" w:w="150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张子豪</w:t>
            </w:r>
          </w:p>
        </w:tc>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智能体工程与评测</w:t>
            </w:r>
          </w:p>
        </w:tc>
        <w:tc>
          <w:tcPr>
            <w:tcW w:type="dxa" w:w="3735"/>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Agent Runtime、工具接入、评测与故障恢复</w:t>
            </w:r>
          </w:p>
        </w:tc>
        <w:tc>
          <w:tcPr>
            <w:tcW w:type="dxa" w:w="259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代码提交、测试记录、评测报告</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吴栩彪</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用户研究与运营</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用户研究、交互验证、内容与商业试点</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访谈记录、原型反馈、试点材料</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谈世钊</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智能体开发</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执行链路开发、桌面接口适配、集成与回归测试</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代码提交、接口文档、回归测试记录</w:t>
            </w:r>
          </w:p>
        </w:tc>
      </w:tr>
    </w:tbl>
    <w:p>
      <w:pPr>
        <w:pStyle w:val="Heading3"/>
      </w:pPr>
      <w:r>
        <w:rPr>
          <w:rFonts w:ascii="Microsoft YaHei" w:hAnsi="Microsoft YaHei" w:eastAsia="Microsoft YaHei" w:cs="Microsoft YaHei"/>
          <w:color w:val="1D2733"/>
          <w:sz w:val="21"/>
        </w:rPr>
        <w:t>指导教师与指导职责</w:t>
      </w:r>
    </w:p>
    <w:p>
      <w:r>
        <w:rPr>
          <w:rFonts w:ascii="Microsoft YaHei" w:hAnsi="Microsoft YaHei" w:eastAsia="Microsoft YaHei" w:cs="Microsoft YaHei"/>
          <w:color w:val="1D2733"/>
          <w:sz w:val="21"/>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指导教师不列入项目团队成员名单，不参与项目成果的知识产权归属，核心研发、产品决策与成果表达均由学生团队承担。</w:t>
      </w:r>
    </w:p>
    <w:p>
      <w:pPr>
        <w:spacing w:after="20"/>
      </w:pPr>
    </w:p>
    <w:p>
      <w:pPr>
        <w:pStyle w:val="Heading2"/>
      </w:pPr>
      <w:r>
        <w:t>9.2 成员能力成长</w:t>
      </w:r>
    </w:p>
    <w:p>
      <w:pPr>
        <w:pStyle w:val="Heading2"/>
      </w:pPr>
      <w:r>
        <w:t>项目按需求发现、产品试制、实验论证、市场验证与成果传播五个环节推进，每个环节对应明确的学习任务、实践任务与可核验成果。需求发现阶段完成用户研究、创新方法与访谈观察，产出问题定义与研究材料；产品试制阶段完成系统设计与交互安全设计，产出原型、兼容性方案与权限设计记录；实验论证阶段完成实验设计、数据分析、对照消融与红队故障注入，产出评测报告与可复现实验；市场验证阶段完成商业模式、财务与合规训练，通过场景试点、报价与合作复盘产出意向与经营数据；成果传播阶段完成知识产权与科学表达训练，通过软件著作权、专利交底、论文与路演形成公开成果。全部成长成果以任务、代码、文档、测试与运营证据归档，成果归属与数据授权同步明确。</w:t>
      </w:r>
    </w:p>
    <w:p>
      <w:pPr>
        <w:spacing w:after="20"/>
      </w:pPr>
    </w:p>
    <w:p>
      <w:pPr>
        <w:pStyle w:val="Heading2"/>
      </w:pPr>
      <w:r>
        <w:t>9.3 协作与质量机制</w:t>
      </w:r>
    </w:p>
    <w:p>
      <w:pPr>
        <w:pStyle w:val="ListBullet"/>
        <w:ind w:hanging="198"/>
      </w:pPr>
      <w:r>
        <w:rPr>
          <w:rFonts w:ascii="Microsoft YaHei" w:hAnsi="Microsoft YaHei" w:eastAsia="Microsoft YaHei" w:cs="Microsoft YaHei"/>
          <w:color w:val="1D2733"/>
          <w:sz w:val="21"/>
        </w:rPr>
        <w:t>每周研发站会检查目标、阻塞、风险和下一项可验收任务。</w:t>
      </w:r>
    </w:p>
    <w:p>
      <w:pPr>
        <w:pStyle w:val="ListBullet"/>
        <w:ind w:hanging="198"/>
      </w:pPr>
      <w:r>
        <w:rPr>
          <w:rFonts w:ascii="Microsoft YaHei" w:hAnsi="Microsoft YaHei" w:eastAsia="Microsoft YaHei" w:cs="Microsoft YaHei"/>
          <w:color w:val="1D2733"/>
          <w:sz w:val="21"/>
        </w:rPr>
        <w:t>每两周产品评审由用户价值、技术可行性、安全边界和证据质量四项共同决定优先级。</w:t>
      </w:r>
    </w:p>
    <w:p>
      <w:pPr>
        <w:pStyle w:val="ListBullet"/>
        <w:ind w:hanging="198"/>
      </w:pPr>
      <w:r>
        <w:rPr>
          <w:rFonts w:ascii="Microsoft YaHei" w:hAnsi="Microsoft YaHei" w:eastAsia="Microsoft YaHei" w:cs="Microsoft YaHei"/>
          <w:color w:val="1D2733"/>
          <w:sz w:val="21"/>
        </w:rPr>
        <w:t>重大范围、数据、外部合作和财务事项由项目负责人、相关成员和指导教师共同审查。</w:t>
      </w:r>
    </w:p>
    <w:p>
      <w:pPr>
        <w:pStyle w:val="ListBullet"/>
        <w:ind w:hanging="198"/>
      </w:pPr>
      <w:r>
        <w:rPr>
          <w:rFonts w:ascii="Microsoft YaHei" w:hAnsi="Microsoft YaHei" w:eastAsia="Microsoft YaHei" w:cs="Microsoft YaHei"/>
          <w:color w:val="1D2733"/>
          <w:sz w:val="21"/>
        </w:rPr>
        <w:t>公开材料由技术负责人、用户研究负责人和指导教师交叉复核，确保能力、数据与成员贡献真实。</w:t>
      </w:r>
    </w:p>
    <w:p>
      <w:pPr>
        <w:pStyle w:val="ListBullet"/>
        <w:ind w:hanging="198"/>
      </w:pPr>
      <w:r>
        <w:rPr>
          <w:rFonts w:ascii="Microsoft YaHei" w:hAnsi="Microsoft YaHei" w:eastAsia="Microsoft YaHei" w:cs="Microsoft YaHei"/>
          <w:color w:val="1D2733"/>
          <w:sz w:val="21"/>
        </w:rPr>
        <w:t>成员贡献以任务、代码、文档、测试和运营证据归档，不以署名顺序替代实际投入。</w:t>
      </w:r>
    </w:p>
    <w:p>
      <w:pPr>
        <w:pStyle w:val="Heading1"/>
        <w:pageBreakBefore w:val="0"/>
      </w:pPr>
      <w:r>
        <w:t>第十章 财务规划与资源配置</w:t>
      </w:r>
    </w:p>
    <w:p>
      <w:r>
        <w:rPr>
          <w:rFonts w:ascii="Microsoft YaHei" w:hAnsi="Microsoft YaHei" w:eastAsia="Microsoft YaHei" w:cs="Microsoft YaHei"/>
          <w:color w:val="1D2733"/>
          <w:sz w:val="21"/>
        </w:rPr>
        <w:t>核心结论：第一年以验证为主，收入规模受验证容量约束；基准情景第三年进入盈亏平衡上方，两年资金需求 160 万元。</w:t>
      </w:r>
    </w:p>
    <w:p>
      <w:pPr>
        <w:pStyle w:val="Heading2"/>
      </w:pPr>
      <w:r>
        <w:t>10.1 财务假设与测算基础</w:t>
      </w:r>
    </w:p>
    <w:p>
      <w:r>
        <w:rPr>
          <w:rFonts w:ascii="Microsoft YaHei" w:hAnsi="Microsoft YaHei" w:eastAsia="Microsoft YaHei" w:cs="Microsoft YaHei"/>
          <w:color w:val="1D2733"/>
          <w:sz w:val="21"/>
        </w:rPr>
        <w:t>收入增长来自三条可核验的路径，而不是场景数量的简单扩张。自然新增来自内容与模板传播带来的个人用户，以及试点场景向同类组织复制；团队导流来自个人用户在团队内部扩散后形成的组织采购；开发者渠道来自技能模板与开源组件的复用者在真实工作中产生的订阅。第二种增长主要来自前两条路径，第三年的增长主要来自第三条路径与团队客户的续订扩容。</w:t>
      </w:r>
    </w:p>
    <w:p>
      <w:r>
        <w:rPr>
          <w:rFonts w:ascii="Microsoft YaHei" w:hAnsi="Microsoft YaHei" w:eastAsia="Microsoft YaHei" w:cs="Microsoft YaHei"/>
          <w:color w:val="1D2733"/>
          <w:sz w:val="21"/>
        </w:rPr>
        <w:t>本章用于检验商业模型能否形成可持续经营，不代表项目已经取得收入、融资或用户规模。收入按以下方式确认：个人订阅收入按年度平均在付用户数乘年费 240 元测算，表中年末在付用户数用于描述用户规模；团队许可按 4 万元每团队每年计价，自第二年起计入；私有部署按 18 万元每项目、以验收确认；每年在付用户由上年在付规模的 60% 续订加当年新增构成。本轮预测仅计入基础订阅、团队许可与私有部署收入，超额智能体调用收入及其对应的推理成本暂不计入，以保持测算审慎。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pPr/>
      <w:r>
        <w:rPr>
          <w:rFonts w:ascii="Microsoft YaHei" w:hAnsi="Microsoft YaHei" w:eastAsia="Microsoft YaHei" w:cs="Microsoft YaHei"/>
          <w:color w:val="1D2733"/>
          <w:sz w:val="21"/>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份试点意向，用于确认团队许可的采购流程与预算归属；三是首份报价反馈，记录真实客户对报价范围的异议与调整意见。上述证据用于修正定价与转化率假设；在证据取得之前，本章全部数字按情景假设处理。</w:t>
      </w:r>
    </w:p>
    <w:p>
      <w:pPr>
        <w:pStyle w:val="Heading2"/>
      </w:pPr>
      <w:r>
        <w:t>10.2 三年经营预测</w:t>
      </w:r>
    </w:p>
    <w:p>
      <w:pPr>
        <w:keepNext/>
        <w:spacing w:before="140" w:after="0"/>
        <w:ind w:firstLine="0"/>
        <w:jc w:val="center"/>
      </w:pPr>
      <w:r>
        <w:drawing>
          <wp:inline xmlns:a="http://schemas.openxmlformats.org/drawingml/2006/main" xmlns:pic="http://schemas.openxmlformats.org/drawingml/2006/picture">
            <wp:extent cx="5112000" cy="2612800"/>
            <wp:docPr id="12" name="Picture 12" title="图 11 Cuttle 三年收入与成本规划情景" descr="图 11 Cuttle 三年收入与成本规划情景"/>
            <wp:cNvGraphicFramePr>
              <a:graphicFrameLocks noChangeAspect="1"/>
            </wp:cNvGraphicFramePr>
            <a:graphic>
              <a:graphicData uri="http://schemas.openxmlformats.org/drawingml/2006/picture">
                <pic:pic>
                  <pic:nvPicPr>
                    <pic:cNvPr id="0" name="fig10-financial-plan.png"/>
                    <pic:cNvPicPr/>
                  </pic:nvPicPr>
                  <pic:blipFill>
                    <a:blip r:embed="rId22"/>
                    <a:stretch>
                      <a:fillRect/>
                    </a:stretch>
                  </pic:blipFill>
                  <pic:spPr>
                    <a:xfrm>
                      <a:off x="0" y="0"/>
                      <a:ext cx="5112000" cy="2612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11 Cuttle 三年经营测算（第一年付费用户上限 200 人）</w:t>
      </w:r>
    </w:p>
    <w:p>
      <w:r>
        <w:rPr>
          <w:rFonts w:ascii="Microsoft YaHei" w:hAnsi="Microsoft YaHei" w:eastAsia="Microsoft YaHei" w:cs="Microsoft YaHei"/>
          <w:color w:val="1D2733"/>
          <w:sz w:val="21"/>
        </w:rPr>
        <w:t>表 9 三年经营预测</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指标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第一年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第二年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第三年</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口径与依据</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个人专业版 付费个人（年末在付）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120 / 180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600 / 1200 / 2000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1300 / 2800 / 5000</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年费 240 元；年度续费率 60%</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团队许可（个）</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 / 5 / 10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 / 24 / 40</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 万元每团队每年；自第二年起计入</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私有部署（个）</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1</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2 / 4</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18 万元每项目，按验收确认</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第一年付费用户约束</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不超过 200 人</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来自首年验证容量；本表按 80 / 120 / 180 人测算</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保守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26.4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63.2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1.9 / 14.4 / 31.2 万元；团队 0 / 12 / 32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2.9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48.8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2.9 / 28.8 / 67.2 万元；团队 0 / 20 / 96 万元；部署 0 / 0 / 36 万元</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进取</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4.3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106.0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352.0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4.3 / 48 / 120 万元；团队 0 / 40 / 160 万元；部署 0 / 18 / 72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经营成本 保守 / 基准 /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40 / 50 / 65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55 / 105 / 190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190 / 260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研发、模型、市场与交付</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保守</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38.1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28.6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16.8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三年均未转正，用于观察下限</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47.1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56.2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第三年进入盈亏平衡上方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60.7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84.0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第三年转正</w:t>
            </w:r>
          </w:p>
        </w:tc>
      </w:tr>
      <w:p>
        <w:r>
          <w:rPr>
            <w:rFonts w:ascii="Microsoft YaHei" w:hAnsi="Microsoft YaHei" w:eastAsia="Microsoft YaHei" w:cs="Microsoft YaHei"/>
            <w:color w:val="1D2733"/>
            <w:sz w:val="21"/>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r>
          <w:rPr>
            <w:rFonts w:ascii="Microsoft YaHei" w:hAnsi="Microsoft YaHei" w:eastAsia="Microsoft YaHei" w:cs="Microsoft YaHei"/>
            <w:color w:val="1D2733"/>
            <w:sz w:val="21"/>
          </w:rPr>
          <w:t>对创意组项目而言，比三年营收总额更能说明问题的是四项单位经济指标：单任务模型成本（按任务类型分别统计并给出上四分位值）、单用户年成本（模型、支持与运维合计）、毛利率成立时间点，以及校园团队单团队交付成本（含适配、培训与支持工时）。本版测算不追求规模数字的漂亮，而是让任意一行数字都能回答“它是怎么算出来的”。</w:t>
        </w:r>
      </w:p>
    </w:tbl>
    <w:p>
      <w:pPr>
        <w:spacing w:after="20"/>
      </w:pPr>
    </w:p>
    <w:p>
      <w:pPr>
        <w:pStyle w:val="Heading2"/>
      </w:pPr>
      <w:r>
        <w:t>10.3 资源需求与首轮配置</w:t>
      </w:r>
    </w:p>
    <w:p>
      <w:r>
        <w:rPr>
          <w:rFonts w:ascii="Microsoft YaHei" w:hAnsi="Microsoft YaHei" w:eastAsia="Microsoft YaHei" w:cs="Microsoft YaHei"/>
          <w:color w:val="1D2733"/>
          <w:sz w:val="21"/>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万元。资金来源以学校及竞赛创新基金、团队自筹与外部产业合作为主，具体比例随阶段融资落实情况调整。第一年资金用于把原型推进到可验证的试点闭环，并完成对照、消融与红队测试，其中产品与研发占 30%、评测与安全占 20%、市场与试点占 25%、模型与基础设施占 15%、知识产权与预备金占 10%；第二年资金用于场景复制、团队版交付、兼容矩阵扩展与支持运维。资金按决策门分两批释放，任一批未达标即暂停后续投入。保守情景下前两年累计亏损约 67 万元，基准情景约 103 万元，该额度可覆盖基准情景所需并保留安全边际。</w:t>
      </w:r>
    </w:p>
    <w:p>
      <w:pPr>
        <w:spacing w:after="20"/>
      </w:pPr>
    </w:p>
    <w:p>
      <w:pPr>
        <w:pStyle w:val="Heading1"/>
        <w:pageBreakBefore/>
      </w:pPr>
      <w:r>
        <w:t>第十一章 风险管理</w:t>
      </w:r>
    </w:p>
    <w:p>
      <w:r>
        <w:rPr>
          <w:rFonts w:ascii="Microsoft YaHei" w:hAnsi="Microsoft YaHei" w:eastAsia="Microsoft YaHei" w:cs="Microsoft YaHei"/>
          <w:color w:val="1D2733"/>
          <w:sz w:val="21"/>
        </w:rPr>
        <w:t>核心结论：一级风险由发布门槛硬性控制，二级风险以性能降级与差异化建设应对，风险状态每两周随产品评审更新。</w:t>
      </w:r>
    </w:p>
    <w:p>
      <w:pPr>
        <w:pStyle w:val="Heading2"/>
      </w:pPr>
      <w:r>
        <w:t>11.1 关键风险与应对</w:t>
      </w:r>
    </w:p>
    <w:p>
      <w:r>
        <w:rPr>
          <w:rFonts w:ascii="Microsoft YaHei" w:hAnsi="Microsoft YaHei" w:eastAsia="Microsoft YaHei" w:cs="Microsoft YaHei"/>
          <w:color w:val="1D2733"/>
          <w:sz w:val="21"/>
        </w:rPr>
        <w:t>表 10 项目风险登记表</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风险</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概率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影响</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预警信号</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应对措施</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输入法信任风险</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用户担心输入内容被读取</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默认最小读取，可逐应用关闭，独立审计</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输入延迟风险</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正常打字出现可感延迟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快慢路径分离，打字链路不调用模型，设延迟上限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提示注入与情境污染</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文档或网页内嵌指令影响授权范围</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情境与指令隔离，来源标记，高风险二次确认</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情境误判与隐私</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敏感字段被读取，用户纠正上升</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禁止字段硬屏蔽，最小读取，独立审计</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执行误操作</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越权、外发或不可逆动作</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最小权限，独立审批，预览，沙箱与回滚</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平台厂商集成同类能力</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系统或头部输入法内置相似入口</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聚焦跨应用协议与可靠性，入口与模型可替换</w:t>
            </w:r>
          </w:p>
        </w:tc>
      </w:tr>
    </w:tbl>
    <w:p>
      <w:pPr>
        <w:spacing w:after="20"/>
      </w:pPr>
    </w:p>
    <w:p>
      <w:pPr>
        <w:pStyle w:val="Heading2"/>
      </w:pPr>
      <w:r>
        <w:t>11.2 阶段决策与调整机制</w:t>
      </w:r>
    </w:p>
    <w:p>
      <w:r>
        <w:rPr>
          <w:rFonts w:ascii="Microsoft YaHei" w:hAnsi="Microsoft YaHei" w:eastAsia="Microsoft YaHei" w:cs="Microsoft YaHei"/>
          <w:color w:val="1D2733"/>
          <w:sz w:val="21"/>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r>
        <w:rPr>
          <w:rFonts w:ascii="Microsoft YaHei" w:hAnsi="Microsoft YaHei" w:eastAsia="Microsoft YaHei" w:cs="Microsoft YaHei"/>
          <w:color w:val="1D2733"/>
          <w:sz w:val="21"/>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pPr>
        <w:pStyle w:val="Heading1"/>
        <w:pageBreakBefore/>
      </w:pPr>
      <w:r>
        <w:t>第十二章 社会价值与发展愿景</w:t>
      </w:r>
    </w:p>
    <w:p>
      <w:r>
        <w:rPr>
          <w:rFonts w:ascii="Microsoft YaHei" w:hAnsi="Microsoft YaHei" w:eastAsia="Microsoft YaHei" w:cs="Microsoft YaHei"/>
          <w:color w:val="1D2733"/>
          <w:sz w:val="21"/>
        </w:rPr>
        <w:t>核心结论：项目的价值在于让知识工作者减少无意义搬运，同时把权限、证据与撤销能力留在用户手中。</w:t>
      </w:r>
    </w:p>
    <w:p>
      <w:pPr>
        <w:pStyle w:val="Heading2"/>
      </w:pPr>
      <w:r>
        <w:t>12.1 知识工作的直接价值</w:t>
      </w:r>
    </w:p>
    <w:p>
      <w:r>
        <w:rPr>
          <w:rFonts w:ascii="Microsoft YaHei" w:hAnsi="Microsoft YaHei" w:eastAsia="Microsoft YaHei" w:cs="Microsoft YaHei"/>
          <w:color w:val="1D2733"/>
          <w:sz w:val="21"/>
        </w:rPr>
        <w:t>Cuttle 计划把资料搬运、格式返工与重复提示交给受控工具，使用户把时间用于理解、判断与创造。通过来源、证据、修改与验收记录，项目鼓励用户对 AI 结果保持审阅责任，避免把生成内容直接当作结论。对于项目与科研材料，版本化成果有助于团队复盘过程、发现错误并积累可复用的方法。</w:t>
      </w:r>
    </w:p>
    <w:p>
      <w:pPr>
        <w:pStyle w:val="Heading2"/>
      </w:pPr>
      <w:r>
        <w:t>12.2 可信人工智能与数字包容</w:t>
      </w:r>
    </w:p>
    <w:p>
      <w:r>
        <w:rPr>
          <w:rFonts w:ascii="Microsoft YaHei" w:hAnsi="Microsoft YaHei" w:eastAsia="Microsoft YaHei" w:cs="Microsoft YaHei"/>
          <w:color w:val="1D2733"/>
          <w:sz w:val="21"/>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pPr>
        <w:pStyle w:val="Heading2"/>
      </w:pPr>
      <w:r>
        <w:t>12.3 发展愿景</w:t>
      </w:r>
    </w:p>
    <w:p>
      <w:r>
        <w:rPr>
          <w:rFonts w:ascii="Microsoft YaHei" w:hAnsi="Microsoft YaHei" w:eastAsia="Microsoft YaHei" w:cs="Microsoft YaHei"/>
          <w:color w:val="1D2733"/>
          <w:sz w:val="21"/>
        </w:rPr>
        <w:t>Cuttle 的长期目标是成为个人电脑上的意图层。用户在任何应用中表达需求时，系统以最小必要情境理解任务，以适当的工具或智能体完成工作，以清晰证据说明结果，并把成果送回用户原本工作的地方。项目的衡量标准不是调用了多少模型或 Agent，而是用户是否减少了无意义的搬运、任务是否更可靠、权限是否始终掌握在用户手中。</w:t>
      </w:r>
    </w:p>
    <w:p>
      <w:pPr>
        <w:pStyle w:val="Heading1"/>
        <w:pageBreakBefore/>
      </w:pPr>
      <w:r>
        <w:t>参考资料</w:t>
      </w:r>
    </w:p>
    <w:p>
      <w:pPr>
        <w:spacing w:after="140"/>
        <w:ind w:firstLine="0"/>
      </w:pPr>
      <w:hyperlink r:id="rId23">
        <w:r>
          <w:rPr>
            <w:color w:val="163B65"/>
            <w:u w:val="single"/>
            <w:rFonts w:ascii="Microsoft YaHei" w:hAnsi="Microsoft YaHei" w:eastAsia="Microsoft YaHei" w:cs="Microsoft YaHei"/>
            <w:sz w:val="18"/>
          </w:rPr>
          <w:t>[1] 教育部关于举办中国国际大学生创新大赛 2026 的通知</w:t>
        </w:r>
      </w:hyperlink>
      <w:r>
        <w:t>[1] 教育部. 关于举办中国国际大学生创新大赛（2026）的通知[Z]. 2026.</w:t>
      </w:r>
    </w:p>
    <w:p>
      <w:pPr>
        <w:spacing w:after="140"/>
        <w:ind w:firstLine="0"/>
      </w:pPr>
      <w:hyperlink r:id="rId24">
        <w:r>
          <w:rPr>
            <w:color w:val="163B65"/>
            <w:u w:val="single"/>
            <w:rFonts w:ascii="Microsoft YaHei" w:hAnsi="Microsoft YaHei" w:eastAsia="Microsoft YaHei" w:cs="Microsoft YaHei"/>
            <w:sz w:val="18"/>
          </w:rPr>
          <w:t>[2] 中国国际大学生创新大赛 2025 高教主赛道创意组评审规则</w:t>
        </w:r>
      </w:hyperlink>
      <w:r>
        <w:t>[2] 中国国际大学生创新大赛组织委员会. 中国国际大学生创新大赛（2026）高教主赛道创意组评审规则[Z]. 2026.</w:t>
      </w:r>
    </w:p>
    <w:p>
      <w:pPr>
        <w:spacing w:after="140"/>
        <w:ind w:firstLine="0"/>
      </w:pPr>
      <w:hyperlink r:id="rId25">
        <w:r>
          <w:rPr>
            <w:color w:val="163B65"/>
            <w:u w:val="single"/>
            <w:rFonts w:ascii="Microsoft YaHei" w:hAnsi="Microsoft YaHei" w:eastAsia="Microsoft YaHei" w:cs="Microsoft YaHei"/>
            <w:sz w:val="18"/>
          </w:rPr>
          <w:t>[3] 中国互联网络信息中心 第 57 次中国互联网络发展状况统计报告</w:t>
        </w:r>
      </w:hyperlink>
      <w:r>
        <w:t>[3] 中国互联网络信息中心. 第 57 次中国互联网络发展状况统计报告[R]. 北京: 中国互联网络信息中心, 2026.</w:t>
      </w:r>
    </w:p>
    <w:p>
      <w:pPr>
        <w:spacing w:after="140"/>
        <w:ind w:firstLine="0"/>
      </w:pPr>
      <w:hyperlink r:id="rId26">
        <w:r>
          <w:rPr>
            <w:color w:val="163B65"/>
            <w:u w:val="single"/>
            <w:rFonts w:ascii="Microsoft YaHei" w:hAnsi="Microsoft YaHei" w:eastAsia="Microsoft YaHei" w:cs="Microsoft YaHei"/>
            <w:sz w:val="18"/>
          </w:rPr>
          <w:t>[4] 教育部 2025 年全国教育事业发展统计公报</w:t>
        </w:r>
      </w:hyperlink>
      <w:r>
        <w:t>[4] 教育部. 2025 年全国教育事业发展统计公报[R]. 北京: 教育部, 2026.</w:t>
      </w:r>
    </w:p>
    <w:p>
      <w:pPr>
        <w:spacing w:after="140"/>
        <w:ind w:firstLine="0"/>
      </w:pPr>
      <w:hyperlink r:id="rId27">
        <w:r>
          <w:rPr>
            <w:color w:val="163B65"/>
            <w:u w:val="single"/>
            <w:rFonts w:ascii="Microsoft YaHei" w:hAnsi="Microsoft YaHei" w:eastAsia="Microsoft YaHei" w:cs="Microsoft YaHei"/>
            <w:sz w:val="18"/>
          </w:rPr>
          <w:t>[5] 工业和信息化部 2025 年软件业运行情况</w:t>
        </w:r>
      </w:hyperlink>
      <w:r>
        <w:t>[5] 工业和信息化部. 2025 年软件业运行情况[R]. 北京: 工业和信息化部, 2026.</w:t>
      </w:r>
    </w:p>
    <w:p>
      <w:pPr>
        <w:spacing w:after="140"/>
        <w:ind w:firstLine="0"/>
      </w:pPr>
      <w:hyperlink r:id="rId28">
        <w:r>
          <w:rPr>
            <w:color w:val="163B65"/>
            <w:u w:val="single"/>
            <w:rFonts w:ascii="Microsoft YaHei" w:hAnsi="Microsoft YaHei" w:eastAsia="Microsoft YaHei" w:cs="Microsoft YaHei"/>
            <w:sz w:val="18"/>
          </w:rPr>
          <w:t>[6] 搜狗输入法升级日志</w:t>
        </w:r>
      </w:hyperlink>
      <w:r>
        <w:t>[6] 搜狗输入法. 版本升级日志[EB/OL]. https://pinyin.sogou.com/changelog.php.</w:t>
      </w:r>
    </w:p>
    <w:p>
      <w:pPr>
        <w:spacing w:after="140"/>
        <w:ind w:firstLine="0"/>
      </w:pPr>
      <w:hyperlink r:id="rId29">
        <w:r>
          <w:rPr>
            <w:color w:val="163B65"/>
            <w:u w:val="single"/>
            <w:rFonts w:ascii="Microsoft YaHei" w:hAnsi="Microsoft YaHei" w:eastAsia="Microsoft YaHei" w:cs="Microsoft YaHei"/>
            <w:sz w:val="18"/>
          </w:rPr>
          <w:t>[7] Wispr Flow Context Awareness</w:t>
        </w:r>
      </w:hyperlink>
      <w:r>
        <w:t>[7] Wispr Flow. Context Awareness[EB/OL]. https://docs.wisprflow.ai/articles/4678293671-Context-Awareness.</w:t>
      </w:r>
    </w:p>
    <w:p>
      <w:pPr>
        <w:spacing w:after="140"/>
        <w:ind w:firstLine="0"/>
      </w:pPr>
      <w:hyperlink r:id="rId30">
        <w:r>
          <w:rPr>
            <w:color w:val="163B65"/>
            <w:u w:val="single"/>
            <w:rFonts w:ascii="Microsoft YaHei" w:hAnsi="Microsoft YaHei" w:eastAsia="Microsoft YaHei" w:cs="Microsoft YaHei"/>
            <w:sz w:val="18"/>
          </w:rPr>
          <w:t>[8] OpenAI Introducing the Codex app</w:t>
        </w:r>
      </w:hyperlink>
      <w:r>
        <w:t>[8] OpenAI. Introducing the Codex app[EB/OL]. https://openai.com/index/introducing-the-codex-app/.</w:t>
      </w:r>
    </w:p>
    <w:p>
      <w:pPr>
        <w:spacing w:after="140"/>
        <w:ind w:firstLine="0"/>
      </w:pPr>
      <w:hyperlink r:id="rId31">
        <w:r>
          <w:rPr>
            <w:color w:val="163B65"/>
            <w:u w:val="single"/>
            <w:rFonts w:ascii="Microsoft YaHei" w:hAnsi="Microsoft YaHei" w:eastAsia="Microsoft YaHei" w:cs="Microsoft YaHei"/>
            <w:sz w:val="18"/>
          </w:rPr>
          <w:t>[9] 中华人民共和国个人信息保护法</w:t>
        </w:r>
      </w:hyperlink>
      <w:r>
        <w:t>[9] 全国人民代表大会常务委员会. 中华人民共和国个人信息保护法[Z]. 2021.</w:t>
      </w:r>
    </w:p>
    <w:p>
      <w:pPr>
        <w:spacing w:after="140"/>
        <w:ind w:firstLine="0"/>
      </w:pPr>
      <w:hyperlink r:id="rId32">
        <w:r>
          <w:rPr>
            <w:color w:val="163B65"/>
            <w:u w:val="single"/>
            <w:rFonts w:ascii="Microsoft YaHei" w:hAnsi="Microsoft YaHei" w:eastAsia="Microsoft YaHei" w:cs="Microsoft YaHei"/>
            <w:sz w:val="18"/>
          </w:rPr>
          <w:t>[10] 中华人民共和国数据安全法</w:t>
        </w:r>
      </w:hyperlink>
      <w:r>
        <w:t>[10] 全国人民代表大会常务委员会. 中华人民共和国数据安全法[Z]. 2021.</w:t>
      </w:r>
    </w:p>
    <w:p>
      <w:pPr>
        <w:spacing w:after="140"/>
        <w:ind w:firstLine="0"/>
      </w:pPr>
      <w:hyperlink r:id="rId33">
        <w:r>
          <w:rPr>
            <w:color w:val="163B65"/>
            <w:u w:val="single"/>
            <w:rFonts w:ascii="Microsoft YaHei" w:hAnsi="Microsoft YaHei" w:eastAsia="Microsoft YaHei" w:cs="Microsoft YaHei"/>
            <w:sz w:val="18"/>
          </w:rPr>
          <w:t>[11] 生成式人工智能服务管理暂行办法</w:t>
        </w:r>
      </w:hyperlink>
      <w:r>
        <w:t>[11] 国家互联网信息办公室等. 生成式人工智能服务管理暂行办法[Z]. 2023.</w:t>
      </w:r>
    </w:p>
    <w:p>
      <w:pPr>
        <w:spacing w:after="140"/>
        <w:ind w:firstLine="0"/>
      </w:pPr>
      <w:hyperlink r:id="rId34">
        <w:r>
          <w:rPr>
            <w:color w:val="163B65"/>
            <w:u w:val="single"/>
            <w:rFonts w:ascii="Microsoft YaHei" w:hAnsi="Microsoft YaHei" w:eastAsia="Microsoft YaHei" w:cs="Microsoft YaHei"/>
            <w:sz w:val="18"/>
          </w:rPr>
          <w:t>[12] Xiaomi MiMo Desktop</w:t>
        </w:r>
      </w:hyperlink>
      <w:r>
        <w:t>[12] Xiaomi. MiMo Desktop 产品文档[EB/OL]. https://mimo.mi.com/docs/en-US/news/latest/mimo-desktop.</w:t>
      </w:r>
    </w:p>
    <w:p>
      <w:pPr>
        <w:spacing w:after="140"/>
        <w:ind w:firstLine="0"/>
      </w:pPr>
      <w:r>
        <w:rPr>
          <w:color w:val="163B65"/>
          <w:u w:val="single"/>
          <w:rFonts w:ascii="Microsoft YaHei" w:hAnsi="Microsoft YaHei" w:eastAsia="Microsoft YaHei" w:cs="Microsoft YaHei"/>
          <w:sz w:val="18"/>
        </w:rPr>
        <w:t>[13] YAO S, ZHAO J, YU D, et al. ReAct: Synergizing Reasoning and Acting in Language Models[C]. ICLR, 2023.</w:t>
      </w:r>
    </w:p>
    <w:p>
      <w:pPr>
        <w:spacing w:after="140"/>
        <w:ind w:firstLine="0"/>
      </w:pPr>
      <w:r>
        <w:rPr>
          <w:color w:val="163B65"/>
          <w:u w:val="single"/>
          <w:rFonts w:ascii="Microsoft YaHei" w:hAnsi="Microsoft YaHei" w:eastAsia="Microsoft YaHei" w:cs="Microsoft YaHei"/>
          <w:sz w:val="18"/>
        </w:rPr>
        <w:t>[14] SCHICK T, DWIVEDI-YU J, DESSI R, et al. Toolformer: Language Models Can Teach Themselves to Use Tools[C]. NeurIPS, 2023.</w:t>
      </w:r>
    </w:p>
    <w:p>
      <w:pPr>
        <w:spacing w:after="140"/>
        <w:ind w:firstLine="0"/>
      </w:pPr>
      <w:r>
        <w:rPr>
          <w:color w:val="163B65"/>
          <w:u w:val="single"/>
          <w:rFonts w:ascii="Microsoft YaHei" w:hAnsi="Microsoft YaHei" w:eastAsia="Microsoft YaHei" w:cs="Microsoft YaHei"/>
          <w:sz w:val="18"/>
        </w:rPr>
        <w:t>[15] SHINN N, CASSANO F, GOPINATH A, et al. Reflexion: Language Agents with Verbal Reinforcement Learning[C]. NeurIPS, 2023.</w:t>
      </w:r>
    </w:p>
    <w:p>
      <w:pPr>
        <w:spacing w:after="140"/>
        <w:ind w:firstLine="0"/>
      </w:pPr>
      <w:r>
        <w:rPr>
          <w:color w:val="163B65"/>
          <w:u w:val="single"/>
          <w:rFonts w:ascii="Microsoft YaHei" w:hAnsi="Microsoft YaHei" w:eastAsia="Microsoft YaHei" w:cs="Microsoft YaHei"/>
          <w:sz w:val="18"/>
        </w:rPr>
        <w:t>[16] WU Q, BANSAL G, ZHANG J, et al. AutoGen: Enabling Next-Gen LLM Applications via Multi-Agent Conversation[R]. arXiv:2308.08155, 2023.</w:t>
      </w:r>
    </w:p>
    <w:p>
      <w:pPr>
        <w:spacing w:after="140"/>
        <w:ind w:firstLine="0"/>
      </w:pPr>
      <w:r>
        <w:rPr>
          <w:color w:val="163B65"/>
          <w:u w:val="single"/>
          <w:rFonts w:ascii="Microsoft YaHei" w:hAnsi="Microsoft YaHei" w:eastAsia="Microsoft YaHei" w:cs="Microsoft YaHei"/>
          <w:sz w:val="18"/>
        </w:rPr>
        <w:t>[17] HONG S, ZHUGE M, CHEN J, et al. MetaGPT: Meta Programming for a Multi-Agent Collaborative Framework[C]. ICLR, 2024.</w:t>
      </w:r>
    </w:p>
    <w:p>
      <w:pPr>
        <w:spacing w:after="140"/>
        <w:ind w:firstLine="0"/>
      </w:pPr>
      <w:r>
        <w:rPr>
          <w:color w:val="163B65"/>
          <w:u w:val="single"/>
          <w:rFonts w:ascii="Microsoft YaHei" w:hAnsi="Microsoft YaHei" w:eastAsia="Microsoft YaHei" w:cs="Microsoft YaHei"/>
          <w:sz w:val="18"/>
        </w:rPr>
        <w:t>[18] JIMENEZ C E, YANG J, WETTIG A, et al. SWE-bench: Can Language Models Resolve Real-World GitHub Issues?[C]. ICLR, 2024.</w:t>
      </w:r>
    </w:p>
    <w:p>
      <w:pPr>
        <w:spacing w:after="140"/>
        <w:ind w:firstLine="0"/>
      </w:pPr>
      <w:r>
        <w:rPr>
          <w:color w:val="163B65"/>
          <w:u w:val="single"/>
          <w:rFonts w:ascii="Microsoft YaHei" w:hAnsi="Microsoft YaHei" w:eastAsia="Microsoft YaHei" w:cs="Microsoft YaHei"/>
          <w:sz w:val="18"/>
        </w:rPr>
        <w:t>[19] ZHOU S, XU F F, ZHU H, et al. WebArena: A Realistic Web Environment for Building Autonomous Agents[C]. ICLR, 2024.</w:t>
      </w:r>
    </w:p>
    <w:p>
      <w:pPr>
        <w:spacing w:after="140"/>
        <w:ind w:firstLine="0"/>
      </w:pPr>
      <w:r>
        <w:rPr>
          <w:color w:val="163B65"/>
          <w:u w:val="single"/>
          <w:rFonts w:ascii="Microsoft YaHei" w:hAnsi="Microsoft YaHei" w:eastAsia="Microsoft YaHei" w:cs="Microsoft YaHei"/>
          <w:sz w:val="18"/>
        </w:rPr>
        <w:t>[20] XIE T, ZHANG D, CHEN J, et al. OSWorld: Benchmarking Multimodal Agents for Open-Ended Tasks in Real Computer Environments[C]. NeurIPS, 2024.</w:t>
      </w:r>
    </w:p>
    <w:p>
      <w:pPr>
        <w:spacing w:after="140"/>
        <w:ind w:firstLine="0"/>
      </w:pPr>
      <w:r>
        <w:rPr>
          <w:color w:val="163B65"/>
          <w:u w:val="single"/>
          <w:rFonts w:ascii="Microsoft YaHei" w:hAnsi="Microsoft YaHei" w:eastAsia="Microsoft YaHei" w:cs="Microsoft YaHei"/>
          <w:sz w:val="18"/>
        </w:rPr>
        <w:t>[21] DOURISH P. What We Talk About When We Talk About Context[J]. Personal and Ubiquitous Computing, 2004, 8(1): 19-30.</w:t>
      </w:r>
    </w:p>
    <w:p>
      <w:pPr>
        <w:spacing w:after="140"/>
        <w:ind w:firstLine="0"/>
      </w:pPr>
      <w:r>
        <w:rPr>
          <w:color w:val="163B65"/>
          <w:u w:val="single"/>
          <w:rFonts w:ascii="Microsoft YaHei" w:hAnsi="Microsoft YaHei" w:eastAsia="Microsoft YaHei" w:cs="Microsoft YaHei"/>
          <w:sz w:val="18"/>
        </w:rPr>
        <w:t>[22] DEY A K. Understanding and Using Context[J]. Personal and Ubiquitous Computing, 2001, 5(1): 4-7.</w:t>
      </w:r>
    </w:p>
    <w:p>
      <w:pPr>
        <w:spacing w:after="140"/>
        <w:ind w:firstLine="0"/>
      </w:pPr>
      <w:r>
        <w:rPr>
          <w:color w:val="163B65"/>
          <w:u w:val="single"/>
          <w:rFonts w:ascii="Microsoft YaHei" w:hAnsi="Microsoft YaHei" w:eastAsia="Microsoft YaHei" w:cs="Microsoft YaHei"/>
          <w:sz w:val="18"/>
        </w:rPr>
        <w:t>[23] HORVITZ E. Principles of Mixed-Initiative User Interfaces[C]. Proceedings of CHI, 1999: 159-166.</w:t>
      </w:r>
    </w:p>
    <w:p>
      <w:pPr>
        <w:spacing w:after="140"/>
        <w:ind w:firstLine="0"/>
      </w:pPr>
      <w:r>
        <w:rPr>
          <w:color w:val="163B65"/>
          <w:u w:val="single"/>
          <w:rFonts w:ascii="Microsoft YaHei" w:hAnsi="Microsoft YaHei" w:eastAsia="Microsoft YaHei" w:cs="Microsoft YaHei"/>
          <w:sz w:val="18"/>
        </w:rPr>
        <w:t>[24] AMERSHI S, WELD D, VORVOREANU M, et al. Guidelines for Human-AI Interaction[C]. Proceedings of CHI, 2019: 1-13.</w:t>
      </w:r>
    </w:p>
    <w:p>
      <w:pPr>
        <w:spacing w:after="140"/>
        <w:ind w:firstLine="0"/>
      </w:pPr>
      <w:r>
        <w:rPr>
          <w:color w:val="163B65"/>
          <w:u w:val="single"/>
          <w:rFonts w:ascii="Microsoft YaHei" w:hAnsi="Microsoft YaHei" w:eastAsia="Microsoft YaHei" w:cs="Microsoft YaHei"/>
          <w:sz w:val="18"/>
        </w:rPr>
        <w:t>[25] LEE J D, SEE K A. Trust in Automation: Designing for Appropriate Reliance[J]. Human Factors, 2004, 46(1): 50-80.</w:t>
      </w:r>
    </w:p>
    <w:p>
      <w:pPr>
        <w:spacing w:after="140"/>
        <w:ind w:firstLine="0"/>
      </w:pPr>
      <w:r>
        <w:rPr>
          <w:color w:val="163B65"/>
          <w:u w:val="single"/>
          <w:rFonts w:ascii="Microsoft YaHei" w:hAnsi="Microsoft YaHei" w:eastAsia="Microsoft YaHei" w:cs="Microsoft YaHei"/>
          <w:sz w:val="18"/>
        </w:rPr>
        <w:t>[26] PARASURAMAN R, RILEY V. Humans and Automation: Use, Misuse, Disuse, Abuse[J]. Human Factors, 1997, 39(2): 230-253.</w:t>
      </w:r>
    </w:p>
    <w:p>
      <w:pPr>
        <w:spacing w:after="140"/>
        <w:ind w:firstLine="0"/>
      </w:pPr>
      <w:r>
        <w:rPr>
          <w:color w:val="163B65"/>
          <w:u w:val="single"/>
          <w:rFonts w:ascii="Microsoft YaHei" w:hAnsi="Microsoft YaHei" w:eastAsia="Microsoft YaHei" w:cs="Microsoft YaHei"/>
          <w:sz w:val="18"/>
        </w:rPr>
        <w:t>[27] Microsoft. Text Services Framework 与 UI Automation 架构文档[EB/OL]. Microsoft Learn, 2025.</w:t>
      </w:r>
    </w:p>
    <w:p>
      <w:pPr>
        <w:spacing w:after="140"/>
        <w:ind w:firstLine="0"/>
      </w:pPr>
      <w:r>
        <w:rPr>
          <w:color w:val="163B65"/>
          <w:u w:val="single"/>
          <w:rFonts w:ascii="Microsoft YaHei" w:hAnsi="Microsoft YaHei" w:eastAsia="Microsoft YaHei" w:cs="Microsoft YaHei"/>
          <w:sz w:val="18"/>
        </w:rPr>
        <w:t>[28] NIST. Artificial Intelligence Risk Management Framework (AI RMF 1.0)[R]. NIST AI 100-1, 2023.</w:t>
      </w:r>
    </w:p>
    <w:p>
      <w:pPr>
        <w:spacing w:after="140"/>
        <w:ind w:firstLine="0"/>
      </w:pPr>
      <w:r>
        <w:rPr>
          <w:color w:val="163B65"/>
          <w:u w:val="single"/>
          <w:rFonts w:ascii="Microsoft YaHei" w:hAnsi="Microsoft YaHei" w:eastAsia="Microsoft YaHei" w:cs="Microsoft YaHei"/>
          <w:sz w:val="18"/>
        </w:rPr>
        <w:t>[29] ISO/IEC. 25010:2011 Systems and Software Quality Requirements and Evaluation (SQuaRE)[S]. Geneva: ISO, 2011.</w:t>
      </w:r>
    </w:p>
    <w:p>
      <w:pPr>
        <w:spacing w:after="140"/>
        <w:ind w:firstLine="0"/>
      </w:pPr>
      <w:r>
        <w:rPr>
          <w:color w:val="163B65"/>
          <w:u w:val="single"/>
          <w:rFonts w:ascii="Microsoft YaHei" w:hAnsi="Microsoft YaHei" w:eastAsia="Microsoft YaHei" w:cs="Microsoft YaHei"/>
          <w:sz w:val="18"/>
        </w:rPr>
        <w:t>[30] SHNEIDERMAN B. Human-Centered AI[M]. Oxford: Oxford University Press, 2022.</w:t>
      </w:r>
    </w:p>
    <w:sectPr w:rsidR="00FC693F" w:rsidRPr="0006063C" w:rsidSect="00034616">
      <w:headerReference w:type="default" r:id="rId9"/>
      <w:footerReference w:type="default" r:id="rId10"/>
      <w:pgSz w:w="11906" w:h="16838"/>
      <w:pgMar w:top="1020"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crosoft YaHei">
    <w:panose1 w:val="020B0604030504040204"/>
    <w:charset w:val="86"/>
    <w:family w:val="swiss"/>
    <w:pitch w:val="variable"/>
    <w:sig w:usb0="E00002FF" w:usb1="2AC7FDFF" w:usb2="00000000"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6717E"/>
        <w:sz w:val="18"/>
      </w:rPr>
      <w:fldChar w:fldCharType="begin"/>
    </w:r>
    <w:r>
      <w:rPr>
        <w:rFonts w:ascii="Microsoft YaHei" w:hAnsi="Microsoft YaHei" w:eastAsia="Microsoft YaHei" w:cs="Microsoft YaHei"/>
        <w:color w:val="66717E"/>
        <w:sz w:val="18"/>
      </w:rPr>
      <w:instrText xml:space="preserve"> PAGE </w:instrText>
    </w:r>
    <w:r>
      <w:rPr>
        <w:rFonts w:ascii="Microsoft YaHei" w:hAnsi="Microsoft YaHei" w:eastAsia="Microsoft YaHei" w:cs="Microsoft YaHei"/>
        <w:color w:val="66717E"/>
        <w:sz w:val="18"/>
      </w:rPr>
      <w:fldChar w:fldCharType="separate"/>
    </w:r>
    <w:r>
      <w:rPr>
        <w:rFonts w:ascii="Microsoft YaHei" w:hAnsi="Microsoft YaHei" w:eastAsia="Microsoft YaHei" w:cs="Microsoft YaHei"/>
        <w:color w:val="66717E"/>
        <w:sz w:val="18"/>
      </w:rPr>
      <w:t>1</w:t>
    </w:r>
    <w:r>
      <w:rPr>
        <w:rFonts w:ascii="Microsoft YaHei" w:hAnsi="Microsoft YaHei" w:eastAsia="Microsoft YaHei" w:cs="Microsoft YaHei"/>
        <w:color w:val="66717E"/>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color w:val="66717E"/>
        <w:sz w:val="17"/>
      </w:rPr>
      <w:t>Cuttle 情境原生智能输入系统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ind w:firstLine="420"/>
    </w:pPr>
    <w:rPr>
      <w:rFonts w:ascii="Microsoft YaHei" w:hAnsi="Microsoft YaHei" w:eastAsia="Microsoft YaHei" w:cs="Microsoft YaHe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Microsoft YaHei" w:hAnsi="Microsoft YaHei" w:eastAsia="Microsoft YaHei" w:cs="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25" w:hanging="198"/>
      <w:contextualSpacing/>
    </w:pPr>
    <w:rPr>
      <w:rFonts w:ascii="Microsoft YaHei" w:hAnsi="Microsoft YaHei" w:eastAsia="Microsoft YaHei" w:cs="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Microsoft YaHei" w:hAnsi="Microsoft YaHei" w:eastAsia="Microsoft YaHei" w:cs="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icrosoft YaHei" w:hAnsi="Microsoft YaHei" w:eastAsia="Microsoft YaHei" w:cs="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icrosoft YaHei" w:hAnsi="Microsoft YaHei" w:eastAsia="Microsoft YaHei" w:cs="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icrosoft YaHei" w:hAnsi="Microsoft YaHei" w:eastAsia="Microsoft YaHei" w:cs="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moe.gov.cn/srcsite/A08/s5672/202607/t20260731_1445670.html" TargetMode="External"/><Relationship Id="rId24" Type="http://schemas.openxmlformats.org/officeDocument/2006/relationships/hyperlink" Target="https://www.xit.edu.cn/stjq/2025/0610/c335a62225/page.htm" TargetMode="External"/><Relationship Id="rId25" Type="http://schemas.openxmlformats.org/officeDocument/2006/relationships/hyperlink" Target="https://www3.cnnic.cn/n4/2026/0304/c88-11549.html" TargetMode="External"/><Relationship Id="rId26" Type="http://schemas.openxmlformats.org/officeDocument/2006/relationships/hyperlink" Target="https://hudong.moe.gov.cn/jyb_sjzl/sjzl_fztjgb/202607/t20260706_1442870.html" TargetMode="External"/><Relationship Id="rId27" Type="http://schemas.openxmlformats.org/officeDocument/2006/relationships/hyperlink" Target="https://www.miit.gov.cn/gxsj/tjfx/rjy/art/2026/art_65a12a560865432bb1548fdddc74f19c.html" TargetMode="External"/><Relationship Id="rId28" Type="http://schemas.openxmlformats.org/officeDocument/2006/relationships/hyperlink" Target="https://pinyin.sogou.com/changelog.php" TargetMode="External"/><Relationship Id="rId29" Type="http://schemas.openxmlformats.org/officeDocument/2006/relationships/hyperlink" Target="https://docs.wisprflow.ai/articles/4678293671-Context-Awareness" TargetMode="External"/><Relationship Id="rId30" Type="http://schemas.openxmlformats.org/officeDocument/2006/relationships/hyperlink" Target="https://openai.com/index/introducing-the-codex-app/" TargetMode="External"/><Relationship Id="rId31" Type="http://schemas.openxmlformats.org/officeDocument/2006/relationships/hyperlink" Target="https://www.npc.gov.cn/npc/c2/c30834/202108/t20210820_313088.html" TargetMode="External"/><Relationship Id="rId32" Type="http://schemas.openxmlformats.org/officeDocument/2006/relationships/hyperlink" Target="https://www.npc.gov.cn/npc/c2/c30834/202106/t20210610_311888.html" TargetMode="External"/><Relationship Id="rId33" Type="http://schemas.openxmlformats.org/officeDocument/2006/relationships/hyperlink" Target="https://www.miit.gov.cn/zcfg/qtl/art/2023/art_f4e8f71ae1dc43b0980b962907b7738f.html" TargetMode="External"/><Relationship Id="rId34" Type="http://schemas.openxmlformats.org/officeDocument/2006/relationships/hyperlink" Target="https://mimo.mi.com/docs/en-US/news/latest/mimo-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
  <cp:revision>1</cp:revision>
  <dcterms:created xsi:type="dcterms:W3CDTF">2013-12-23T23:15:00Z</dcterms:created>
  <dcterms:modified xsi:type="dcterms:W3CDTF">2013-12-23T23:15:00Z</dcterms:modified>
  <cp:category/>
</cp:coreProperties>
</file>