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2"/>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10</w:t>
      </w:r>
    </w:p>
    <w:p>
      <w:pPr>
        <w:tabs>
          <w:tab w:pos="9071" w:val="right" w:leader="dot"/>
        </w:tabs>
        <w:spacing w:before="0" w:after="44"/>
        <w:ind w:firstLine="0"/>
      </w:pPr>
      <w:r>
        <w:rPr>
          <w:rFonts w:ascii="Times New Roman" w:hAnsi="Times New Roman" w:eastAsia="宋体"/>
          <w:b w:val="0"/>
          <w:i w:val="0"/>
          <w:color w:val="000000"/>
          <w:sz w:val="19"/>
        </w:rPr>
        <w:t>2.5 PEST分析</w:t>
        <w:tab/>
        <w:t>11</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12</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14</w:t>
      </w:r>
    </w:p>
    <w:p>
      <w:pPr>
        <w:tabs>
          <w:tab w:pos="9071" w:val="right" w:leader="dot"/>
        </w:tabs>
        <w:spacing w:before="0" w:after="44"/>
        <w:ind w:firstLine="0"/>
      </w:pPr>
      <w:r>
        <w:rPr>
          <w:rFonts w:ascii="Times New Roman" w:hAnsi="Times New Roman" w:eastAsia="宋体"/>
          <w:b w:val="0"/>
          <w:i w:val="0"/>
          <w:color w:val="000000"/>
          <w:sz w:val="19"/>
        </w:rPr>
        <w:t>3.1 产品总体形态</w:t>
        <w:tab/>
        <w:t>14</w:t>
      </w:r>
    </w:p>
    <w:p>
      <w:pPr>
        <w:tabs>
          <w:tab w:pos="9071" w:val="right" w:leader="dot"/>
        </w:tabs>
        <w:spacing w:before="0" w:after="44"/>
        <w:ind w:firstLine="0"/>
      </w:pPr>
      <w:r>
        <w:rPr>
          <w:rFonts w:ascii="Times New Roman" w:hAnsi="Times New Roman" w:eastAsia="宋体"/>
          <w:b w:val="0"/>
          <w:i w:val="0"/>
          <w:color w:val="000000"/>
          <w:sz w:val="19"/>
        </w:rPr>
        <w:t>3.2 核心功能体系</w:t>
        <w:tab/>
        <w:t>14</w:t>
      </w:r>
    </w:p>
    <w:p>
      <w:pPr>
        <w:tabs>
          <w:tab w:pos="9071" w:val="right" w:leader="dot"/>
        </w:tabs>
        <w:spacing w:before="0" w:after="44"/>
        <w:ind w:firstLine="0"/>
      </w:pPr>
      <w:r>
        <w:rPr>
          <w:rFonts w:ascii="Times New Roman" w:hAnsi="Times New Roman" w:eastAsia="宋体"/>
          <w:b w:val="0"/>
          <w:i w:val="0"/>
          <w:color w:val="000000"/>
          <w:sz w:val="19"/>
        </w:rPr>
        <w:t>3.3 典型场景</w:t>
        <w:tab/>
        <w:t>16</w:t>
      </w:r>
    </w:p>
    <w:p>
      <w:pPr>
        <w:tabs>
          <w:tab w:pos="9071" w:val="right" w:leader="dot"/>
        </w:tabs>
        <w:spacing w:before="0" w:after="44"/>
        <w:ind w:firstLine="0"/>
      </w:pPr>
      <w:r>
        <w:rPr>
          <w:rFonts w:ascii="Times New Roman" w:hAnsi="Times New Roman" w:eastAsia="宋体"/>
          <w:b w:val="0"/>
          <w:i w:val="0"/>
          <w:color w:val="000000"/>
          <w:sz w:val="19"/>
        </w:rPr>
        <w:t>3.4 用户旅程</w:t>
        <w:tab/>
        <w:t>16</w:t>
      </w:r>
    </w:p>
    <w:p>
      <w:pPr>
        <w:tabs>
          <w:tab w:pos="9071" w:val="right" w:leader="dot"/>
        </w:tabs>
        <w:spacing w:before="0" w:after="44"/>
        <w:ind w:firstLine="0"/>
      </w:pPr>
      <w:r>
        <w:rPr>
          <w:rFonts w:ascii="Times New Roman" w:hAnsi="Times New Roman" w:eastAsia="宋体"/>
          <w:b w:val="0"/>
          <w:i w:val="0"/>
          <w:color w:val="000000"/>
          <w:sz w:val="19"/>
        </w:rPr>
        <w:t>3.5 技术路线</w:t>
        <w:tab/>
        <w:t>17</w:t>
      </w:r>
    </w:p>
    <w:p>
      <w:pPr>
        <w:tabs>
          <w:tab w:pos="9071" w:val="right" w:leader="dot"/>
        </w:tabs>
        <w:spacing w:before="0" w:after="44"/>
        <w:ind w:firstLine="0"/>
      </w:pPr>
      <w:r>
        <w:rPr>
          <w:rFonts w:ascii="Times New Roman" w:hAnsi="Times New Roman" w:eastAsia="宋体"/>
          <w:b w:val="0"/>
          <w:i w:val="0"/>
          <w:color w:val="000000"/>
          <w:sz w:val="19"/>
        </w:rPr>
        <w:t>3.6 项目创新点</w:t>
        <w:tab/>
        <w:t>18</w:t>
      </w:r>
    </w:p>
    <w:p>
      <w:pPr>
        <w:tabs>
          <w:tab w:pos="9071" w:val="right" w:leader="dot"/>
        </w:tabs>
        <w:spacing w:before="0" w:after="44"/>
        <w:ind w:firstLine="0"/>
      </w:pPr>
      <w:r>
        <w:rPr>
          <w:rFonts w:ascii="Times New Roman" w:hAnsi="Times New Roman" w:eastAsia="宋体"/>
          <w:b w:val="0"/>
          <w:i w:val="0"/>
          <w:color w:val="000000"/>
          <w:sz w:val="19"/>
        </w:rPr>
        <w:t>3.7 安全与隐私</w:t>
        <w:tab/>
        <w:t>19</w:t>
      </w:r>
    </w:p>
    <w:p>
      <w:pPr>
        <w:tabs>
          <w:tab w:pos="9071" w:val="right" w:leader="dot"/>
        </w:tabs>
        <w:spacing w:before="0" w:after="44"/>
        <w:ind w:firstLine="0"/>
      </w:pPr>
      <w:r>
        <w:rPr>
          <w:rFonts w:ascii="Times New Roman" w:hAnsi="Times New Roman" w:eastAsia="宋体"/>
          <w:b/>
          <w:i w:val="0"/>
          <w:color w:val="000000"/>
          <w:sz w:val="19"/>
        </w:rPr>
        <w:t>第四章  商业模式</w:t>
        <w:tab/>
        <w:t>20</w:t>
      </w:r>
    </w:p>
    <w:p>
      <w:pPr>
        <w:tabs>
          <w:tab w:pos="9071" w:val="right" w:leader="dot"/>
        </w:tabs>
        <w:spacing w:before="0" w:after="44"/>
        <w:ind w:firstLine="0"/>
      </w:pPr>
      <w:r>
        <w:rPr>
          <w:rFonts w:ascii="Times New Roman" w:hAnsi="Times New Roman" w:eastAsia="宋体"/>
          <w:b w:val="0"/>
          <w:i w:val="0"/>
          <w:color w:val="000000"/>
          <w:sz w:val="19"/>
        </w:rPr>
        <w:t>4.1 盈利模式</w:t>
        <w:tab/>
        <w:t>20</w:t>
      </w:r>
    </w:p>
    <w:p>
      <w:pPr>
        <w:tabs>
          <w:tab w:pos="9071" w:val="right" w:leader="dot"/>
        </w:tabs>
        <w:spacing w:before="0" w:after="44"/>
        <w:ind w:firstLine="0"/>
      </w:pPr>
      <w:r>
        <w:rPr>
          <w:rFonts w:ascii="Times New Roman" w:hAnsi="Times New Roman" w:eastAsia="宋体"/>
          <w:b w:val="0"/>
          <w:i w:val="0"/>
          <w:color w:val="000000"/>
          <w:sz w:val="19"/>
        </w:rPr>
        <w:t>4.2 产品版本与定价</w:t>
        <w:tab/>
        <w:t>20</w:t>
      </w:r>
    </w:p>
    <w:p>
      <w:pPr>
        <w:tabs>
          <w:tab w:pos="9071" w:val="right" w:leader="dot"/>
        </w:tabs>
        <w:spacing w:before="0" w:after="44"/>
        <w:ind w:firstLine="0"/>
      </w:pPr>
      <w:r>
        <w:rPr>
          <w:rFonts w:ascii="Times New Roman" w:hAnsi="Times New Roman" w:eastAsia="宋体"/>
          <w:b w:val="0"/>
          <w:i w:val="0"/>
          <w:color w:val="000000"/>
          <w:sz w:val="19"/>
        </w:rPr>
        <w:t>4.3 收入来源</w:t>
        <w:tab/>
        <w:t>21</w:t>
      </w:r>
    </w:p>
    <w:p>
      <w:pPr>
        <w:tabs>
          <w:tab w:pos="9071" w:val="right" w:leader="dot"/>
        </w:tabs>
        <w:spacing w:before="0" w:after="44"/>
        <w:ind w:firstLine="0"/>
      </w:pPr>
      <w:r>
        <w:rPr>
          <w:rFonts w:ascii="Times New Roman" w:hAnsi="Times New Roman" w:eastAsia="宋体"/>
          <w:b w:val="0"/>
          <w:i w:val="0"/>
          <w:color w:val="000000"/>
          <w:sz w:val="19"/>
        </w:rPr>
        <w:t>4.4 成本结构</w:t>
        <w:tab/>
        <w:t>21</w:t>
      </w:r>
    </w:p>
    <w:p>
      <w:pPr>
        <w:tabs>
          <w:tab w:pos="9071" w:val="right" w:leader="dot"/>
        </w:tabs>
        <w:spacing w:before="0" w:after="44"/>
        <w:ind w:firstLine="0"/>
      </w:pPr>
      <w:r>
        <w:rPr>
          <w:rFonts w:ascii="Times New Roman" w:hAnsi="Times New Roman" w:eastAsia="宋体"/>
          <w:b w:val="0"/>
          <w:i w:val="0"/>
          <w:color w:val="000000"/>
          <w:sz w:val="19"/>
        </w:rPr>
        <w:t>4.5 合作伙伴策略</w:t>
        <w:tab/>
        <w:t>21</w:t>
      </w:r>
    </w:p>
    <w:p>
      <w:pPr>
        <w:tabs>
          <w:tab w:pos="9071" w:val="right" w:leader="dot"/>
        </w:tabs>
        <w:spacing w:before="0" w:after="44"/>
        <w:ind w:firstLine="0"/>
      </w:pPr>
      <w:r>
        <w:rPr>
          <w:rFonts w:ascii="Times New Roman" w:hAnsi="Times New Roman" w:eastAsia="宋体"/>
          <w:b/>
          <w:i w:val="0"/>
          <w:color w:val="000000"/>
          <w:sz w:val="19"/>
        </w:rPr>
        <w:t>第五章  市场营销策略</w:t>
        <w:tab/>
        <w:t>23</w:t>
      </w:r>
    </w:p>
    <w:p>
      <w:pPr>
        <w:tabs>
          <w:tab w:pos="9071" w:val="right" w:leader="dot"/>
        </w:tabs>
        <w:spacing w:before="0" w:after="44"/>
        <w:ind w:firstLine="0"/>
      </w:pPr>
      <w:r>
        <w:rPr>
          <w:rFonts w:ascii="Times New Roman" w:hAnsi="Times New Roman" w:eastAsia="宋体"/>
          <w:b w:val="0"/>
          <w:i w:val="0"/>
          <w:color w:val="000000"/>
          <w:sz w:val="19"/>
        </w:rPr>
        <w:t>5.1 市场定位</w:t>
        <w:tab/>
        <w:t>23</w:t>
      </w:r>
    </w:p>
    <w:p>
      <w:pPr>
        <w:tabs>
          <w:tab w:pos="9071" w:val="right" w:leader="dot"/>
        </w:tabs>
        <w:spacing w:before="0" w:after="44"/>
        <w:ind w:firstLine="0"/>
      </w:pPr>
      <w:r>
        <w:rPr>
          <w:rFonts w:ascii="Times New Roman" w:hAnsi="Times New Roman" w:eastAsia="宋体"/>
          <w:b w:val="0"/>
          <w:i w:val="0"/>
          <w:color w:val="000000"/>
          <w:sz w:val="19"/>
        </w:rPr>
        <w:t>5.2 产品与渠道策略</w:t>
        <w:tab/>
        <w:t>23</w:t>
      </w:r>
    </w:p>
    <w:p>
      <w:pPr>
        <w:tabs>
          <w:tab w:pos="9071" w:val="right" w:leader="dot"/>
        </w:tabs>
        <w:spacing w:before="0" w:after="44"/>
        <w:ind w:firstLine="0"/>
      </w:pPr>
      <w:r>
        <w:rPr>
          <w:rFonts w:ascii="Times New Roman" w:hAnsi="Times New Roman" w:eastAsia="宋体"/>
          <w:b w:val="0"/>
          <w:i w:val="0"/>
          <w:color w:val="000000"/>
          <w:sz w:val="19"/>
        </w:rPr>
        <w:t>5.3 宣传与用户增长</w:t>
        <w:tab/>
        <w:t>24</w:t>
      </w:r>
    </w:p>
    <w:p>
      <w:pPr>
        <w:tabs>
          <w:tab w:pos="9071" w:val="right" w:leader="dot"/>
        </w:tabs>
        <w:spacing w:before="0" w:after="44"/>
        <w:ind w:firstLine="0"/>
      </w:pPr>
      <w:r>
        <w:rPr>
          <w:rFonts w:ascii="Times New Roman" w:hAnsi="Times New Roman" w:eastAsia="宋体"/>
          <w:b w:val="0"/>
          <w:i w:val="0"/>
          <w:color w:val="000000"/>
          <w:sz w:val="19"/>
        </w:rPr>
        <w:t>5.4 留存与口碑机制</w:t>
        <w:tab/>
        <w:t>26</w:t>
      </w:r>
    </w:p>
    <w:p>
      <w:pPr>
        <w:tabs>
          <w:tab w:pos="9071" w:val="right" w:leader="dot"/>
        </w:tabs>
        <w:spacing w:before="0" w:after="44"/>
        <w:ind w:firstLine="0"/>
      </w:pPr>
      <w:r>
        <w:rPr>
          <w:rFonts w:ascii="Times New Roman" w:hAnsi="Times New Roman" w:eastAsia="宋体"/>
          <w:b/>
          <w:i w:val="0"/>
          <w:color w:val="000000"/>
          <w:sz w:val="19"/>
        </w:rPr>
        <w:t>第六章  财务分析</w:t>
        <w:tab/>
        <w:t>27</w:t>
      </w:r>
    </w:p>
    <w:p>
      <w:pPr>
        <w:tabs>
          <w:tab w:pos="9071" w:val="right" w:leader="dot"/>
        </w:tabs>
        <w:spacing w:before="0" w:after="44"/>
        <w:ind w:firstLine="0"/>
      </w:pPr>
      <w:r>
        <w:rPr>
          <w:rFonts w:ascii="Times New Roman" w:hAnsi="Times New Roman" w:eastAsia="宋体"/>
          <w:b w:val="0"/>
          <w:i w:val="0"/>
          <w:color w:val="000000"/>
          <w:sz w:val="19"/>
        </w:rPr>
        <w:t>6.1 测算口径</w:t>
        <w:tab/>
        <w:t>27</w:t>
      </w:r>
    </w:p>
    <w:p>
      <w:pPr>
        <w:tabs>
          <w:tab w:pos="9071" w:val="right" w:leader="dot"/>
        </w:tabs>
        <w:spacing w:before="0" w:after="44"/>
        <w:ind w:firstLine="0"/>
      </w:pPr>
      <w:r>
        <w:rPr>
          <w:rFonts w:ascii="Times New Roman" w:hAnsi="Times New Roman" w:eastAsia="宋体"/>
          <w:b w:val="0"/>
          <w:i w:val="0"/>
          <w:color w:val="000000"/>
          <w:sz w:val="19"/>
        </w:rPr>
        <w:t>6.2 融资计划</w:t>
        <w:tab/>
        <w:t>27</w:t>
      </w:r>
    </w:p>
    <w:p>
      <w:pPr>
        <w:tabs>
          <w:tab w:pos="9071" w:val="right" w:leader="dot"/>
        </w:tabs>
        <w:spacing w:before="0" w:after="44"/>
        <w:ind w:firstLine="0"/>
      </w:pPr>
      <w:r>
        <w:rPr>
          <w:rFonts w:ascii="Times New Roman" w:hAnsi="Times New Roman" w:eastAsia="宋体"/>
          <w:b w:val="0"/>
          <w:i w:val="0"/>
          <w:color w:val="000000"/>
          <w:sz w:val="19"/>
        </w:rPr>
        <w:t>6.3 三年财务预测</w:t>
        <w:tab/>
        <w:t>28</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30</w:t>
      </w:r>
    </w:p>
    <w:p>
      <w:pPr>
        <w:tabs>
          <w:tab w:pos="9071" w:val="right" w:leader="dot"/>
        </w:tabs>
        <w:spacing w:before="0" w:after="44"/>
        <w:ind w:firstLine="0"/>
      </w:pPr>
      <w:r>
        <w:rPr>
          <w:rFonts w:ascii="Times New Roman" w:hAnsi="Times New Roman" w:eastAsia="宋体"/>
          <w:b/>
          <w:i w:val="0"/>
          <w:color w:val="000000"/>
          <w:sz w:val="19"/>
        </w:rPr>
        <w:t>第七章  组织与管理</w:t>
        <w:tab/>
        <w:t>31</w:t>
      </w:r>
    </w:p>
    <w:p>
      <w:pPr>
        <w:tabs>
          <w:tab w:pos="9071" w:val="right" w:leader="dot"/>
        </w:tabs>
        <w:spacing w:before="0" w:after="44"/>
        <w:ind w:firstLine="0"/>
      </w:pPr>
      <w:r>
        <w:rPr>
          <w:rFonts w:ascii="Times New Roman" w:hAnsi="Times New Roman" w:eastAsia="宋体"/>
          <w:b w:val="0"/>
          <w:i w:val="0"/>
          <w:color w:val="000000"/>
          <w:sz w:val="19"/>
        </w:rPr>
        <w:t>7.1 核心团队成员</w:t>
        <w:tab/>
        <w:t>31</w:t>
      </w:r>
    </w:p>
    <w:p>
      <w:pPr>
        <w:tabs>
          <w:tab w:pos="9071" w:val="right" w:leader="dot"/>
        </w:tabs>
        <w:spacing w:before="0" w:after="44"/>
        <w:ind w:firstLine="0"/>
      </w:pPr>
      <w:r>
        <w:rPr>
          <w:rFonts w:ascii="Times New Roman" w:hAnsi="Times New Roman" w:eastAsia="宋体"/>
          <w:b w:val="0"/>
          <w:i w:val="0"/>
          <w:color w:val="000000"/>
          <w:sz w:val="19"/>
        </w:rPr>
        <w:t>7.2 指导教师</w:t>
        <w:tab/>
        <w:t>31</w:t>
      </w:r>
    </w:p>
    <w:p>
      <w:pPr>
        <w:tabs>
          <w:tab w:pos="9071" w:val="right" w:leader="dot"/>
        </w:tabs>
        <w:spacing w:before="0" w:after="44"/>
        <w:ind w:firstLine="0"/>
      </w:pPr>
      <w:r>
        <w:rPr>
          <w:rFonts w:ascii="Times New Roman" w:hAnsi="Times New Roman" w:eastAsia="宋体"/>
          <w:b w:val="0"/>
          <w:i w:val="0"/>
          <w:color w:val="000000"/>
          <w:sz w:val="19"/>
        </w:rPr>
        <w:t>7.3 组织架构</w:t>
        <w:tab/>
        <w:t>33</w:t>
      </w:r>
    </w:p>
    <w:p>
      <w:pPr>
        <w:tabs>
          <w:tab w:pos="9071" w:val="right" w:leader="dot"/>
        </w:tabs>
        <w:spacing w:before="0" w:after="44"/>
        <w:ind w:firstLine="0"/>
      </w:pPr>
      <w:r>
        <w:rPr>
          <w:rFonts w:ascii="Times New Roman" w:hAnsi="Times New Roman" w:eastAsia="宋体"/>
          <w:b w:val="0"/>
          <w:i w:val="0"/>
          <w:color w:val="000000"/>
          <w:sz w:val="19"/>
        </w:rPr>
        <w:t>7.4 协作与质量管理</w:t>
        <w:tab/>
        <w:t>33</w:t>
      </w:r>
    </w:p>
    <w:p>
      <w:pPr>
        <w:tabs>
          <w:tab w:pos="9071" w:val="right" w:leader="dot"/>
        </w:tabs>
        <w:spacing w:before="0" w:after="44"/>
        <w:ind w:firstLine="0"/>
      </w:pPr>
      <w:r>
        <w:rPr>
          <w:rFonts w:ascii="Times New Roman" w:hAnsi="Times New Roman" w:eastAsia="宋体"/>
          <w:b/>
          <w:i w:val="0"/>
          <w:color w:val="000000"/>
          <w:sz w:val="19"/>
        </w:rPr>
        <w:t>第八章  风险防控</w:t>
        <w:tab/>
        <w:t>35</w:t>
      </w:r>
    </w:p>
    <w:p>
      <w:pPr>
        <w:tabs>
          <w:tab w:pos="9071" w:val="right" w:leader="dot"/>
        </w:tabs>
        <w:spacing w:before="0" w:after="44"/>
        <w:ind w:firstLine="0"/>
      </w:pPr>
      <w:r>
        <w:rPr>
          <w:rFonts w:ascii="Times New Roman" w:hAnsi="Times New Roman" w:eastAsia="宋体"/>
          <w:b w:val="0"/>
          <w:i w:val="0"/>
          <w:color w:val="000000"/>
          <w:sz w:val="19"/>
        </w:rPr>
        <w:t>8.1 风险总述</w:t>
        <w:tab/>
        <w:t>35</w:t>
      </w:r>
    </w:p>
    <w:p>
      <w:pPr>
        <w:tabs>
          <w:tab w:pos="9071" w:val="right" w:leader="dot"/>
        </w:tabs>
        <w:spacing w:before="0" w:after="44"/>
        <w:ind w:firstLine="0"/>
      </w:pPr>
      <w:r>
        <w:rPr>
          <w:rFonts w:ascii="Times New Roman" w:hAnsi="Times New Roman" w:eastAsia="宋体"/>
          <w:b w:val="0"/>
          <w:i w:val="0"/>
          <w:color w:val="000000"/>
          <w:sz w:val="19"/>
        </w:rPr>
        <w:t>8.2 风险分析与应对</w:t>
        <w:tab/>
        <w:t>35</w:t>
      </w:r>
    </w:p>
    <w:p>
      <w:pPr>
        <w:tabs>
          <w:tab w:pos="9071" w:val="right" w:leader="dot"/>
        </w:tabs>
        <w:spacing w:before="0" w:after="44"/>
        <w:ind w:firstLine="0"/>
      </w:pPr>
      <w:r>
        <w:rPr>
          <w:rFonts w:ascii="Times New Roman" w:hAnsi="Times New Roman" w:eastAsia="宋体"/>
          <w:b/>
          <w:i w:val="0"/>
          <w:color w:val="000000"/>
          <w:sz w:val="19"/>
        </w:rPr>
        <w:t>第九章  战略规划</w:t>
        <w:tab/>
        <w:t>37</w:t>
      </w:r>
    </w:p>
    <w:p>
      <w:pPr>
        <w:tabs>
          <w:tab w:pos="9071" w:val="right" w:leader="dot"/>
        </w:tabs>
        <w:spacing w:before="0" w:after="44"/>
        <w:ind w:firstLine="0"/>
      </w:pPr>
      <w:r>
        <w:rPr>
          <w:rFonts w:ascii="Times New Roman" w:hAnsi="Times New Roman" w:eastAsia="宋体"/>
          <w:b w:val="0"/>
          <w:i w:val="0"/>
          <w:color w:val="000000"/>
          <w:sz w:val="19"/>
        </w:rPr>
        <w:t>9.1 战略目标</w:t>
        <w:tab/>
        <w:t>37</w:t>
      </w:r>
    </w:p>
    <w:p>
      <w:pPr>
        <w:tabs>
          <w:tab w:pos="9071" w:val="right" w:leader="dot"/>
        </w:tabs>
        <w:spacing w:before="0" w:after="44"/>
        <w:ind w:firstLine="0"/>
      </w:pPr>
      <w:r>
        <w:rPr>
          <w:rFonts w:ascii="Times New Roman" w:hAnsi="Times New Roman" w:eastAsia="宋体"/>
          <w:b w:val="0"/>
          <w:i w:val="0"/>
          <w:color w:val="000000"/>
          <w:sz w:val="19"/>
        </w:rPr>
        <w:t>9.2 实施路径</w:t>
        <w:tab/>
        <w:t>37</w:t>
      </w:r>
    </w:p>
    <w:p>
      <w:pPr>
        <w:tabs>
          <w:tab w:pos="9071" w:val="right" w:leader="dot"/>
        </w:tabs>
        <w:spacing w:before="0" w:after="44"/>
        <w:ind w:firstLine="0"/>
      </w:pPr>
      <w:r>
        <w:rPr>
          <w:rFonts w:ascii="Times New Roman" w:hAnsi="Times New Roman" w:eastAsia="宋体"/>
          <w:b w:val="0"/>
          <w:i w:val="0"/>
          <w:color w:val="000000"/>
          <w:sz w:val="19"/>
        </w:rPr>
        <w:t>9.3 知识产权与生态</w:t>
        <w:tab/>
        <w:t>38</w:t>
      </w:r>
    </w:p>
    <w:p>
      <w:pPr>
        <w:tabs>
          <w:tab w:pos="9071" w:val="right" w:leader="dot"/>
        </w:tabs>
        <w:spacing w:before="0" w:after="44"/>
        <w:ind w:firstLine="0"/>
      </w:pPr>
      <w:r>
        <w:rPr>
          <w:rFonts w:ascii="Times New Roman" w:hAnsi="Times New Roman" w:eastAsia="宋体"/>
          <w:b/>
          <w:i w:val="0"/>
          <w:color w:val="000000"/>
          <w:sz w:val="19"/>
        </w:rPr>
        <w:t>第十章  社会效益</w:t>
        <w:tab/>
        <w:t>39</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39</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39</w:t>
      </w:r>
    </w:p>
    <w:p>
      <w:pPr>
        <w:tabs>
          <w:tab w:pos="9071" w:val="right" w:leader="dot"/>
        </w:tabs>
        <w:spacing w:before="0" w:after="44"/>
        <w:ind w:firstLine="0"/>
      </w:pPr>
      <w:r>
        <w:rPr>
          <w:rFonts w:ascii="Times New Roman" w:hAnsi="Times New Roman" w:eastAsia="宋体"/>
          <w:b w:val="0"/>
          <w:i w:val="0"/>
          <w:color w:val="000000"/>
          <w:sz w:val="19"/>
        </w:rPr>
        <w:t>10.3 就业与产业带动</w:t>
        <w:tab/>
        <w:t>40</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项目要素</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项目名称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所属领域</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项目定位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目标用户</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核心主张</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66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图1-1  项目形成背景与用户需求演进图</w:t>
              <w:br/>
              <w:t>待统一绘制</w:t>
            </w:r>
          </w:p>
        </w:tc>
      </w:tr>
    </w:tbl>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产品层</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主要能力</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用户价值</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智能输入入口</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场景化补全、改写、回复、术语与快捷指令</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减少重复表达与应用切换</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情境感知引擎</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应用、对象、任务主题、文件与界面语义</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建议与当前工作匹配</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桌面伙伴与工作台</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状态、建议、进度、审批、差异与恢复</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让AI可见、可纠正、可控制</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任务智能体与技能</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任务拆解、工具调用、多智能体协同、成果交付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把回答升级为任务闭环</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spacing w:before="0" w:after="80" w:line="348" w:lineRule="auto"/>
        <w:ind w:firstLine="420"/>
        <w:jc w:val="both"/>
      </w:pPr>
      <w:r>
        <w:rPr>
          <w:rFonts w:ascii="Times New Roman" w:hAnsi="Times New Roman" w:eastAsia="宋体"/>
          <w:b w:val="0"/>
          <w:i w:val="0"/>
          <w:color w:val="000000"/>
          <w:sz w:val="21"/>
        </w:rP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pPr>
        <w:spacing w:before="0" w:after="80" w:line="348" w:lineRule="auto"/>
        <w:ind w:firstLine="420"/>
        <w:jc w:val="both"/>
      </w:pPr>
      <w:r>
        <w:rPr>
          <w:rFonts w:ascii="Times New Roman" w:hAnsi="Times New Roman" w:eastAsia="宋体"/>
          <w:b w:val="0"/>
          <w:i w:val="0"/>
          <w:color w:val="000000"/>
          <w:sz w:val="21"/>
        </w:rP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图1-2  Cuttle感知—表达—行动价值闭环图</w:t>
              <w:br/>
              <w:t>待统一绘制</w:t>
            </w:r>
          </w:p>
        </w:tc>
      </w:tr>
    </w:tbl>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证据层级</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可以陈述的内容</w:t>
            </w:r>
          </w:p>
        </w:tc>
        <w:tc>
          <w:tcPr>
            <w:tcW w:type="dxa" w:w="4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已实现</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可演示</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资料到报告、代码任务、文档整理等受控工作流</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规划中</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情景测算</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市场规模、用户增长、定价、融资和三年财务</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pPr>
        <w:spacing w:before="0" w:after="80" w:line="348" w:lineRule="auto"/>
        <w:ind w:firstLine="420"/>
        <w:jc w:val="both"/>
      </w:pPr>
      <w:r>
        <w:rPr>
          <w:rFonts w:ascii="Times New Roman" w:hAnsi="Times New Roman" w:eastAsia="宋体"/>
          <w:b w:val="0"/>
          <w:i w:val="0"/>
          <w:color w:val="000000"/>
          <w:sz w:val="21"/>
        </w:rP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图2-1  智能输入与桌面智能体行业演进趋势图</w:t>
              <w:br/>
              <w:t>待统一绘制</w:t>
            </w:r>
          </w:p>
        </w:tc>
      </w:tr>
    </w:tbl>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核心痛点</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典型表现</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现有方式不足</w:t>
            </w:r>
          </w:p>
        </w:tc>
        <w:tc>
          <w:tcPr>
            <w:tcW w:type="dxa" w:w="26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上下文反复丢失</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切换应用后重复解释背景、复制文件和粘贴内容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表达与场景不匹配</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同一句话在论文、邮件、聊天中需反复改写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传统输入法主要依赖词频与局部文本</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复杂任务过程不可见</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用户不知道系统做了什么、为何失败</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自动化工具重执行、轻解释与恢复</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自动化信任不足</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担心误删文件、误发消息和隐私泄露</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默认拒绝、独立审批、敏感熔断与审计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图2-2  目标用户四类核心痛点结构图</w:t>
              <w:br/>
              <w:t>待统一绘制</w:t>
            </w:r>
          </w:p>
        </w:tc>
      </w:tr>
    </w:tbl>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pPr>
        <w:spacing w:before="0" w:after="80" w:line="348" w:lineRule="auto"/>
        <w:ind w:firstLine="420"/>
        <w:jc w:val="both"/>
      </w:pPr>
      <w:r>
        <w:rPr>
          <w:rFonts w:ascii="Times New Roman" w:hAnsi="Times New Roman" w:eastAsia="宋体"/>
          <w:b w:val="0"/>
          <w:i w:val="0"/>
          <w:color w:val="000000"/>
          <w:sz w:val="21"/>
        </w:rP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用户群体</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高频任务</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核心诉求</w:t>
            </w:r>
          </w:p>
        </w:tc>
        <w:tc>
          <w:tcPr>
            <w:tcW w:type="dxa" w:w="27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高校学生</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资料阅读、课程报告、沟通与项目材料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少切换、能追溯、可形成成果</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教师与研究人员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文献、证据、教学材料和数据整理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内容与办公人员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改写、汇总、表格、汇报和文件整理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效率、格式一致、过程透明</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软件开发者</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代码修复、审查、重构与契约变更</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可执行、可测试、可回退</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轻度数字用户</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低学习成本、明确确认</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桌面伙伴引导与受控自动化</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pPr>
        <w:spacing w:before="0" w:after="80" w:line="348" w:lineRule="auto"/>
        <w:ind w:firstLine="420"/>
        <w:jc w:val="both"/>
      </w:pPr>
      <w:r>
        <w:rPr>
          <w:rFonts w:ascii="Times New Roman" w:hAnsi="Times New Roman" w:eastAsia="宋体"/>
          <w:b w:val="0"/>
          <w:i w:val="0"/>
          <w:color w:val="000000"/>
          <w:sz w:val="21"/>
        </w:rP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类别</w:t>
            </w:r>
          </w:p>
        </w:tc>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代表能力</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主要优势</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观察到的空白</w:t>
            </w:r>
          </w:p>
        </w:tc>
        <w:tc>
          <w:tcPr>
            <w:tcW w:type="dxa" w:w="19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通用AI助手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对话、搜索、文件与应用连接</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模型能力和服务生态强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本地工作区、模型替换和审计深度因产品而异</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系统级助手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截图、文件搜索、系统设置和入口</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与操作系统结合紧密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多Agent成果协作和版本交付不是统一主线</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AI输入工具</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补全、改写、翻译、语音</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使用频率高、学习成本低</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RPA与自动化</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确定性流程稳定</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开放桌面环境配置成本高、自然语言协作弱</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开源Agent框架</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工具调用、多Agent与扩展</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开发自由度高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普通用户产品化、安全治理与安装门槛高</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图2-3  Cuttle项目PEST分析图</w:t>
              <w:br/>
              <w:t>待统一绘制</w:t>
            </w:r>
          </w:p>
        </w:tc>
      </w:tr>
    </w:tbl>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spacing w:before="0" w:after="80" w:line="348" w:lineRule="auto"/>
        <w:ind w:firstLine="420"/>
        <w:jc w:val="both"/>
      </w:pPr>
      <w:r>
        <w:rPr>
          <w:rFonts w:ascii="Times New Roman" w:hAnsi="Times New Roman" w:eastAsia="宋体"/>
          <w:b w:val="0"/>
          <w:i w:val="0"/>
          <w:color w:val="000000"/>
          <w:sz w:val="21"/>
        </w:rP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pPr>
        <w:pStyle w:val="Heading2"/>
      </w:pPr>
      <w:r>
        <w:t>2.6 SWOT分析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图2-4  Cuttle项目SWOT分析图</w:t>
              <w:br/>
              <w:t>待统一绘制</w:t>
            </w:r>
          </w:p>
        </w:tc>
      </w:tr>
    </w:tbl>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优势 Strengths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劣势 Weaknesses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机会 Opportunities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口径</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测算方法</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规模表达</w:t>
            </w:r>
          </w:p>
        </w:tc>
        <w:tc>
          <w:tcPr>
            <w:tcW w:type="dxa" w:w="2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潜在用户池</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CNNIC 2025年末生成式AI用户</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6.02亿人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高频PC学习办公人群</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情景假设为8%至12%</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约4816万至7224万人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三年注册用户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校园与专业社区逐步扩散</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三年付费用户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第三年12%付费转化情景</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约3.6万人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与稳定性、留存和定价相关</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图2-5  市场规模与三年用户增长数据图</w:t>
              <w:br/>
              <w:t>待统一绘制</w:t>
            </w:r>
          </w:p>
        </w:tc>
      </w:tr>
    </w:tbl>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pPr>
        <w:spacing w:before="0" w:after="80" w:line="348" w:lineRule="auto"/>
        <w:ind w:firstLine="420"/>
        <w:jc w:val="both"/>
      </w:pPr>
      <w:r>
        <w:rPr>
          <w:rFonts w:ascii="Times New Roman" w:hAnsi="Times New Roman" w:eastAsia="宋体"/>
          <w:b w:val="0"/>
          <w:i w:val="0"/>
          <w:color w:val="000000"/>
          <w:sz w:val="21"/>
        </w:rP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图3-1  Cuttle四层产品体系结构图</w:t>
              <w:br/>
              <w:t>待统一绘制</w:t>
            </w:r>
          </w:p>
        </w:tc>
      </w:tr>
    </w:tbl>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交互层级</w:t>
            </w:r>
          </w:p>
        </w:tc>
        <w:tc>
          <w:tcPr>
            <w:tcW w:type="dxa" w:w="3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适用任务</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主要界面</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即时辅助</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补全、改写、翻译、解释和快捷回复</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候选区或快捷面板</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主动建议</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可总结、可解释、可复用的当前情境</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桌面伙伴提示卡</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长任务执行</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研究、报告、代码、文件和跨应用任务</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任务工作台</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spacing w:before="0" w:after="80" w:line="348" w:lineRule="auto"/>
        <w:ind w:firstLine="420"/>
        <w:jc w:val="both"/>
      </w:pPr>
      <w:r>
        <w:rPr>
          <w:rFonts w:ascii="Times New Roman" w:hAnsi="Times New Roman" w:eastAsia="宋体"/>
          <w:b w:val="0"/>
          <w:i w:val="0"/>
          <w:color w:val="000000"/>
          <w:sz w:val="21"/>
        </w:rP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spacing w:before="0" w:after="80" w:line="348" w:lineRule="auto"/>
        <w:ind w:firstLine="420"/>
        <w:jc w:val="both"/>
      </w:pPr>
      <w:r>
        <w:rPr>
          <w:rFonts w:ascii="Times New Roman" w:hAnsi="Times New Roman" w:eastAsia="宋体"/>
          <w:b w:val="0"/>
          <w:i w:val="0"/>
          <w:color w:val="000000"/>
          <w:sz w:val="21"/>
        </w:rP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spacing w:before="0" w:after="80" w:line="348" w:lineRule="auto"/>
        <w:ind w:firstLine="420"/>
        <w:jc w:val="both"/>
      </w:pPr>
      <w:r>
        <w:rPr>
          <w:rFonts w:ascii="Times New Roman" w:hAnsi="Times New Roman" w:eastAsia="宋体"/>
          <w:b w:val="0"/>
          <w:i w:val="0"/>
          <w:color w:val="000000"/>
          <w:sz w:val="21"/>
        </w:rP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spacing w:before="0" w:after="80" w:line="348" w:lineRule="auto"/>
        <w:ind w:firstLine="420"/>
        <w:jc w:val="both"/>
      </w:pPr>
      <w:r>
        <w:rPr>
          <w:rFonts w:ascii="Times New Roman" w:hAnsi="Times New Roman" w:eastAsia="宋体"/>
          <w:b w:val="0"/>
          <w:i w:val="0"/>
          <w:color w:val="000000"/>
          <w:sz w:val="21"/>
        </w:rP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场景</w:t>
            </w:r>
          </w:p>
        </w:tc>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用户起点</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Cuttle连续动作</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学习与课程报告</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阅读课程资料和教师要求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科研与文献整理</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分类—对照—提炼争议—形成研究矩阵</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办公与项目材料</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汇总—改写—格式统一—数据核对</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定位—修改—测试—差异审阅—回退</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沟通与表达</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聊天、邮件、社交平台或客户回复</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识别关系与语气—给出候选—保留用户选择</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得体表达与个人风格复用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pPr>
        <w:pStyle w:val="Heading2"/>
      </w:pPr>
      <w:r>
        <w:t>3.4 用户旅程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图3-2  从输入到任务交付的用户旅程图</w:t>
              <w:br/>
              <w:t>待统一绘制</w:t>
            </w:r>
          </w:p>
        </w:tc>
      </w:tr>
    </w:tbl>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spacing w:before="0" w:after="80" w:line="348" w:lineRule="auto"/>
        <w:ind w:firstLine="420"/>
        <w:jc w:val="both"/>
      </w:pPr>
      <w:r>
        <w:rPr>
          <w:rFonts w:ascii="Times New Roman" w:hAnsi="Times New Roman" w:eastAsia="宋体"/>
          <w:b w:val="0"/>
          <w:i w:val="0"/>
          <w:color w:val="000000"/>
          <w:sz w:val="21"/>
        </w:rP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pPr>
        <w:pStyle w:val="Heading2"/>
      </w:pPr>
      <w:r>
        <w:t>3.5 技术路线</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68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图3-3  Cuttle技术架构与安全边界图</w:t>
              <w:br/>
              <w:t>待统一绘制</w:t>
            </w:r>
          </w:p>
        </w:tc>
      </w:tr>
    </w:tbl>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架构层</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关键组件</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主要职责</w:t>
            </w:r>
          </w:p>
        </w:tc>
        <w:tc>
          <w:tcPr>
            <w:tcW w:type="dxa" w:w="24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交互层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输入面板、桌面伙伴、任务工作台</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任务入口、状态、审批、差异与结果审阅</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情境层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应用信息、结构化API、文件状态、UI语义、OCR</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建立当前对象、主题、位置与用户意图</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协同层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会话、Goal、Plan、WorkSwarm、Workflow</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目标拆解、成员调度、Human介入与成果接力</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执行层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文件、Git、浏览器、API、命令与桌面操作</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资产层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Project Space、Artifact、ChangeSet、Trace、Memory</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保存成果、证据、差异和可复用经验</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安全层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Policy、Approval、Audit、Credential、Sandbox</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本地模型、兼容云端模型、OCR与视觉模型</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理解、规划、生成和感知辅助</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模型可替换、密钥环境注入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pPr>
        <w:spacing w:before="0" w:after="80" w:line="348" w:lineRule="auto"/>
        <w:ind w:firstLine="420"/>
        <w:jc w:val="both"/>
      </w:pPr>
      <w:r>
        <w:rPr>
          <w:rFonts w:ascii="Times New Roman" w:hAnsi="Times New Roman" w:eastAsia="宋体"/>
          <w:b w:val="0"/>
          <w:i w:val="0"/>
          <w:color w:val="000000"/>
          <w:sz w:val="21"/>
        </w:rP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spacing w:before="0" w:after="80" w:line="348" w:lineRule="auto"/>
        <w:ind w:firstLine="420"/>
        <w:jc w:val="both"/>
      </w:pPr>
      <w:r>
        <w:rPr>
          <w:rFonts w:ascii="Times New Roman" w:hAnsi="Times New Roman" w:eastAsia="宋体"/>
          <w:b w:val="0"/>
          <w:i w:val="0"/>
          <w:color w:val="000000"/>
          <w:sz w:val="21"/>
        </w:rP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spacing w:before="0" w:after="80" w:line="348" w:lineRule="auto"/>
        <w:ind w:firstLine="420"/>
        <w:jc w:val="both"/>
      </w:pPr>
      <w:r>
        <w:rPr>
          <w:rFonts w:ascii="Times New Roman" w:hAnsi="Times New Roman" w:eastAsia="宋体"/>
          <w:b w:val="0"/>
          <w:i w:val="0"/>
          <w:color w:val="000000"/>
          <w:sz w:val="21"/>
        </w:rP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spacing w:before="0" w:after="80" w:line="348" w:lineRule="auto"/>
        <w:ind w:firstLine="420"/>
        <w:jc w:val="both"/>
      </w:pPr>
      <w:r>
        <w:rPr>
          <w:rFonts w:ascii="Times New Roman" w:hAnsi="Times New Roman" w:eastAsia="宋体"/>
          <w:b w:val="0"/>
          <w:i w:val="0"/>
          <w:color w:val="000000"/>
          <w:sz w:val="21"/>
        </w:rP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spacing w:before="0" w:after="80" w:line="348" w:lineRule="auto"/>
        <w:ind w:firstLine="420"/>
        <w:jc w:val="both"/>
      </w:pPr>
      <w:r>
        <w:rPr>
          <w:rFonts w:ascii="Times New Roman" w:hAnsi="Times New Roman" w:eastAsia="宋体"/>
          <w:b w:val="0"/>
          <w:i w:val="0"/>
          <w:color w:val="000000"/>
          <w:sz w:val="21"/>
        </w:rP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spacing w:before="0" w:after="80" w:line="348" w:lineRule="auto"/>
        <w:ind w:firstLine="420"/>
        <w:jc w:val="both"/>
      </w:pPr>
      <w:r>
        <w:rPr>
          <w:rFonts w:ascii="Times New Roman" w:hAnsi="Times New Roman" w:eastAsia="宋体"/>
          <w:b w:val="0"/>
          <w:i w:val="0"/>
          <w:color w:val="000000"/>
          <w:sz w:val="21"/>
        </w:rP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0" w:after="80" w:line="348" w:lineRule="auto"/>
        <w:ind w:firstLine="420"/>
        <w:jc w:val="both"/>
      </w:pPr>
      <w:r>
        <w:rPr>
          <w:rFonts w:ascii="Times New Roman" w:hAnsi="Times New Roman" w:eastAsia="宋体"/>
          <w:b w:val="0"/>
          <w:i w:val="0"/>
          <w:color w:val="000000"/>
          <w:sz w:val="21"/>
        </w:rP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pPr>
        <w:spacing w:before="0" w:after="80" w:line="348" w:lineRule="auto"/>
        <w:ind w:firstLine="420"/>
        <w:jc w:val="both"/>
      </w:pPr>
      <w:r>
        <w:rPr>
          <w:rFonts w:ascii="Times New Roman" w:hAnsi="Times New Roman" w:eastAsia="宋体"/>
          <w:b w:val="0"/>
          <w:i w:val="0"/>
          <w:color w:val="000000"/>
          <w:sz w:val="21"/>
        </w:rP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图4-1  Cuttle多层商业模式结构图</w:t>
              <w:br/>
              <w:t>待统一绘制</w:t>
            </w:r>
          </w:p>
        </w:tc>
      </w:tr>
    </w:tbl>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产品形态</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目标客户</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核心权益</w:t>
            </w:r>
          </w:p>
        </w:tc>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建议定价</w:t>
            </w:r>
          </w:p>
        </w:tc>
        <w:tc>
          <w:tcPr>
            <w:tcW w:type="dxa" w:w="1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个人免费版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学生与轻度用户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基础输入辅助、少量本地任务、核心安全功能</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免费</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个人专业版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高频知识工作者与开发者</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更高任务额度、多智能体、专业技能包、优先支持</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19至39元/月</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校园与团队版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实验室、课程团队、小型组织</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团队空间、管理策略、统一部署和使用报告</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按席位或项目报价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私有部署版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有数据合规要求的机构</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本地模型、内网部署、定制集成和审计</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项目制报价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技能与模板生态</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开发者、教师、服务商</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交易分成</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平台服务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spacing w:before="0" w:after="80" w:line="348" w:lineRule="auto"/>
        <w:ind w:firstLine="420"/>
        <w:jc w:val="both"/>
      </w:pPr>
      <w:r>
        <w:rPr>
          <w:rFonts w:ascii="Times New Roman" w:hAnsi="Times New Roman" w:eastAsia="宋体"/>
          <w:b w:val="0"/>
          <w:i w:val="0"/>
          <w:color w:val="000000"/>
          <w:sz w:val="21"/>
        </w:rP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成本类别</w:t>
            </w:r>
          </w:p>
        </w:tc>
        <w:tc>
          <w:tcPr>
            <w:tcW w:type="dxa" w:w="4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主要构成</w:t>
            </w:r>
          </w:p>
        </w:tc>
        <w:tc>
          <w:tcPr>
            <w:tcW w:type="dxa" w:w="3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研发成本</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云端推理、本地模型下载、更新、监控与错误诊断</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隐私评审、软著、商标、第三方许可与安全测试</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建立清单和阶段审查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pPr>
        <w:spacing w:before="0" w:after="80" w:line="348" w:lineRule="auto"/>
        <w:ind w:firstLine="420"/>
        <w:jc w:val="both"/>
      </w:pPr>
      <w:r>
        <w:rPr>
          <w:rFonts w:ascii="Times New Roman" w:hAnsi="Times New Roman" w:eastAsia="宋体"/>
          <w:b w:val="0"/>
          <w:i w:val="0"/>
          <w:color w:val="000000"/>
          <w:sz w:val="21"/>
        </w:rP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合作伙伴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合作内容</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双方价值</w:t>
            </w:r>
          </w:p>
        </w:tc>
        <w:tc>
          <w:tcPr>
            <w:tcW w:type="dxa" w:w="2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高校与实验室</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试点、用户研究、课程与科研任务</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获得真实反馈与创新工具</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模型与算力厂商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获得高频终端应用场景</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开发者与服务商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技能、模板、适配和行业方案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获得分发和商业化渠道</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软件与硬件厂商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接口集成、预装或联合方案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完善智能终端体验</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0" w:after="80" w:line="348" w:lineRule="auto"/>
        <w:ind w:firstLine="420"/>
        <w:jc w:val="both"/>
      </w:pPr>
      <w:r>
        <w:rPr>
          <w:rFonts w:ascii="Times New Roman" w:hAnsi="Times New Roman" w:eastAsia="宋体"/>
          <w:b w:val="0"/>
          <w:i w:val="0"/>
          <w:color w:val="000000"/>
          <w:sz w:val="21"/>
        </w:rP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pPr>
        <w:spacing w:before="0" w:after="80" w:line="348" w:lineRule="auto"/>
        <w:ind w:firstLine="420"/>
        <w:jc w:val="both"/>
      </w:pPr>
      <w:r>
        <w:rPr>
          <w:rFonts w:ascii="Times New Roman" w:hAnsi="Times New Roman" w:eastAsia="宋体"/>
          <w:b w:val="0"/>
          <w:i w:val="0"/>
          <w:color w:val="000000"/>
          <w:sz w:val="21"/>
        </w:rPr>
        <w:t>品牌认知需要同时传达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让输入理解情境，让表达自然抵达，让任务继续完成。</w:t>
      </w:r>
    </w:p>
    <w:p>
      <w:pPr>
        <w:pStyle w:val="Heading2"/>
      </w:pPr>
      <w:r>
        <w:t>5.2 产品与渠道策略</w:t>
      </w:r>
    </w:p>
    <w:p>
      <w:pPr>
        <w:spacing w:before="0" w:after="80" w:line="348" w:lineRule="auto"/>
        <w:ind w:firstLine="420"/>
        <w:jc w:val="both"/>
      </w:pPr>
      <w:r>
        <w:rPr>
          <w:rFonts w:ascii="Times New Roman" w:hAnsi="Times New Roman" w:eastAsia="宋体"/>
          <w:b w:val="0"/>
          <w:i w:val="0"/>
          <w:color w:val="000000"/>
          <w:sz w:val="21"/>
        </w:rP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核心目标</w:t>
            </w:r>
          </w:p>
        </w:tc>
        <w:tc>
          <w:tcPr>
            <w:tcW w:type="dxa" w:w="2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主要动作</w:t>
            </w:r>
          </w:p>
        </w:tc>
        <w:tc>
          <w:tcPr>
            <w:tcW w:type="dxa" w:w="1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种子验证</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找到3类高频任务</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校内访谈、内部强制使用、固定任务复现</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校园试点</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形成可展示案例</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课程资料、科研证据、代码任务工作坊</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专业社区增长</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扩大高价值用户</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发布部分SDK、技能模板、技术内容和演示视频</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机构合作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验证团队和私有部署</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与实验室、创新中心和软件团队共建</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付费试点、交付周期、续费意愿</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pPr>
        <w:spacing w:before="0" w:after="80" w:line="348" w:lineRule="auto"/>
        <w:ind w:firstLine="420"/>
        <w:jc w:val="both"/>
      </w:pPr>
      <w:r>
        <w:rPr>
          <w:rFonts w:ascii="Times New Roman" w:hAnsi="Times New Roman" w:eastAsia="宋体"/>
          <w:b w:val="0"/>
          <w:i w:val="0"/>
          <w:color w:val="000000"/>
          <w:sz w:val="21"/>
        </w:rP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spacing w:before="0" w:after="80" w:line="348" w:lineRule="auto"/>
        <w:ind w:firstLine="420"/>
        <w:jc w:val="both"/>
      </w:pPr>
      <w:r>
        <w:rPr>
          <w:rFonts w:ascii="Times New Roman" w:hAnsi="Times New Roman" w:eastAsia="宋体"/>
          <w:b w:val="0"/>
          <w:i w:val="0"/>
          <w:color w:val="000000"/>
          <w:sz w:val="21"/>
        </w:rP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pPr>
        <w:spacing w:before="0" w:after="80" w:line="348" w:lineRule="auto"/>
        <w:ind w:firstLine="420"/>
        <w:jc w:val="both"/>
      </w:pPr>
      <w:r>
        <w:rPr>
          <w:rFonts w:ascii="Times New Roman" w:hAnsi="Times New Roman" w:eastAsia="宋体"/>
          <w:b w:val="0"/>
          <w:i w:val="0"/>
          <w:color w:val="000000"/>
          <w:sz w:val="21"/>
        </w:rP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pPr>
        <w:spacing w:before="0" w:after="80" w:line="348" w:lineRule="auto"/>
        <w:ind w:firstLine="420"/>
        <w:jc w:val="both"/>
      </w:pPr>
      <w:r>
        <w:rPr>
          <w:rFonts w:ascii="Times New Roman" w:hAnsi="Times New Roman" w:eastAsia="宋体"/>
          <w:b w:val="0"/>
          <w:i w:val="0"/>
          <w:color w:val="000000"/>
          <w:sz w:val="21"/>
        </w:rP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spacing w:before="0" w:after="80" w:line="348" w:lineRule="auto"/>
        <w:ind w:firstLine="420"/>
        <w:jc w:val="both"/>
      </w:pPr>
      <w:r>
        <w:rPr>
          <w:rFonts w:ascii="Times New Roman" w:hAnsi="Times New Roman" w:eastAsia="宋体"/>
          <w:b w:val="0"/>
          <w:i w:val="0"/>
          <w:color w:val="000000"/>
          <w:sz w:val="21"/>
        </w:rP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pPr>
        <w:spacing w:before="0" w:after="80" w:line="348" w:lineRule="auto"/>
        <w:ind w:firstLine="420"/>
        <w:jc w:val="both"/>
      </w:pPr>
      <w:r>
        <w:rPr>
          <w:rFonts w:ascii="Times New Roman" w:hAnsi="Times New Roman" w:eastAsia="宋体"/>
          <w:b w:val="0"/>
          <w:i w:val="0"/>
          <w:color w:val="000000"/>
          <w:sz w:val="21"/>
        </w:rP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pPr>
        <w:spacing w:before="0" w:after="80" w:line="348" w:lineRule="auto"/>
        <w:ind w:firstLine="420"/>
        <w:jc w:val="both"/>
      </w:pPr>
      <w:r>
        <w:rPr>
          <w:rFonts w:ascii="Times New Roman" w:hAnsi="Times New Roman" w:eastAsia="宋体"/>
          <w:b w:val="0"/>
          <w:i w:val="0"/>
          <w:color w:val="000000"/>
          <w:sz w:val="21"/>
        </w:rP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p>
      <w:pPr>
        <w:spacing w:before="0" w:after="80" w:line="348" w:lineRule="auto"/>
        <w:ind w:firstLine="420"/>
        <w:jc w:val="both"/>
      </w:pPr>
      <w:r>
        <w:rPr>
          <w:rFonts w:ascii="Times New Roman" w:hAnsi="Times New Roman" w:eastAsia="宋体"/>
          <w:b w:val="0"/>
          <w:i w:val="0"/>
          <w:color w:val="000000"/>
          <w:sz w:val="21"/>
        </w:rP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pPr>
        <w:spacing w:before="0" w:after="80" w:line="348" w:lineRule="auto"/>
        <w:ind w:firstLine="420"/>
        <w:jc w:val="both"/>
      </w:pPr>
      <w:r>
        <w:rPr>
          <w:rFonts w:ascii="Times New Roman" w:hAnsi="Times New Roman" w:eastAsia="宋体"/>
          <w:b w:val="0"/>
          <w:i w:val="0"/>
          <w:color w:val="000000"/>
          <w:sz w:val="21"/>
        </w:rP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pPr>
        <w:spacing w:before="0" w:after="80" w:line="348" w:lineRule="auto"/>
        <w:ind w:firstLine="420"/>
        <w:jc w:val="both"/>
      </w:pPr>
      <w:r>
        <w:rPr>
          <w:rFonts w:ascii="Times New Roman" w:hAnsi="Times New Roman" w:eastAsia="宋体"/>
          <w:b w:val="0"/>
          <w:i w:val="0"/>
          <w:color w:val="000000"/>
          <w:sz w:val="21"/>
        </w:rP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00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图5-1  Cuttle用户增长与传播闭环图</w:t>
              <w:br/>
              <w:t>待统一绘制</w:t>
            </w:r>
          </w:p>
        </w:tc>
      </w:tr>
    </w:tbl>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pPr>
        <w:spacing w:before="0" w:after="80" w:line="348" w:lineRule="auto"/>
        <w:ind w:firstLine="420"/>
        <w:jc w:val="both"/>
      </w:pPr>
      <w:r>
        <w:rPr>
          <w:rFonts w:ascii="Times New Roman" w:hAnsi="Times New Roman" w:eastAsia="宋体"/>
          <w:b w:val="0"/>
          <w:i w:val="0"/>
          <w:color w:val="000000"/>
          <w:sz w:val="21"/>
        </w:rP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pPr>
        <w:spacing w:before="0" w:after="80" w:line="348" w:lineRule="auto"/>
        <w:ind w:firstLine="420"/>
        <w:jc w:val="both"/>
      </w:pPr>
      <w:r>
        <w:rPr>
          <w:rFonts w:ascii="Times New Roman" w:hAnsi="Times New Roman" w:eastAsia="宋体"/>
          <w:b w:val="0"/>
          <w:i w:val="0"/>
          <w:color w:val="000000"/>
          <w:sz w:val="21"/>
        </w:rP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关键阶段</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用户问题</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产品机制</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首次使用</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不知道能做什么</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形成习惯</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每次仍需重新提示</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建立信任</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担心误操作和泄露</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审批、审计、回退和敏感熔断</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主动推荐</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价值难以表达</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推荐率、自然增长占比</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pPr>
        <w:spacing w:before="0" w:after="80" w:line="348" w:lineRule="auto"/>
        <w:ind w:firstLine="420"/>
        <w:jc w:val="both"/>
      </w:pPr>
      <w:r>
        <w:rPr>
          <w:rFonts w:ascii="Times New Roman" w:hAnsi="Times New Roman" w:eastAsia="宋体"/>
          <w:b w:val="0"/>
          <w:i w:val="0"/>
          <w:color w:val="000000"/>
          <w:sz w:val="21"/>
        </w:rP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pPr>
        <w:spacing w:before="0" w:after="80" w:line="348" w:lineRule="auto"/>
        <w:ind w:firstLine="420"/>
        <w:jc w:val="both"/>
      </w:pPr>
      <w:r>
        <w:rPr>
          <w:rFonts w:ascii="Times New Roman" w:hAnsi="Times New Roman" w:eastAsia="宋体"/>
          <w:b w:val="0"/>
          <w:i w:val="0"/>
          <w:color w:val="000000"/>
          <w:sz w:val="21"/>
        </w:rP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累计注册用户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1万人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8万人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30万人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6400人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3.6万人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团队与机构客户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20个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60个</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综合客单与服务收入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中高</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pPr>
        <w:spacing w:before="0" w:after="80" w:line="348" w:lineRule="auto"/>
        <w:ind w:firstLine="420"/>
        <w:jc w:val="both"/>
      </w:pPr>
      <w:r>
        <w:rPr>
          <w:rFonts w:ascii="Times New Roman" w:hAnsi="Times New Roman" w:eastAsia="宋体"/>
          <w:b w:val="0"/>
          <w:i w:val="0"/>
          <w:color w:val="000000"/>
          <w:sz w:val="21"/>
        </w:rP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用途</w:t>
            </w:r>
          </w:p>
        </w:tc>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比例</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金额情景</w:t>
            </w:r>
          </w:p>
        </w:tc>
        <w:tc>
          <w:tcPr>
            <w:tcW w:type="dxa" w:w="4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产品与研发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市场与试点</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12万元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运营与预备金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支持、设备、差旅和不确定性缓冲</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721"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图6-1  首轮资金使用结构图</w:t>
              <w:br/>
              <w:t>待统一绘制</w:t>
            </w:r>
          </w:p>
        </w:tc>
      </w:tr>
    </w:tbl>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p>
      <w:pPr>
        <w:spacing w:before="0" w:after="80" w:line="348" w:lineRule="auto"/>
        <w:ind w:firstLine="420"/>
        <w:jc w:val="both"/>
      </w:pPr>
      <w:r>
        <w:rPr>
          <w:rFonts w:ascii="Times New Roman" w:hAnsi="Times New Roman" w:eastAsia="宋体"/>
          <w:b w:val="0"/>
          <w:i w:val="0"/>
          <w:color w:val="000000"/>
          <w:sz w:val="21"/>
        </w:rP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指标</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营业收入</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24万元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650万元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经营成本</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52万元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380万元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经营结果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270万元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期末团队规模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5至8人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10至15人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20至30人</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以产品和交付能力为扩张条件</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图6-2  三年收入、成本与经营结果数据图</w:t>
              <w:br/>
              <w:t>待统一绘制</w:t>
            </w:r>
          </w:p>
        </w:tc>
      </w:tr>
    </w:tbl>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p>
      <w:pPr>
        <w:spacing w:before="0" w:after="80" w:line="348" w:lineRule="auto"/>
        <w:ind w:firstLine="420"/>
        <w:jc w:val="both"/>
      </w:pPr>
      <w:r>
        <w:rPr>
          <w:rFonts w:ascii="Times New Roman" w:hAnsi="Times New Roman" w:eastAsia="宋体"/>
          <w:b w:val="0"/>
          <w:i w:val="0"/>
          <w:color w:val="000000"/>
          <w:sz w:val="21"/>
        </w:rP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收入来源</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个人订阅</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260万元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团队许可</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私有部署与服务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技能与联合方案</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核心产品稳定后逐步开放</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pPr>
        <w:pStyle w:val="Heading3"/>
      </w:pPr>
      <w:r>
        <w:t>6.3.2 成本结构预测</w:t>
      </w:r>
    </w:p>
    <w:p>
      <w:pPr>
        <w:spacing w:before="0" w:after="80" w:line="348" w:lineRule="auto"/>
        <w:ind w:firstLine="420"/>
        <w:jc w:val="both"/>
      </w:pPr>
      <w:r>
        <w:rPr>
          <w:rFonts w:ascii="Times New Roman" w:hAnsi="Times New Roman" w:eastAsia="宋体"/>
          <w:b w:val="0"/>
          <w:i w:val="0"/>
          <w:color w:val="000000"/>
          <w:sz w:val="21"/>
        </w:rP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成本项目</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研发与测试</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90万元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合规与运营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安全、知识产权、支持和管理</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pPr>
        <w:spacing w:before="0" w:after="80" w:line="348" w:lineRule="auto"/>
        <w:ind w:firstLine="420"/>
        <w:jc w:val="both"/>
      </w:pPr>
      <w:r>
        <w:rPr>
          <w:rFonts w:ascii="Times New Roman" w:hAnsi="Times New Roman" w:eastAsia="宋体"/>
          <w:b w:val="0"/>
          <w:i w:val="0"/>
          <w:color w:val="000000"/>
          <w:sz w:val="21"/>
        </w:rP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变量</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基准情景</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不利情景</w:t>
            </w:r>
          </w:p>
        </w:tc>
        <w:tc>
          <w:tcPr>
            <w:tcW w:type="dxa" w:w="3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付费转化率</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5%/8%/12%</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第三年8%</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模型单位成本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逐年优化</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上涨30%</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机构回款周期</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按阶段回款</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延长至6个月</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任务支持成本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随规模缓慢增长</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高于订阅毛利</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姓名</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团队身份</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所在单位</w:t>
            </w:r>
          </w:p>
        </w:tc>
        <w:tc>
          <w:tcPr>
            <w:tcW w:type="dxa" w:w="2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已核实信息</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杨俊熙</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张子豪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吴栩彪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赵恒军</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博士、副教授；研究方向为信息物理系统、软件形式化方法、AI for Science</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技术路线、形式化验证、安全边界、科研规范与赛事指导</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pPr>
        <w:pStyle w:val="Heading2"/>
      </w:pPr>
      <w:r>
        <w:t>7.2 指导教师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信息</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姓名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赵恒军</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性别</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学历与职称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博士、副教授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研究方向</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信息物理系统、软件形式化方法、AI for Science</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邮箱</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zhaohj2016@swu.edu.cn</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所在单位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西南大学计算机与信息科学学院 软件学院</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pPr>
        <w:spacing w:before="0" w:after="80" w:line="348" w:lineRule="auto"/>
        <w:ind w:firstLine="420"/>
        <w:jc w:val="both"/>
      </w:pPr>
      <w:r>
        <w:rPr>
          <w:rFonts w:ascii="Times New Roman" w:hAnsi="Times New Roman" w:eastAsia="宋体"/>
          <w:b w:val="0"/>
          <w:i w:val="0"/>
          <w:color w:val="000000"/>
          <w:sz w:val="21"/>
        </w:rP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pPr>
        <w:spacing w:before="0" w:after="80" w:line="348" w:lineRule="auto"/>
        <w:ind w:firstLine="420"/>
        <w:jc w:val="both"/>
      </w:pPr>
      <w:r>
        <w:rPr>
          <w:rFonts w:ascii="Times New Roman" w:hAnsi="Times New Roman" w:eastAsia="宋体"/>
          <w:b w:val="0"/>
          <w:i w:val="0"/>
          <w:color w:val="000000"/>
          <w:sz w:val="21"/>
        </w:rP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pPr>
        <w:spacing w:before="0" w:after="80" w:line="348" w:lineRule="auto"/>
        <w:ind w:firstLine="420"/>
        <w:jc w:val="both"/>
      </w:pPr>
      <w:r>
        <w:rPr>
          <w:rFonts w:ascii="Times New Roman" w:hAnsi="Times New Roman" w:eastAsia="宋体"/>
          <w:b w:val="0"/>
          <w:i w:val="0"/>
          <w:color w:val="000000"/>
          <w:sz w:val="21"/>
        </w:rP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pPr>
        <w:spacing w:before="0" w:after="80" w:line="348" w:lineRule="auto"/>
        <w:ind w:firstLine="420"/>
        <w:jc w:val="both"/>
      </w:pPr>
      <w:r>
        <w:rPr>
          <w:rFonts w:ascii="Times New Roman" w:hAnsi="Times New Roman" w:eastAsia="宋体"/>
          <w:b w:val="0"/>
          <w:i w:val="0"/>
          <w:color w:val="000000"/>
          <w:sz w:val="21"/>
        </w:rP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pPr>
        <w:pStyle w:val="Heading2"/>
      </w:pPr>
      <w:r>
        <w:t>7.3 组织架构设计</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图7-1  Cuttle项目组织架构图</w:t>
              <w:br/>
              <w:t>待统一绘制</w:t>
            </w:r>
          </w:p>
        </w:tc>
      </w:tr>
    </w:tbl>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pPr>
        <w:spacing w:before="0" w:after="80" w:line="348" w:lineRule="auto"/>
        <w:ind w:firstLine="420"/>
        <w:jc w:val="both"/>
      </w:pPr>
      <w:r>
        <w:rPr>
          <w:rFonts w:ascii="Times New Roman" w:hAnsi="Times New Roman" w:eastAsia="宋体"/>
          <w:b w:val="0"/>
          <w:i w:val="0"/>
          <w:color w:val="000000"/>
          <w:sz w:val="21"/>
        </w:rP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职责单元</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主要工作</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决策边界</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定位、范围、进度、资源、对外沟通和材料真实性</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范围与优先级；重大事项报指导教师和团队评审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技术研发</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输入入口、Agent、工具、权限、桌面端、测试与发布</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技术方案与实现；核心契约变更需评审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产品与用户验证</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需求访谈、原型、可用性、指标和试点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用户需求优先级；不得以假设代替证据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赛事与运营</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申报、路演、财务假设、品牌、合作与资料归档</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对外数据需多方核验</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技术、科研、合规、资源和赛事指导</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提出专业意见，不替代团队实际贡献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spacing w:before="0" w:after="80" w:line="348" w:lineRule="auto"/>
        <w:ind w:firstLine="420"/>
        <w:jc w:val="both"/>
      </w:pPr>
      <w:r>
        <w:rPr>
          <w:rFonts w:ascii="Times New Roman" w:hAnsi="Times New Roman" w:eastAsia="宋体"/>
          <w:b w:val="0"/>
          <w:i w:val="0"/>
          <w:color w:val="000000"/>
          <w:sz w:val="21"/>
        </w:rP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管理活动</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频率</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参与者</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研发站会</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每两周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团队与种子用户</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安全与发布评审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每个发布版本</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技术成员与指导教师</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经营与赛事复盘</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每月/赛前</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全体成员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用户、财务、材料和演示真实性检查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spacing w:before="0" w:after="80" w:line="348" w:lineRule="auto"/>
        <w:ind w:firstLine="420"/>
        <w:jc w:val="both"/>
      </w:pPr>
      <w:r>
        <w:rPr>
          <w:rFonts w:ascii="Times New Roman" w:hAnsi="Times New Roman" w:eastAsia="宋体"/>
          <w:b w:val="0"/>
          <w:i w:val="0"/>
          <w:color w:val="000000"/>
          <w:sz w:val="21"/>
        </w:rP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风险</w:t>
            </w:r>
          </w:p>
        </w:tc>
        <w:tc>
          <w:tcPr>
            <w:tcW w:type="dxa" w:w="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概率</w:t>
            </w:r>
          </w:p>
        </w:tc>
        <w:tc>
          <w:tcPr>
            <w:tcW w:type="dxa" w:w="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影响</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预警信号</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技术可靠性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任务失败、误操作、恢复失败</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输入与桌面兼容</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特定应用、分辨率或升级后不可用</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隐私与安全</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极高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模型幻觉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证据不一致、结果不可验证</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产品范围失控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同时推进输入法、桌宠和Agent导致延期</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用户留存不足</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体验新鲜但四周留存低</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市场竞争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中至高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财务与成本</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模型价格或支持成本上升</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团队持续性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核心成员投入下降</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知识产权与许可</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依赖清单、许可证审查、原创证据和申请计划</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图8-1  项目风险矩阵与预警机制图</w:t>
              <w:br/>
              <w:t>待统一绘制</w:t>
            </w:r>
          </w:p>
        </w:tc>
      </w:tr>
    </w:tbl>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pPr>
        <w:spacing w:before="0" w:after="80" w:line="348" w:lineRule="auto"/>
        <w:ind w:firstLine="420"/>
        <w:jc w:val="both"/>
      </w:pPr>
      <w:r>
        <w:rPr>
          <w:rFonts w:ascii="Times New Roman" w:hAnsi="Times New Roman" w:eastAsia="宋体"/>
          <w:b w:val="0"/>
          <w:i w:val="0"/>
          <w:color w:val="000000"/>
          <w:sz w:val="21"/>
        </w:rP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r>
        <w:br w:type="page"/>
      </w:r>
    </w:p>
    <w:p>
      <w:pPr>
        <w:pStyle w:val="Heading1"/>
      </w:pPr>
      <w:r>
        <w:t>第九章  战略规划</w:t>
      </w:r>
    </w:p>
    <w:p>
      <w:pPr>
        <w:pStyle w:val="Heading2"/>
      </w:pPr>
      <w:r>
        <w:t>9.1 短期与长期战略目标</w:t>
      </w:r>
    </w:p>
    <w:p>
      <w:pPr>
        <w:spacing w:before="0" w:after="80" w:line="348" w:lineRule="auto"/>
        <w:ind w:firstLine="420"/>
        <w:jc w:val="both"/>
      </w:pPr>
      <w:r>
        <w:rPr>
          <w:rFonts w:ascii="Times New Roman" w:hAnsi="Times New Roman" w:eastAsia="宋体"/>
          <w:b w:val="0"/>
          <w:i w:val="0"/>
          <w:color w:val="000000"/>
          <w:sz w:val="21"/>
        </w:rP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产品目标</w:t>
            </w:r>
          </w:p>
        </w:tc>
        <w:tc>
          <w:tcPr>
            <w:tcW w:type="dxa" w:w="2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市场目标</w:t>
            </w:r>
          </w:p>
        </w:tc>
        <w:tc>
          <w:tcPr>
            <w:tcW w:type="dxa" w:w="1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参赛稳定版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收敛本地多Agent工作台和固定演示</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完成材料与种子访谈</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校园试用版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服务学习、研究、文档和代码任务</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产品融合版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加入桌面伙伴状态和轻量输入建议</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专业社区扩散</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规模化版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形成付费试点</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后续研究</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24个月后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评估系统级输入法入口和高级桌面自治</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拓展合作生态</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图9-1  Cuttle两年战略实施路线图</w:t>
              <w:br/>
              <w:t>待统一绘制</w:t>
            </w:r>
          </w:p>
        </w:tc>
      </w:tr>
    </w:tbl>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spacing w:before="0" w:after="80" w:line="348" w:lineRule="auto"/>
        <w:ind w:firstLine="420"/>
        <w:jc w:val="both"/>
      </w:pPr>
      <w:r>
        <w:rPr>
          <w:rFonts w:ascii="Times New Roman" w:hAnsi="Times New Roman" w:eastAsia="宋体"/>
          <w:b w:val="0"/>
          <w:i w:val="0"/>
          <w:color w:val="000000"/>
          <w:sz w:val="21"/>
        </w:rP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spacing w:before="0" w:after="80" w:line="348" w:lineRule="auto"/>
        <w:ind w:firstLine="420"/>
        <w:jc w:val="both"/>
      </w:pPr>
      <w:r>
        <w:rPr>
          <w:rFonts w:ascii="Times New Roman" w:hAnsi="Times New Roman" w:eastAsia="宋体"/>
          <w:b w:val="0"/>
          <w:i w:val="0"/>
          <w:color w:val="000000"/>
          <w:sz w:val="21"/>
        </w:rP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pPr>
        <w:spacing w:before="0" w:after="80" w:line="348" w:lineRule="auto"/>
        <w:ind w:firstLine="420"/>
        <w:jc w:val="both"/>
      </w:pPr>
      <w:r>
        <w:rPr>
          <w:rFonts w:ascii="Times New Roman" w:hAnsi="Times New Roman" w:eastAsia="宋体"/>
          <w:b w:val="0"/>
          <w:i w:val="0"/>
          <w:color w:val="000000"/>
          <w:sz w:val="21"/>
        </w:rP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对象</w:t>
            </w:r>
          </w:p>
        </w:tc>
        <w:tc>
          <w:tcPr>
            <w:tcW w:type="dxa" w:w="2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近期动作</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中期动作</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软件著作权</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按核心模块持续登记</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商标与品牌</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检索Cuttle同类冲突与可注册性</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完成主要类别注册</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专利</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识别可保护的技术方案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验证后选择性申请</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开源与第三方</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建立依赖与许可证清单</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自动化合规检查</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技能生态</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定义技能契约与权限声明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审核、签名、分发和收益规则</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图10-1  Cuttle项目社会效益结构图</w:t>
              <w:br/>
              <w:t>待统一绘制</w:t>
            </w:r>
          </w:p>
        </w:tc>
      </w:tr>
    </w:tbl>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spacing w:before="0" w:after="80" w:line="348" w:lineRule="auto"/>
        <w:ind w:firstLine="420"/>
        <w:jc w:val="both"/>
      </w:pPr>
      <w:r>
        <w:rPr>
          <w:rFonts w:ascii="Times New Roman" w:hAnsi="Times New Roman" w:eastAsia="宋体"/>
          <w:b w:val="0"/>
          <w:i w:val="0"/>
          <w:color w:val="000000"/>
          <w:sz w:val="21"/>
        </w:rP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pPr>
        <w:spacing w:before="0" w:after="80" w:line="348" w:lineRule="auto"/>
        <w:ind w:firstLine="420"/>
        <w:jc w:val="both"/>
      </w:pPr>
      <w:r>
        <w:rPr>
          <w:rFonts w:ascii="Times New Roman" w:hAnsi="Times New Roman" w:eastAsia="宋体"/>
          <w:b w:val="0"/>
          <w:i w:val="0"/>
          <w:color w:val="000000"/>
          <w:sz w:val="21"/>
        </w:rP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价值方向</w:t>
            </w:r>
          </w:p>
        </w:tc>
        <w:tc>
          <w:tcPr>
            <w:tcW w:type="dxa" w:w="4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项目贡献</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学习与工作效率</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减少资料搬运、重复改写和手工串联步骤</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数字包容</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用可视化伙伴和分级交互降低复杂智能体门槛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可信人工智能</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让权限、审批、证据、差异和结果可见</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创新就业</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培养AI产品、Agent工程、交互、安全和运营复合能力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0" w:after="80" w:line="348" w:lineRule="auto"/>
        <w:ind w:firstLine="420"/>
        <w:jc w:val="both"/>
      </w:pPr>
      <w:r>
        <w:rPr>
          <w:rFonts w:ascii="Times New Roman" w:hAnsi="Times New Roman" w:eastAsia="宋体"/>
          <w:b w:val="0"/>
          <w:i w:val="0"/>
          <w:color w:val="000000"/>
          <w:sz w:val="21"/>
        </w:rP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headerReference w:type="first" r:id="rId10"/>
      <w:footerReference w:type="default" r:id="rId11"/>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drawing>
        <wp:inline xmlns:a="http://schemas.openxmlformats.org/drawingml/2006/main" xmlns:pic="http://schemas.openxmlformats.org/drawingml/2006/picture">
          <wp:extent cx="5760000" cy="198000"/>
          <wp:docPr id="1" name="Picture 1" descr="Cuttle浅灰页脚装饰线" title="Cuttle浅灰页脚装饰线"/>
          <wp:cNvGraphicFramePr>
            <a:graphicFrameLocks noChangeAspect="1"/>
          </wp:cNvGraphicFramePr>
          <a:graphic>
            <a:graphicData uri="http://schemas.openxmlformats.org/drawingml/2006/picture">
              <pic:pic>
                <pic:nvPicPr>
                  <pic:cNvPr id="0" name="cuttle-footer-band.png"/>
                  <pic:cNvPicPr/>
                </pic:nvPicPr>
                <pic:blipFill>
                  <a:blip r:embed="rId1"/>
                  <a:stretch>
                    <a:fillRect/>
                  </a:stretch>
                </pic:blipFill>
                <pic:spPr>
                  <a:xfrm>
                    <a:off x="0" y="0"/>
                    <a:ext cx="5760000" cy="198000"/>
                  </a:xfrm>
                  <a:prstGeom prst="rect"/>
                </pic:spPr>
              </pic:pic>
            </a:graphicData>
          </a:graphic>
        </wp:inline>
      </w:drawing>
    </w:r>
  </w:p>
  <w:p>
    <w:pP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统一浅色科技背景" title="Cuttle商业计划书统一浅色科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brand-v2.png"/>
                  <pic:cNvPicPr/>
                </pic:nvPicPr>
                <pic:blipFill>
                  <a:blip r:embed="rId1"/>
                  <a:stretch>
                    <a:fillRect/>
                  </a:stretch>
                </pic:blipFill>
                <pic:spPr>
                  <a:xfrm>
                    <a:off x="0" y="0"/>
                    <a:ext cx="7560310" cy="10692130"/>
                  </a:xfrm>
                  <a:prstGeom prst="rect"/>
                </pic:spPr>
              </pic:pic>
            </a:graphicData>
          </a:graphic>
        </wp:anchor>
      </w:drawing>
    </w:r>
    <w:r>
      <w:rPr>
        <w:rFonts w:ascii="Times New Roman" w:hAnsi="Times New Roman" w:eastAsia="微软雅黑"/>
        <w:b/>
        <w:i w:val="0"/>
        <w:color w:val="000000"/>
        <w:sz w:val="17"/>
      </w:rPr>
      <w:t>Cuttle——新一代智能输入法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封面统一浅色科技背景" title="Cuttle商业计划书封面统一浅色科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brand-v2.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