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49FB" w14:textId="77777777" w:rsidR="00CE1A64" w:rsidRDefault="00000000">
      <w:pPr>
        <w:spacing w:after="300" w:before="440"/>
        <w:jc w:val="center"/>
        <w:rPr>
          <w:rFonts w:hint="eastAsia"/>
          <w:lang w:eastAsia="zh-CN"/>
        </w:rPr>
      </w:pPr>
      <w:r>
        <w:rPr>
          <w:rFonts w:ascii="Aptos" w:hAnsi="Aptos" w:eastAsia="微软雅黑"/>
          <w:b/>
          <w:color w:val="087A7D"/>
          <w:sz w:val="21"/>
          <w:lang w:eastAsia="zh-CN"/>
        </w:rPr>
        <w:t>中国国际大学生创新大赛 2026</w:t>
      </w:r>
    </w:p>
    <w:p w14:paraId="3BB709CF" w14:textId="77777777" w:rsidR="00CE1A64" w:rsidRDefault="00000000">
      <w:pPr>
        <w:spacing w:before="0" w:after="360"/>
        <w:jc w:val="center"/>
        <w:rPr>
          <w:rFonts w:hint="eastAsia"/>
        </w:rPr>
      </w:pPr>
      <w:r>
        <w:rPr>
          <w:noProof/>
        </w:rPr>
        <w:drawing>
          <wp:inline distT="0" distB="0" distL="0" distR="0" wp14:anchorId="75A8850C" wp14:editId="5D050CED">
            <wp:extent cx="950976" cy="950976"/>
            <wp:effectExtent l="0" t="0" r="0" b="0"/>
            <wp:docPr id="1" name="Picture 1" descr="Cuttle 章鱼形品牌标识" title="Cuttle 品牌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le-logo.png"/>
                    <pic:cNvPicPr/>
                  </pic:nvPicPr>
                  <pic:blipFill>
                    <a:blip r:embed="rId8"/>
                    <a:stretch>
                      <a:fillRect/>
                    </a:stretch>
                  </pic:blipFill>
                  <pic:spPr>
                    <a:xfrm>
                      <a:off x="0" y="0"/>
                      <a:ext cx="950976" cy="950976"/>
                    </a:xfrm>
                    <a:prstGeom prst="rect">
                      <a:avLst/>
                    </a:prstGeom>
                  </pic:spPr>
                </pic:pic>
              </a:graphicData>
            </a:graphic>
          </wp:inline>
        </w:drawing>
      </w:r>
    </w:p>
    <w:p w14:paraId="78002C0D" w14:textId="77777777" w:rsidR="00CE1A64" w:rsidRDefault="00000000">
      <w:pPr>
        <w:pStyle w:val="aa"/>
        <w:spacing w:before="80" w:after="200"/>
        <w:jc w:val="center"/>
        <w:rPr>
          <w:rFonts w:hint="eastAsia"/>
          <w:lang w:eastAsia="zh-CN"/>
        </w:rPr>
      </w:pPr>
      <w:r>
        <w:rPr>
          <w:rFonts w:ascii="Aptos" w:hAnsi="Aptos" w:eastAsia="微软雅黑"/>
          <w:b/>
          <w:color w:val="242C33"/>
          <w:sz w:val="56"/>
          <w:lang w:eastAsia="zh-CN"/>
        </w:rPr>
        <w:t>Cuttle 情境原生智能输入系统</w:t>
      </w:r>
    </w:p>
    <w:p w14:paraId="39A6F778" w14:textId="77777777" w:rsidR="00CE1A64" w:rsidRDefault="00000000">
      <w:pPr>
        <w:spacing w:after="360"/>
        <w:jc w:val="center"/>
        <w:rPr>
          <w:rFonts w:hint="eastAsia"/>
          <w:lang w:eastAsia="zh-CN"/>
        </w:rPr>
      </w:pPr>
      <w:r>
        <w:rPr>
          <w:rFonts w:ascii="Aptos" w:hAnsi="Aptos" w:eastAsia="微软雅黑"/>
          <w:b/>
          <w:color w:val="087A7D"/>
          <w:sz w:val="29"/>
          <w:lang w:eastAsia="zh-CN"/>
        </w:rPr>
        <w:t>从自然语言输入到可验证智能体行动</w:t>
      </w:r>
    </w:p>
    <w:p w14:paraId="55707D1A" w14:textId="77777777" w:rsidR="00CE1A64" w:rsidRDefault="00000000">
      <w:pPr>
        <w:spacing w:after="560" w:line="348" w:lineRule="auto"/>
        <w:ind w:left="652" w:right="652" w:firstLine="0"/>
        <w:jc w:val="center"/>
        <w:rPr>
          <w:rFonts w:hint="eastAsia"/>
          <w:lang w:eastAsia="zh-CN"/>
        </w:rPr>
      </w:pPr>
      <w:r>
        <w:rPr>
          <w:rFonts w:ascii="Aptos" w:hAnsi="Aptos" w:eastAsia="宋体"/>
          <w:color w:val="2C3339"/>
          <w:sz w:val="21"/>
          <w:lang w:eastAsia="zh-CN"/>
        </w:rPr>
        <w:t>将用户在任意输入场景中的自然语言请求转化为可验证、可撤销的智能体行动，并将结果及证据返回原工作位置</w:t>
      </w:r>
    </w:p>
    <w:tbl>
      <w:tblPr>
        <w:tblW w:w="9638" w:type="dxa"/>
        <w:jc w:val="center"/>
        <w:tblLayout w:type="fixed"/>
        <w:tblLook w:val="04A0" w:firstRow="1" w:lastRow="0" w:firstColumn="1" w:lastColumn="0" w:noHBand="0" w:noVBand="1"/>
      </w:tblPr>
      <w:tblGrid>
        <w:gridCol w:w="2972"/>
        <w:gridCol w:w="6666"/>
      </w:tblGrid>
      <w:tr w:rsidR="00CE1A64" w14:paraId="5ECAF174" w14:textId="77777777">
        <w:trPr>
          <w:cantSplit/>
          <w:trHeight w:hRule="atLeast" w:val="476"/>
          <w:tblHeader/>
          <w:jc w:val="center"/>
        </w:trPr>
        <w:tc>
          <w:tcPr>
            <w:tcW w:w="1944"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50" w:type="dxa"/>
              <w:left w:w="150" w:type="dxa"/>
              <w:bottom w:w="50" w:type="dxa"/>
              <w:right w:w="150" w:type="dxa"/>
              <w:start w:w="80" w:type="dxa"/>
              <w:end w:w="80" w:type="dxa"/>
            </w:tcMar>
            <w:vAlign w:val="center"/>
          </w:tcPr>
          <w:p w14:paraId="577C255C" w14:textId="77777777" w:rsidR="00CE1A64" w:rsidRDefault="00000000">
            <w:pPr>
              <w:spacing w:after="0"/>
              <w:ind w:firstLine="0"/>
              <w:jc w:val="left"/>
              <w:rPr>
                <w:rFonts w:hint="eastAsia"/>
              </w:rPr>
            </w:pPr>
            <w:r>
              <w:rPr>
                <w:rFonts w:ascii="Aptos" w:hAnsi="Aptos" w:eastAsia="微软雅黑"/>
                <w:b w:val="0"/>
                <w:color w:val="666D73"/>
                <w:sz w:val="17"/>
              </w:rPr>
              <w:t>参赛组别</w:t>
            </w:r>
          </w:p>
        </w:tc>
        <w:tc>
          <w:tcPr>
            <w:tcW w:w="7128"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50" w:type="dxa"/>
              <w:left w:w="150" w:type="dxa"/>
              <w:bottom w:w="50" w:type="dxa"/>
              <w:right w:w="150" w:type="dxa"/>
              <w:start w:w="80" w:type="dxa"/>
              <w:end w:w="80" w:type="dxa"/>
            </w:tcMar>
            <w:vAlign w:val="center"/>
            <w:shd w:fill="FCFBF8" w:val="clear"/>
          </w:tcPr>
          <w:p w14:paraId="50B22F3C" w14:textId="77777777" w:rsidR="00CE1A64" w:rsidRDefault="00000000">
            <w:pPr>
              <w:spacing w:after="0"/>
              <w:ind w:firstLine="0"/>
              <w:jc w:val="left"/>
              <w:rPr>
                <w:rFonts w:hint="eastAsia"/>
                <w:lang w:eastAsia="zh-CN"/>
              </w:rPr>
            </w:pPr>
            <w:r>
              <w:rPr>
                <w:rFonts w:ascii="Aptos" w:hAnsi="Aptos" w:eastAsia="宋体"/>
                <w:b/>
                <w:color w:val="242C33"/>
                <w:sz w:val="20"/>
                <w:lang w:eastAsia="zh-CN"/>
              </w:rPr>
              <w:t>高教主赛道  本科生创意组</w:t>
            </w:r>
          </w:p>
        </w:tc>
      </w:tr>
      <w:tr w:rsidR="00CE1A64" w14:paraId="6BECAB3C" w14:textId="77777777">
        <w:trPr>
          <w:cantSplit/>
          <w:trHeight w:hRule="atLeast" w:val="476"/>
          <w:jc w:val="center"/>
        </w:trPr>
        <w:tc>
          <w:tcPr>
            <w:tcW w:w="1944"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50" w:type="dxa"/>
              <w:left w:w="150" w:type="dxa"/>
              <w:bottom w:w="50" w:type="dxa"/>
              <w:right w:w="150" w:type="dxa"/>
              <w:start w:w="80" w:type="dxa"/>
              <w:end w:w="80" w:type="dxa"/>
            </w:tcMar>
            <w:vAlign w:val="center"/>
          </w:tcPr>
          <w:p w14:paraId="2A9DD51F" w14:textId="77777777" w:rsidR="00CE1A64" w:rsidRDefault="00000000">
            <w:pPr>
              <w:spacing w:after="0"/>
              <w:ind w:firstLine="0"/>
              <w:jc w:val="left"/>
              <w:rPr>
                <w:rFonts w:hint="eastAsia"/>
              </w:rPr>
            </w:pPr>
            <w:r>
              <w:rPr>
                <w:rFonts w:ascii="Aptos" w:hAnsi="Aptos" w:eastAsia="微软雅黑"/>
                <w:b w:val="0"/>
                <w:color w:val="666D73"/>
                <w:sz w:val="17"/>
              </w:rPr>
              <w:t>项目类型</w:t>
            </w:r>
          </w:p>
        </w:tc>
        <w:tc>
          <w:tcPr>
            <w:tcW w:w="7128"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50" w:type="dxa"/>
              <w:left w:w="150" w:type="dxa"/>
              <w:bottom w:w="50" w:type="dxa"/>
              <w:right w:w="150" w:type="dxa"/>
              <w:start w:w="80" w:type="dxa"/>
              <w:end w:w="80" w:type="dxa"/>
            </w:tcMar>
            <w:vAlign w:val="center"/>
            <w:shd w:fill="FCFBF8" w:val="clear"/>
          </w:tcPr>
          <w:p w14:paraId="0405C1E9" w14:textId="77777777" w:rsidR="00CE1A64" w:rsidRDefault="00000000">
            <w:pPr>
              <w:spacing w:after="0"/>
              <w:ind w:firstLine="0"/>
              <w:jc w:val="left"/>
              <w:rPr>
                <w:rFonts w:hint="eastAsia"/>
              </w:rPr>
            </w:pPr>
            <w:r>
              <w:rPr>
                <w:rFonts w:ascii="Aptos" w:hAnsi="Aptos" w:eastAsia="宋体"/>
                <w:b/>
                <w:color w:val="242C33"/>
                <w:sz w:val="20"/>
              </w:rPr>
              <w:t>人工智能+  新工科</w:t>
            </w:r>
          </w:p>
        </w:tc>
      </w:tr>
      <w:tr w:rsidR="00CE1A64" w14:paraId="575D7009" w14:textId="77777777">
        <w:trPr>
          <w:cantSplit/>
          <w:trHeight w:hRule="atLeast" w:val="476"/>
          <w:jc w:val="center"/>
        </w:trPr>
        <w:tc>
          <w:tcPr>
            <w:tcW w:w="1944"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50" w:type="dxa"/>
              <w:left w:w="150" w:type="dxa"/>
              <w:bottom w:w="50" w:type="dxa"/>
              <w:right w:w="150" w:type="dxa"/>
              <w:start w:w="80" w:type="dxa"/>
              <w:end w:w="80" w:type="dxa"/>
            </w:tcMar>
            <w:vAlign w:val="center"/>
          </w:tcPr>
          <w:p w14:paraId="71720159" w14:textId="77777777" w:rsidR="00CE1A64" w:rsidRDefault="00000000">
            <w:pPr>
              <w:spacing w:after="0"/>
              <w:ind w:firstLine="0"/>
              <w:jc w:val="left"/>
              <w:rPr>
                <w:rFonts w:hint="eastAsia"/>
              </w:rPr>
            </w:pPr>
            <w:r>
              <w:rPr>
                <w:rFonts w:ascii="Aptos" w:hAnsi="Aptos" w:eastAsia="微软雅黑"/>
                <w:b w:val="0"/>
                <w:color w:val="666D73"/>
                <w:sz w:val="17"/>
              </w:rPr>
              <w:t>参赛学校</w:t>
            </w:r>
          </w:p>
        </w:tc>
        <w:tc>
          <w:tcPr>
            <w:tcW w:w="7128"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50" w:type="dxa"/>
              <w:left w:w="150" w:type="dxa"/>
              <w:bottom w:w="50" w:type="dxa"/>
              <w:right w:w="150" w:type="dxa"/>
              <w:start w:w="80" w:type="dxa"/>
              <w:end w:w="80" w:type="dxa"/>
            </w:tcMar>
            <w:vAlign w:val="center"/>
            <w:shd w:fill="FCFBF8" w:val="clear"/>
          </w:tcPr>
          <w:p w14:paraId="3DAAAA8B" w14:textId="77777777" w:rsidR="00CE1A64" w:rsidRDefault="00000000">
            <w:pPr>
              <w:spacing w:after="0"/>
              <w:ind w:firstLine="0"/>
              <w:jc w:val="left"/>
              <w:rPr>
                <w:rFonts w:hint="eastAsia"/>
              </w:rPr>
            </w:pPr>
            <w:r>
              <w:rPr>
                <w:rFonts w:ascii="Aptos" w:hAnsi="Aptos" w:eastAsia="宋体"/>
                <w:b/>
                <w:color w:val="242C33"/>
                <w:sz w:val="20"/>
              </w:rPr>
              <w:t>西南大学</w:t>
            </w:r>
          </w:p>
        </w:tc>
      </w:tr>
      <w:tr w:rsidR="00CE1A64" w14:paraId="1C745C79" w14:textId="77777777">
        <w:trPr>
          <w:cantSplit/>
          <w:trHeight w:hRule="atLeast" w:val="476"/>
          <w:jc w:val="center"/>
        </w:trPr>
        <w:tc>
          <w:tcPr>
            <w:tcW w:w="1944"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50" w:type="dxa"/>
              <w:left w:w="150" w:type="dxa"/>
              <w:bottom w:w="50" w:type="dxa"/>
              <w:right w:w="150" w:type="dxa"/>
              <w:start w:w="80" w:type="dxa"/>
              <w:end w:w="80" w:type="dxa"/>
            </w:tcMar>
            <w:vAlign w:val="center"/>
          </w:tcPr>
          <w:p w14:paraId="369FE56F" w14:textId="77777777" w:rsidR="00CE1A64" w:rsidRDefault="00000000">
            <w:pPr>
              <w:spacing w:after="0"/>
              <w:ind w:firstLine="0"/>
              <w:jc w:val="left"/>
              <w:rPr>
                <w:rFonts w:hint="eastAsia"/>
              </w:rPr>
            </w:pPr>
            <w:r>
              <w:rPr>
                <w:rFonts w:ascii="Aptos" w:hAnsi="Aptos" w:eastAsia="微软雅黑"/>
                <w:b w:val="0"/>
                <w:color w:val="666D73"/>
                <w:sz w:val="17"/>
              </w:rPr>
              <w:t>项目负责人</w:t>
            </w:r>
          </w:p>
        </w:tc>
        <w:tc>
          <w:tcPr>
            <w:tcW w:w="7128"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50" w:type="dxa"/>
              <w:left w:w="150" w:type="dxa"/>
              <w:bottom w:w="50" w:type="dxa"/>
              <w:right w:w="150" w:type="dxa"/>
              <w:start w:w="80" w:type="dxa"/>
              <w:end w:w="80" w:type="dxa"/>
            </w:tcMar>
            <w:vAlign w:val="center"/>
            <w:shd w:fill="FCFBF8" w:val="clear"/>
          </w:tcPr>
          <w:p w14:paraId="2F3196D6" w14:textId="77777777" w:rsidR="00CE1A64" w:rsidRDefault="00000000">
            <w:pPr>
              <w:spacing w:after="0"/>
              <w:ind w:firstLine="0"/>
              <w:jc w:val="left"/>
              <w:rPr>
                <w:rFonts w:hint="eastAsia"/>
              </w:rPr>
            </w:pPr>
            <w:r>
              <w:rPr>
                <w:rFonts w:ascii="Aptos" w:hAnsi="Aptos" w:eastAsia="宋体"/>
                <w:b/>
                <w:color w:val="242C33"/>
                <w:sz w:val="20"/>
              </w:rPr>
              <w:t>杨俊熙</w:t>
            </w:r>
          </w:p>
        </w:tc>
      </w:tr>
      <w:tr w:rsidR="00CE1A64" w14:paraId="1793E007" w14:textId="77777777">
        <w:trPr>
          <w:cantSplit/>
          <w:trHeight w:hRule="atLeast" w:val="476"/>
          <w:jc w:val="center"/>
        </w:trPr>
        <w:tc>
          <w:tcPr>
            <w:tcW w:w="1944"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shd w:val="clear" w:color="auto" w:fill="FCFBF8"/>
            <w:tcMar>
              <w:top w:w="50" w:type="dxa"/>
              <w:left w:w="150" w:type="dxa"/>
              <w:bottom w:w="50" w:type="dxa"/>
              <w:right w:w="150" w:type="dxa"/>
              <w:start w:w="80" w:type="dxa"/>
              <w:end w:w="80" w:type="dxa"/>
            </w:tcMar>
            <w:vAlign w:val="center"/>
          </w:tcPr>
          <w:p w14:paraId="370C416F" w14:textId="77777777" w:rsidR="00CE1A64" w:rsidRDefault="00000000">
            <w:pPr>
              <w:spacing w:after="0"/>
              <w:ind w:firstLine="0"/>
              <w:jc w:val="left"/>
              <w:rPr>
                <w:rFonts w:hint="eastAsia"/>
              </w:rPr>
            </w:pPr>
            <w:r>
              <w:rPr>
                <w:rFonts w:ascii="Aptos" w:hAnsi="Aptos" w:eastAsia="微软雅黑"/>
                <w:b w:val="0"/>
                <w:color w:val="666D73"/>
                <w:sz w:val="17"/>
              </w:rPr>
              <w:t>指导教师</w:t>
            </w:r>
          </w:p>
        </w:tc>
        <w:tc>
          <w:tcPr>
            <w:tcW w:w="7128" w:type="dxa"/>
            <w:tcBorders>
              <w:top w:val="nil" w:sz="0" w:space="0" w:color="FFFFFF"/>
              <w:left w:val="single" w:sz="0" w:space="0" w:color="FFFFFF"/>
              <w:bottom w:val="nil" w:sz="0" w:space="0" w:color="FFFFFF"/>
              <w:right w:val="single" w:sz="0" w:space="0" w:color="FFFFFF"/>
              <w:start w:val="nil" w:sz="0" w:color="FFFFFF"/>
              <w:end w:val="nil" w:sz="0" w:color="FFFFFF"/>
              <w:insideH w:val="nil" w:sz="0" w:color="FFFFFF"/>
              <w:insideV w:val="nil" w:sz="0" w:color="FFFFFF"/>
            </w:tcBorders>
            <w:tcMar>
              <w:top w:w="50" w:type="dxa"/>
              <w:left w:w="150" w:type="dxa"/>
              <w:bottom w:w="50" w:type="dxa"/>
              <w:right w:w="150" w:type="dxa"/>
              <w:start w:w="80" w:type="dxa"/>
              <w:end w:w="80" w:type="dxa"/>
            </w:tcMar>
            <w:vAlign w:val="center"/>
            <w:shd w:fill="FCFBF8" w:val="clear"/>
          </w:tcPr>
          <w:p w14:paraId="6C3710FE" w14:textId="77777777" w:rsidR="00CE1A64" w:rsidRDefault="00000000">
            <w:pPr>
              <w:spacing w:after="0"/>
              <w:ind w:firstLine="0"/>
              <w:jc w:val="left"/>
              <w:rPr>
                <w:rFonts w:hint="eastAsia"/>
              </w:rPr>
            </w:pPr>
            <w:r>
              <w:rPr>
                <w:rFonts w:ascii="Aptos" w:hAnsi="Aptos" w:eastAsia="宋体"/>
                <w:b/>
                <w:color w:val="242C33"/>
                <w:sz w:val="20"/>
              </w:rPr>
              <w:t>赵恒军</w:t>
            </w:r>
          </w:p>
        </w:tc>
      </w:tr>
    </w:tbl>
    <w:p w14:paraId="1F063AD8" w14:textId="77777777" w:rsidR="00CE1A64" w:rsidRDefault="00000000">
      <w:pPr>
        <w:rPr>
          <w:rFonts w:hint="eastAsia"/>
        </w:rPr>
      </w:pPr>
      <w:r>
        <w:br w:type="page"/>
      </w:r>
    </w:p>
    <w:p w14:paraId="4D0C4330" w14:textId="77777777" w:rsidR="00CE1A64" w:rsidRDefault="00000000">
      <w:pPr>
        <w:pStyle w:val="1"/>
        <w:spacing w:after="240" w:before="200"/>
        <w:jc w:val="left"/>
        <w:rPr>
          <w:rFonts w:hint="eastAsia"/>
        </w:rPr>
      </w:pPr>
      <w:r>
        <w:rPr>
          <w:rFonts w:ascii="Aptos" w:hAnsi="Aptos" w:eastAsia="微软雅黑"/>
          <w:b/>
          <w:color w:val="242C33"/>
          <w:sz w:val="42"/>
        </w:rPr>
        <w:t>目录</w:t>
      </w:r>
      <w:r>
        <w:rPr>
          <w:rFonts w:ascii="Aptos" w:hAnsi="Aptos" w:eastAsia="Aptos"/>
          <w:b/>
          <w:color w:val="B98A2F"/>
          <w:sz w:val="18"/>
        </w:rPr>
        <w:t xml:space="preserve">  CONTENTS</w:t>
      </w:r>
    </w:p>
    <w:tbl>
      <w:tblPr>
        <w:tblW w:type="auto" w:w="0"/>
        <w:jc w:val="center"/>
        <w:tblLayout w:type="fixed"/>
        <w:tblLook w:firstColumn="1" w:firstRow="1" w:lastColumn="0" w:lastRow="0" w:noHBand="0" w:noVBand="1" w:val="04A0"/>
      </w:tblPr>
      <w:tblGrid>
        <w:gridCol w:w="2395"/>
        <w:gridCol w:w="2395"/>
        <w:gridCol w:w="2395"/>
        <w:gridCol w:w="2395"/>
      </w:tblGrid>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项目摘要</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6.4 核心竞争力</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第一章 真实问题与项目机会</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第七章 商业模式与市场进入</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1.1 一个发生在输入时刻的真实矛盾</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7.1 商业模式</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 项目洞察</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7.2 市场进入路径</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19</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1.3 输入时刻作为原生入口的技术依据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7.3 获客、转化与留存</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20</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1.4 项目边界与价值主张</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7.4 从个人版到团队版的转化</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20</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第二章 用户需求与验证设计</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7.5 产品版本与单位经济</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20</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2.1 首批用户与高频任务</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第八章 研发验证与实施路径</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21</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2.2 用户研究方法</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7</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8.1 研发原则</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21</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2.3 核心验证指标与决策门</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7</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8.2 前期工程基础与团队能力证据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21</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第三章 产品方案与体验闭环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8</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8.3 二十四个月路线与阶段决策门</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22</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3.1 产品总体形态</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8</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8.4 关键指标体系</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22</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3.2 核心验证场景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9</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8.5 知识产权与成果计划</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3.3 交互与执行决策</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10</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第九章 团队协作与人才培养</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3.4 返回原处机制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10</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9.1 团队结构</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第四章 核心技术与创新机制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11</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9.2 成员能力成长</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23</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4.1 核心创新一 意图胶囊与最小情境机制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11</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9.3 协作与质量机制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24</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4.2 核心创新二 三维任务决策与受控自治升级</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12</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第十章 财务规划与资源配置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24</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4.3 协作机制 版本化成果契约与自适应组队</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13</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10.1 财务假设与测算基础</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24</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4.4 关键工程体系 返回原处与策略验证恢复</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10.2 三年经营预测</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25</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4.5 核心机制的扩展 跨设备能力节点</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10.3 资源需求与首轮配置</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26</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4.6 核心机制验证</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14</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第十一章 风险管理</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26</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第五章 安全伦理与数据治理</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11.1 关键风险与应对</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26</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5.1 输入法场景的安全原则</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11.2 阶段决策与调整机制</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5.2 数据生命周期</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第十二章 社会价值与发展愿景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5.3 安全控制与发布门槛</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15</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12.1 知识工作的直接价值</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第六章 市场空间与竞争定位</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16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12.2 可信人工智能与数字包容</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27</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6.1 行业机会与目标市场</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16</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12.3 发展愿景</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28</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6.2 市场进入规模</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17</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left"/>
            </w:pPr>
            <w:r>
              <w:rPr>
                <w:rFonts w:ascii="Aptos" w:hAnsi="Aptos" w:eastAsia="微软雅黑"/>
                <w:b/>
                <w:color w:val="242C33"/>
                <w:sz w:val="16"/>
              </w:rPr>
              <w:t>参考资料</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color w:val="B98A2F"/>
                <w:sz w:val="15"/>
              </w:rPr>
              <w:t>28</w:t>
            </w:r>
          </w:p>
        </w:tc>
      </w:tr>
      <w:tr>
        <w:trPr>
          <w:trHeight w:val="261" w:hRule="exact"/>
          <w:cantSplit/>
        </w:trPr>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left="125"/>
              <w:jc w:val="left"/>
            </w:pPr>
            <w:r>
              <w:rPr>
                <w:rFonts w:ascii="Aptos" w:hAnsi="Aptos" w:eastAsia="宋体"/>
                <w:b w:val="0"/>
                <w:color w:val="666D73"/>
                <w:sz w:val="14"/>
              </w:rPr>
              <w:t>6.3 竞争格局</w:t>
            </w: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pPr>
              <w:spacing w:before="0" w:after="0" w:line="240" w:lineRule="auto"/>
              <w:ind w:firstLine="0"/>
              <w:jc w:val="right"/>
            </w:pPr>
            <w:r>
              <w:rPr>
                <w:rFonts w:ascii="Aptos" w:hAnsi="Aptos" w:eastAsia="Aptos"/>
                <w:b w:val="0"/>
                <w:color w:val="666D73"/>
                <w:sz w:val="15"/>
              </w:rPr>
              <w:t>18</w:t>
            </w:r>
          </w:p>
        </w:tc>
        <w:tc>
          <w:tcPr>
            <w:tcW w:type="dxa" w:w="3974"/>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tc>
        <w:tc>
          <w:tcPr>
            <w:tcW w:type="dxa" w:w="432"/>
            <w:shd w:fill="FCFBF8" w:val="clear"/>
            <w:tcMar>
              <w:top w:w="15" w:type="dxa"/>
              <w:start w:w="30" w:type="dxa"/>
              <w:bottom w:w="15" w:type="dxa"/>
              <w:end w:w="30" w:type="dxa"/>
            </w:tcMar>
            <w:vAlign w:val="center"/>
            <w:tcBorders>
              <w:top w:val="nil" w:sz="0" w:color="FCFBF8"/>
              <w:start w:val="nil" w:sz="0" w:color="FCFBF8"/>
              <w:end w:val="nil" w:sz="0" w:color="FCFBF8"/>
              <w:bottom w:val="dotted" w:sz="3" w:color="D7D3CB"/>
            </w:tcBorders>
          </w:tcPr>
          <w:p/>
        </w:tc>
      </w:tr>
    </w:tbl>
    <w:p>
      <w:r>
        <w:br w:type="page"/>
      </w:r>
    </w:p>
    <w:p w14:paraId="068097E3"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项目摘要</w:t>
      </w:r>
    </w:p>
    <w:p w14:paraId="0E4F84A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拟构建一套情境原生智能输入系统。用户在 Word、浏览器、聊天软件、开发工具等任意输入焦点表达需求时，系统只读取完成当前任务所需的最小情境，生成一个可校验、可失效、可追溯的意图胶囊（Intent Capsule, IC），再将请求路由为直接表达、工具调用、单智能体任务或多智能体协作。执行过程保留计划、审批、证据、差异与验收结果，并把可验证成果返回需求产生的原工作位置。</w:t>
      </w:r>
    </w:p>
    <w:p w14:paraId="1B9FF1E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所解决的问题在于：AI 的执行能力正在快速增强，而执行所依赖的意图、情境与控制权，仍散落在用户手工搬运的环节里。现有 AI 助手多以独立对话框或工作台承接任务，用户需离开当前工作、重新交代背景并搬运结果；现有 AI 输入法已具备改写、续写、翻译与场景化表达，但任务通常停留在文本生成。Cuttle 的工作范围是这两者之间尚未贯通的部分：把输入焦点作为意图的原生起点，让意图进入系统后的每一次升级都有边界、有证据、可撤销。</w:t>
      </w:r>
    </w:p>
    <w:p w14:paraId="6210D7F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形成两项核心创新。其一是意图胶囊（IC），一种面向输入时刻的结构化中间表示，用于统一承载意图、最小情境、来源位置、证据来源、时效信息与授权边界，具备可校验、可失效、可追溯三个特性。其二是受控自治升级闭环：系统依据任务特征判定自治程度、协作形态与执行位置，把一次输入从文本表达升级为受控行动，并以返回原处（Return to Origin）把成果送回需求产生的应用与位置。版本化成果契约、返回原处机制与策略、验证、恢复体系构成支撑两项机制落地的工程体系。</w:t>
      </w:r>
    </w:p>
    <w:p w14:paraId="3B3A8B9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从问题调研、机制验证、产品试制到市场验证逐级推进。首个验证场景只保留一条主链（跨来源资料取数与口径核验到报告交付）与一条副链（代码问题到可验证差异）；关键验收指标覆盖情境识别、自治升级恰当性、情境过度读取与过度自治、任务成功、敏感操作拦截、失败恢复、时间节省与真实付费意愿。所有市场规模、用户增长与财务数据均为规划情景，并在每一阶段由真实任务日志、用户研究与合同材料校准。</w:t>
      </w:r>
    </w:p>
    <w:p w14:paraId="50098CF9" w14:textId="77777777" w:rsidR="00CE1A64" w:rsidRDefault="00CE1A64">
      <w:pPr>
        <w:spacing w:after="20"/>
        <w:rPr>
          <w:rFonts w:hint="eastAsia"/>
          <w:lang w:eastAsia="zh-CN"/>
        </w:rPr>
      </w:pPr>
    </w:p>
    <w:p w14:paraId="19720EFE"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第一章 真实问题与项目机会</w:t>
      </w:r>
    </w:p>
    <w:p w14:paraId="47B5D44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核心结论：被消耗的不是模型能力，而是意图产生位置与任务承接位置之间的距离。输入时刻是同时具备显式意图与原位置锚点的少数切入点。</w:t>
      </w:r>
    </w:p>
    <w:p w14:paraId="259D95DD"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1.1 一个发生在输入时刻的真实矛盾</w:t>
      </w:r>
    </w:p>
    <w:p w14:paraId="298B129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一位项目负责人需要在当天更新项目汇报：从竞品网页、客户提供的 PDF、销售 Excel、群聊结论与上一版方案中取数，核对口径后写成 Word 材料，并对关键数字标注来源。今天的典型做法是逐个打开 AI 对话框，复制材料、重新解释格式要求、等待生成，再把结果粘回文档。任务越复杂，需要搬运的背景越多；应用一切换，AI 对当前对象、关系和进度的理解就被打断。被浪费的不是模型能力，而是意图产生的位置与 AI 承接任务的位置之间的这段距离。</w:t>
      </w:r>
    </w:p>
    <w:p w14:paraId="57559D8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Agent 产品正在提升规划、工具调用与多智能体协作能力，输入法产品也在进入大模型时代，但二者大多从不同入口服务用户。工作台擅长执行已经表达清楚的任务，输入法接近意图产生的现场，却主要负责文字生成。用户因此承担了上下文整理、任务升级、风险判断和结果回填四项额外工作，而这四项工作既不属于用户的目标，也不产生任何可积累的成果。</w:t>
      </w:r>
    </w:p>
    <w:p w14:paraId="0A89EA84" w14:textId="77777777" w:rsidR="00CE1A64" w:rsidRDefault="00000000">
      <w:pPr>
        <w:keepNext/>
        <w:spacing w:before="80" w:after="40"/>
        <w:ind w:left="0" w:firstLine="0"/>
        <w:jc w:val="center"/>
        <w:rPr>
          <w:rFonts w:hint="eastAsia"/>
        </w:rPr>
      </w:pPr>
      <w:r>
        <w:rPr>
          <w:noProof/>
        </w:rPr>
        <w:drawing>
          <wp:inline distT="0" distB="0" distL="0" distR="0" wp14:anchorId="25CDCBC6" wp14:editId="630F1F14">
            <wp:extent cx="5742432" cy="2424582"/>
            <wp:effectExtent l="0" t="0" r="0" b="0"/>
            <wp:docPr id="2" name="Picture 2" descr="图 1 现有 AI 工作流的断点与 Cuttle 的项目机会" title="Cuttle 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opportunity.png"/>
                    <pic:cNvPicPr/>
                  </pic:nvPicPr>
                  <pic:blipFill>
                    <a:blip r:embed="rId9"/>
                    <a:stretch>
                      <a:fillRect/>
                    </a:stretch>
                  </pic:blipFill>
                  <pic:spPr>
                    <a:xfrm>
                      <a:off x="0" y="0"/>
                      <a:ext cx="5742432" cy="2424582"/>
                    </a:xfrm>
                    <a:prstGeom prst="rect">
                      <a:avLst/>
                    </a:prstGeom>
                  </pic:spPr>
                </pic:pic>
              </a:graphicData>
            </a:graphic>
          </wp:inline>
        </w:drawing>
      </w:r>
    </w:p>
    <w:p w14:paraId="67F67795"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图1</w:t>
      </w:r>
      <w:r>
        <w:rPr>
          <w:rFonts w:ascii="Aptos" w:hAnsi="Aptos" w:eastAsia="宋体"/>
          <w:color w:val="2C3339"/>
          <w:sz w:val="18"/>
        </w:rPr>
        <w:t xml:space="preserve">  现有 AI 工作流的断点与 Cuttle 的项目机会</w:t>
      </w:r>
    </w:p>
    <w:p w14:paraId="755680B8"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 项目洞察</w:t>
      </w:r>
    </w:p>
    <w:p w14:paraId="1294FAC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把输入时刻定义为 AI 协作的原生起点。用户无需先决定打开哪个模型、哪个 Agent 或哪个工作台，只需在当前输入焦点表达意图。系统先识别所处应用、当前对象与任务边界并形成意图胶囊，再判定这次请求应停留在文本层，还是升级为工具调用、智能体执行、多执行者协作，乃至跨设备任务。</w:t>
      </w:r>
    </w:p>
    <w:p w14:paraId="78652F01" w14:textId="77777777" w:rsidR="00CE1A64" w:rsidRDefault="00000000">
      <w:pPr>
        <w:widowControl/>
        <w:spacing w:line="341" w:lineRule="auto" w:after="80"/>
        <w:ind w:firstLine="420"/>
        <w:jc w:val="both"/>
        <w:rPr>
          <w:rFonts w:hint="eastAsia"/>
        </w:rPr>
      </w:pPr>
      <w:r>
        <w:rPr>
          <w:rFonts w:ascii="Aptos" w:hAnsi="Aptos" w:eastAsia="宋体"/>
          <w:color w:val="2C3339"/>
          <w:sz w:val="21"/>
          <w:lang w:eastAsia="zh-CN"/>
        </w:rPr>
        <w:lastRenderedPageBreak/>
        <w:t>Cuttle 不以基础模型能力作为主要竞争点，而将重点放在意图承接、权限控制和任务交付。项目在模型与桌面应用之间构建一层可控、可验证、可替换的意图基础设施，模型能力提升可直接扩大可调度的执行能力，而情境范围、权限边界与最终结果始终由用户控制。产品需要建立与系统可靠性相匹配的用户信任：低风险任务可由用户主动授权；对于高风险任务，用户能够理解影响范围、审阅执行计划并及时接管。自动化信任研究表明，信任的设计目标应与系统可靠性对齐，而非单纯追求提高。</w:t>
      </w:r>
      <w:r>
        <w:rPr>
          <w:rFonts w:ascii="Aptos" w:hAnsi="Aptos" w:eastAsia="宋体"/>
          <w:color w:val="2C3339"/>
          <w:sz w:val="21"/>
        </w:rPr>
        <w:t>[25][26]</w:t>
      </w:r>
    </w:p>
    <w:p w14:paraId="5CC93897" w14:textId="77777777" w:rsidR="00CE1A64" w:rsidRDefault="00000000">
      <w:pPr>
        <w:keepNext/>
        <w:spacing w:before="80" w:after="40"/>
        <w:ind w:left="0" w:firstLine="0"/>
        <w:jc w:val="center"/>
        <w:rPr>
          <w:rFonts w:hint="eastAsia"/>
        </w:rPr>
      </w:pPr>
      <w:r>
        <w:rPr>
          <w:noProof/>
        </w:rPr>
        <w:drawing>
          <wp:inline distT="0" distB="0" distL="0" distR="0" wp14:anchorId="56282C4A" wp14:editId="5E37ED8B">
            <wp:extent cx="5742432" cy="2233168"/>
            <wp:effectExtent l="0" t="0" r="0" b="0"/>
            <wp:docPr id="3" name="Picture 3" descr="图 2 Cuttle 从输入到成果返回原处的完整闭环" title="Cuttle 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closed-loop.png"/>
                    <pic:cNvPicPr/>
                  </pic:nvPicPr>
                  <pic:blipFill>
                    <a:blip r:embed="rId10"/>
                    <a:stretch>
                      <a:fillRect/>
                    </a:stretch>
                  </pic:blipFill>
                  <pic:spPr>
                    <a:xfrm>
                      <a:off x="0" y="0"/>
                      <a:ext cx="5742432" cy="2233168"/>
                    </a:xfrm>
                    <a:prstGeom prst="rect">
                      <a:avLst/>
                    </a:prstGeom>
                  </pic:spPr>
                </pic:pic>
              </a:graphicData>
            </a:graphic>
          </wp:inline>
        </w:drawing>
      </w:r>
    </w:p>
    <w:p w14:paraId="2E8CE32E"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图2</w:t>
      </w:r>
      <w:r>
        <w:rPr>
          <w:rFonts w:ascii="Aptos" w:hAnsi="Aptos" w:eastAsia="宋体"/>
          <w:color w:val="2C3339"/>
          <w:sz w:val="18"/>
        </w:rPr>
        <w:t xml:space="preserve">  Cuttle 从输入到成果返回原处的完整闭环</w:t>
      </w:r>
    </w:p>
    <w:p w14:paraId="6DF42BE2"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1.3 输入时刻作为原生入口的技术依据</w:t>
      </w:r>
    </w:p>
    <w:p w14:paraId="4B44649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第一，用户主动提交给 Cuttle 的输入是高质量的显式意图信号。屏幕内容只说明用户看到了什么，而主动发起的输入说明用户此刻想表达什么；前者是被动观察，后者是主动声明，两种信号的噪声结构与获取成本完全不同。系统接收的不再是猜测出来的可能相关，而是用户刚刚说出口的目标。</w:t>
      </w:r>
    </w:p>
    <w:p w14:paraId="19D355C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第二，输入焦点提供构建 Origin 的稳定锚点。输入会话同时给出当前应用、窗口、输入控件与光标编辑位置，结合应用适配器即可确定具体对象与返回位置，使成果返回与责任追溯在结构上成为可能。缺少这层锚点，Return to Origin 只能退化为让用户自行寻找粘贴位置。</w:t>
      </w:r>
    </w:p>
    <w:p w14:paraId="5B8DE511"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三，输入入口具备跨应用一致性。不同软件的界面各不相同，而大量桌面生产力任务最终都需要通过输入控件表达、修改或提交信息，因此输入焦点是少数天然跨应用、可长期复用的统一入口；每增加一个应用，需要适配的是语境与返回方式，交互范式本身保持稳定。</w:t>
      </w:r>
    </w:p>
    <w:p w14:paraId="6D99A51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第四，输入法不应承担无限权限。它位于高频、全局且敏感的系统位置，因此项目把输入层限定为意图捕获与最小情境，由独立的 Agent Core 承担执行。这条架构边界决定了权限、审计与恢复能力的分布方式。</w:t>
      </w:r>
    </w:p>
    <w:p w14:paraId="3A5FADD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lastRenderedPageBreak/>
        <w:t>与全局快捷键加悬浮窗口相比，输入焦点入口的差异主要体现在信号的来源与稳定性。输入系统处于输入会话之中，可以直接获得显式意图、输入控件与光标编辑位置，并把它们绑定成同一个任务生命周期的锚点，返回位置在任务开始时即已确定。全局快捷入口在获得系统级权限后同样可以推断当前焦点，但需要通过额外的焦点解析、活动窗口判定与对象绑定重建这一锚点，且自身不处于输入会话之中，更容易出现对象识别偏差或绑定丢失。因此后续实验重点比较二者在来源绑定、操作步骤和结果回填上的差异。</w:t>
      </w:r>
    </w:p>
    <w:p w14:paraId="039BD69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为验证这一判断，本项目设置三组对照实验：独立 AI 工作台、全局快捷键 Agent、输入焦点原生的 Cuttle，在相同模型、工具与任务材料下比较上下文重复说明次数、来源绑定准确率、发起步骤数与结果返回成本。若三组之间没有可测差异，项目将转向通用 Agent 工作台路线。</w:t>
      </w:r>
    </w:p>
    <w:p w14:paraId="0C84F48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的研究对象是用户意图如何从输入时刻进入系统，并在保留控制权的前提下安全地升级为可验证行动。输入焦点是兼顾意图质量与控制权的切入口；后续章节围绕这一命题展开。</w:t>
      </w:r>
    </w:p>
    <w:p w14:paraId="63A6321D"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1.4 项目边界与价值主张</w:t>
      </w:r>
    </w:p>
    <w:p w14:paraId="79DD768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的定位可以概括为一句话：个人电脑上的意图层。它不替代办公软件、浏览器与开发工具，也不替代基础模型与 Agent 框架，而是在用户表达需求的那一刻承接意图，并以受控执行把成果送回原处。项目的价值主张与验证场景见表 1。</w:t>
      </w:r>
    </w:p>
    <w:p w14:paraId="4018D36A" w14:textId="77777777" w:rsidR="00CE1A64" w:rsidRDefault="00CE1A64">
      <w:pPr>
        <w:spacing w:after="20"/>
        <w:rPr>
          <w:rFonts w:hint="eastAsia"/>
          <w:lang w:eastAsia="zh-CN"/>
        </w:rPr>
      </w:pPr>
    </w:p>
    <w:p w14:paraId="1373502B"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第二章 用户需求与验证设计</w:t>
      </w:r>
    </w:p>
    <w:p w14:paraId="49D7401C"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2.1 首批用户与高频任务</w:t>
      </w:r>
    </w:p>
    <w:p w14:paraId="61C35EBE"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本项目采用窄场景切入。产品服务的高频任务，是在多个信息来源之间取数、核对口径并形成可交付材料；承担这类任务的岗位包括运营、项目、咨询、研究、行政与产品，它们的共同特征是需要跨应用获取信息、对关键结论负责并反复交付文档。首批只保留两条基准任务链：主链为“跨来源资料取数与口径核验—报告交付”，副链为“代码问题—修改—测试—可审阅差异”。两条链路都满足输入焦点明确、任务边界可描述、结果可验收三个条件，适合作为配对实验与纵向分析的起始样本。</w:t>
      </w:r>
    </w:p>
    <w:p w14:paraId="1F16806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学生与科研人员属于这一用户群的重要子集，也是团队最先能够触达的样本来源，教育人口统计用于说明早期样本池的规模上限[4]。单点文本生成任务由通用写作工具即可覆盖，本项目聚焦跨来源取数与口径核验，这类工作依赖持续的情境、来源追溯与受控执行。</w:t>
      </w:r>
    </w:p>
    <w:p w14:paraId="3D49DAE5" w14:textId="77777777" w:rsidR="00CE1A64" w:rsidRDefault="00000000" w:rsidP="00613F61">
      <w:pPr>
        <w:keepNext/>
        <w:spacing w:before="60" w:after="120"/>
        <w:ind w:left="0" w:firstLine="0"/>
        <w:jc w:val="center"/>
        <w:rPr>
          <w:rFonts w:hint="eastAsia"/>
          <w:lang w:eastAsia="zh-CN"/>
        </w:rPr>
      </w:pPr>
      <w:r>
        <w:rPr>
          <w:rFonts w:ascii="Aptos" w:hAnsi="Aptos" w:eastAsia="微软雅黑"/>
          <w:b/>
          <w:color w:val="B98A2F"/>
          <w:sz w:val="18"/>
        </w:rPr>
        <w:t>表1</w:t>
      </w:r>
      <w:r>
        <w:rPr>
          <w:rFonts w:ascii="Aptos" w:hAnsi="Aptos" w:eastAsia="宋体"/>
          <w:color w:val="2C3339"/>
          <w:sz w:val="18"/>
        </w:rPr>
        <w:t xml:space="preserve">  核心用户、高频任务与验证场景</w:t>
      </w:r>
    </w:p>
    <w:tbl>
      <w:tblPr>
        <w:tblW w:w="9638" w:type="dxa"/>
        <w:jc w:val="center"/>
        <w:tblLayout w:type="autofit"/>
        <w:tblLook w:val="04A0" w:firstRow="1" w:lastRow="0" w:firstColumn="1" w:lastColumn="0" w:noHBand="0" w:noVBand="1"/>
      </w:tblPr>
      <w:tblGrid>
        <w:gridCol w:w="1626"/>
        <w:gridCol w:w="2650"/>
        <w:gridCol w:w="2711"/>
        <w:gridCol w:w="2651"/>
      </w:tblGrid>
      <w:tr w:rsidR="00CE1A64" w14:paraId="6D393580" w14:textId="77777777">
        <w:trPr>
          <w:cantSplit/>
          <w:trHeight w:hRule="atLeast"/>
          <w:tblHeader w:val="true"/>
          <w:jc w:val="center"/>
        </w:trPr>
        <w:tc>
          <w:tcPr>
            <w:tcW w:w="1626"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55F6259" w14:textId="77777777" w:rsidR="00CE1A64" w:rsidRDefault="00000000">
            <w:pPr>
              <w:spacing w:after="0" w:line="269" w:lineRule="auto"/>
              <w:ind w:firstLine="0" w:left="0"/>
              <w:jc w:val="center"/>
              <w:rPr>
                <w:rFonts w:hint="eastAsia"/>
              </w:rPr>
            </w:pPr>
            <w:r>
              <w:rPr>
                <w:rFonts w:ascii="Aptos" w:hAnsi="Aptos" w:eastAsia="宋体"/>
                <w:b/>
                <w:color w:val="FFFFFF"/>
                <w:sz w:val="17"/>
              </w:rPr>
              <w:t>用户与岗位</w:t>
            </w:r>
          </w:p>
        </w:tc>
        <w:tc>
          <w:tcPr>
            <w:tcW w:w="265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74CE465" w14:textId="77777777" w:rsidR="00CE1A64" w:rsidRDefault="00000000">
            <w:pPr>
              <w:spacing w:after="0" w:line="269" w:lineRule="auto"/>
              <w:ind w:firstLine="0" w:left="0"/>
              <w:jc w:val="center"/>
              <w:rPr>
                <w:rFonts w:hint="eastAsia"/>
              </w:rPr>
            </w:pPr>
            <w:r>
              <w:rPr>
                <w:rFonts w:ascii="Aptos" w:hAnsi="Aptos" w:eastAsia="宋体"/>
                <w:b/>
                <w:color w:val="FFFFFF"/>
                <w:sz w:val="17"/>
              </w:rPr>
              <w:t>高频任务</w:t>
            </w:r>
          </w:p>
        </w:tc>
        <w:tc>
          <w:tcPr>
            <w:tcW w:w="2711"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6BE2DE64" w14:textId="77777777" w:rsidR="00CE1A64" w:rsidRDefault="00000000">
            <w:pPr>
              <w:spacing w:after="0" w:line="269" w:lineRule="auto"/>
              <w:ind w:firstLine="0" w:left="0"/>
              <w:jc w:val="center"/>
              <w:rPr>
                <w:rFonts w:hint="eastAsia"/>
              </w:rPr>
            </w:pPr>
            <w:r>
              <w:rPr>
                <w:rFonts w:ascii="Aptos" w:hAnsi="Aptos" w:eastAsia="宋体"/>
                <w:b/>
                <w:color w:val="FFFFFF"/>
                <w:sz w:val="17"/>
              </w:rPr>
              <w:t>现有障碍</w:t>
            </w:r>
          </w:p>
        </w:tc>
        <w:tc>
          <w:tcPr>
            <w:tcW w:w="2651"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97A8B26" w14:textId="77777777" w:rsidR="00CE1A64" w:rsidRDefault="00000000">
            <w:pPr>
              <w:spacing w:after="0" w:line="269" w:lineRule="auto"/>
              <w:ind w:firstLine="0" w:left="0"/>
              <w:jc w:val="center"/>
              <w:rPr>
                <w:rFonts w:hint="eastAsia"/>
              </w:rPr>
            </w:pPr>
            <w:r>
              <w:rPr>
                <w:rFonts w:ascii="Aptos" w:hAnsi="Aptos" w:eastAsia="宋体"/>
                <w:b/>
                <w:color w:val="FFFFFF"/>
                <w:sz w:val="17"/>
              </w:rPr>
              <w:t>首个验证场景</w:t>
            </w:r>
          </w:p>
        </w:tc>
      </w:tr>
      <w:tr w:rsidR="00CE1A64" w14:paraId="4E8CA1D0" w14:textId="77777777">
        <w:trPr>
          <w:cantSplit/>
          <w:trHeight w:hRule="atLeast"/>
          <w:jc w:val="center"/>
        </w:trPr>
        <w:tc>
          <w:tcPr>
            <w:tcW w:w="162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6C663B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运营、项目、咨询、研究、行政、产品（主场景）</w:t>
            </w:r>
          </w:p>
        </w:tc>
        <w:tc>
          <w:tcPr>
            <w:tcW w:w="265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3EC32D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跨来源取数、口径核验、报告与材料交付</w:t>
            </w:r>
          </w:p>
        </w:tc>
        <w:tc>
          <w:tcPr>
            <w:tcW w:w="2711"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766D6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数据分散在网页、PDF、表格与聊天记录中，来源与口径难以复核</w:t>
            </w:r>
          </w:p>
        </w:tc>
        <w:tc>
          <w:tcPr>
            <w:tcW w:w="2651"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F4253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跨来源资料到分析与 Word 报告（主链）</w:t>
            </w:r>
          </w:p>
        </w:tc>
      </w:tr>
      <w:tr w:rsidR="00CE1A64" w14:paraId="660ED94C" w14:textId="77777777">
        <w:trPr>
          <w:cantSplit/>
          <w:trHeight w:hRule="atLeast"/>
          <w:jc w:val="center"/>
        </w:trPr>
        <w:tc>
          <w:tcPr>
            <w:tcW w:w="162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42894FD" w14:textId="77777777" w:rsidR="00CE1A64" w:rsidRDefault="00000000">
            <w:pPr>
              <w:spacing w:after="0" w:line="269" w:lineRule="auto"/>
              <w:ind w:firstLine="0" w:left="0"/>
              <w:jc w:val="center"/>
              <w:rPr>
                <w:rFonts w:hint="eastAsia"/>
                <w:lang w:eastAsia="zh-CN"/>
              </w:rPr>
            </w:pPr>
            <w:r>
              <w:rPr>
                <w:rFonts w:ascii="Aptos" w:hAnsi="Aptos" w:eastAsia="宋体"/>
                <w:b/>
                <w:color w:val="2C3339"/>
                <w:sz w:val="17"/>
                <w:lang w:eastAsia="zh-CN"/>
              </w:rPr>
              <w:t>数据与研发人员（副链）</w:t>
            </w:r>
          </w:p>
        </w:tc>
        <w:tc>
          <w:tcPr>
            <w:tcW w:w="265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3E85B05"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代码修复、测试与文档</w:t>
            </w:r>
          </w:p>
        </w:tc>
        <w:tc>
          <w:tcPr>
            <w:tcW w:w="2711"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3F88FA2"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任务在 IDE、浏览器与终端之间切换，失败恢复成本高</w:t>
            </w:r>
          </w:p>
        </w:tc>
        <w:tc>
          <w:tcPr>
            <w:tcW w:w="2651"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1AAF1E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错误到修复、测试与可审阅差异（副链）</w:t>
            </w:r>
          </w:p>
        </w:tc>
      </w:tr>
      <w:tr w:rsidR="00CE1A64" w14:paraId="56EE3EDF" w14:textId="77777777">
        <w:trPr>
          <w:cantSplit/>
          <w:trHeight w:hRule="atLeast"/>
          <w:jc w:val="center"/>
        </w:trPr>
        <w:tc>
          <w:tcPr>
            <w:tcW w:w="162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2B32328"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7"/>
                <w:lang w:eastAsia="zh-CN"/>
              </w:rPr>
              <w:t>高校学生与科研人员（早期样本）</w:t>
            </w:r>
          </w:p>
        </w:tc>
        <w:tc>
          <w:tcPr>
            <w:tcW w:w="265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D589A9D"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资料检索、综述与项目材料</w:t>
            </w:r>
          </w:p>
        </w:tc>
        <w:tc>
          <w:tcPr>
            <w:tcW w:w="2711"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302DC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重复格式工作，审核链条长</w:t>
            </w:r>
          </w:p>
        </w:tc>
        <w:tc>
          <w:tcPr>
            <w:tcW w:w="2651"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2594D1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作为独立验证组的样本来源，不单独设定场景</w:t>
            </w:r>
          </w:p>
        </w:tc>
      </w:tr>
      <w:tr w:rsidR="00CE1A64" w14:paraId="2B2ABCD9" w14:textId="77777777">
        <w:trPr>
          <w:cantSplit/>
          <w:trHeight w:hRule="atLeast"/>
          <w:jc w:val="center"/>
        </w:trPr>
        <w:tc>
          <w:tcPr>
            <w:tcW w:w="1626"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CEEC59C" w14:textId="77777777" w:rsidR="00CE1A64" w:rsidRDefault="00000000">
            <w:pPr>
              <w:spacing w:after="0" w:line="269" w:lineRule="auto"/>
              <w:ind w:firstLine="0" w:left="0"/>
              <w:jc w:val="center"/>
              <w:rPr>
                <w:rFonts w:hint="eastAsia"/>
                <w:lang w:eastAsia="zh-CN"/>
              </w:rPr>
            </w:pPr>
            <w:r>
              <w:rPr>
                <w:rFonts w:ascii="Aptos" w:hAnsi="Aptos" w:eastAsia="宋体"/>
                <w:b/>
                <w:color w:val="2C3339"/>
                <w:sz w:val="17"/>
                <w:lang w:eastAsia="zh-CN"/>
              </w:rPr>
              <w:t>实验室与机构（后续扩展）</w:t>
            </w:r>
          </w:p>
        </w:tc>
        <w:tc>
          <w:tcPr>
            <w:tcW w:w="265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F1FA7EC"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数据整理、材料归档、多人协作</w:t>
            </w:r>
          </w:p>
        </w:tc>
        <w:tc>
          <w:tcPr>
            <w:tcW w:w="2711"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C79CFB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模型与工具分散，缺少权限治理与审计</w:t>
            </w:r>
          </w:p>
        </w:tc>
        <w:tc>
          <w:tcPr>
            <w:tcW w:w="2651"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2193A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本轮不纳入，作为团队许可与私有部署的需求来源</w:t>
            </w:r>
          </w:p>
        </w:tc>
      </w:tr>
    </w:tbl>
    <w:p w14:paraId="219B8D6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首个验证场景只保留一条主链路和一条副链路，教师教学材料与实验室治理本轮不纳入：所有指标都来自同一条任务链路，才能回答“机制是否有效”，而不是回答“某个功能是否有人喜欢”。</w:t>
      </w:r>
    </w:p>
    <w:p w14:paraId="678B6CB8" w14:textId="77777777" w:rsidR="00CE1A64" w:rsidRDefault="00CE1A64">
      <w:pPr>
        <w:spacing w:after="20"/>
        <w:rPr>
          <w:rFonts w:hint="eastAsia"/>
          <w:lang w:eastAsia="zh-CN"/>
        </w:rPr>
      </w:pPr>
    </w:p>
    <w:p w14:paraId="6AD6CEAB"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2.2 用户研究方法</w:t>
      </w:r>
    </w:p>
    <w:p w14:paraId="4DC371A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用户研究分三个阶段，并在样本设计上避免“同一批用户贯穿全程”带来的偏差。发现阶段通过半结构化访谈、任务日记与情境观察，识别高频跨应用任务、基线耗时与敏感数据边界；机制验证阶段用可交互原型与 Wizard of Oz 方法，验证用户是否理解意图升级、审批与结果返回。价值验证阶段分两组：纵向核心组 15 至 25 人全程跟踪，用于观察学习曲线、信任变化与长期留存；独立验证组另招 20 至 30 人，此前不参与任何设计与原型讨论，第一次接触最终版本，用于测量首次使用、意图理解、效率提升与审批理解。</w:t>
      </w:r>
    </w:p>
    <w:p w14:paraId="5DECE7E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两个样本组回答不同问题，结果分别报告。纵向组追踪同一批用户在熟练之后的稳定价值、信任变化与流失原因，用于判断机制能否长期成立；独立组此前未参与任何设计与原型讨论，其首用数据不含学习效应与期待偏差，用于判断新用户能否自行理解并接受这套机制。统计口径在数据收集前确定：各指标的最低可接受值与目标值来自预实验，再依据预实验效应量做统计功效分析，据此确定正式实验所需样本量；组间比较报告效应量与置信区间。</w:t>
      </w:r>
    </w:p>
    <w:p w14:paraId="6489F5B0" w14:textId="77777777" w:rsidR="00CE1A64" w:rsidRDefault="00000000">
      <w:pPr>
        <w:keepNext/>
        <w:spacing w:before="80" w:after="40"/>
        <w:ind w:left="0" w:firstLine="0"/>
        <w:jc w:val="center"/>
        <w:rPr>
          <w:rFonts w:hint="eastAsia"/>
        </w:rPr>
      </w:pPr>
      <w:r>
        <w:rPr>
          <w:noProof/>
        </w:rPr>
        <w:drawing>
          <wp:inline distT="0" distB="0" distL="0" distR="0" wp14:anchorId="22A0E575" wp14:editId="118F8BEE">
            <wp:extent cx="5742432" cy="2711704"/>
            <wp:effectExtent l="0" t="0" r="0" b="0"/>
            <wp:docPr id="4" name="Picture 4" descr="图 3 从问题发现到价值验证的研究路径" title="Cuttle 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validation-plan.png"/>
                    <pic:cNvPicPr/>
                  </pic:nvPicPr>
                  <pic:blipFill>
                    <a:blip r:embed="rId11"/>
                    <a:stretch>
                      <a:fillRect/>
                    </a:stretch>
                  </pic:blipFill>
                  <pic:spPr>
                    <a:xfrm>
                      <a:off x="0" y="0"/>
                      <a:ext cx="5742432" cy="2711704"/>
                    </a:xfrm>
                    <a:prstGeom prst="rect">
                      <a:avLst/>
                    </a:prstGeom>
                  </pic:spPr>
                </pic:pic>
              </a:graphicData>
            </a:graphic>
          </wp:inline>
        </w:drawing>
      </w:r>
    </w:p>
    <w:p w14:paraId="1BA3608B"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图3</w:t>
      </w:r>
      <w:r>
        <w:rPr>
          <w:rFonts w:ascii="Aptos" w:hAnsi="Aptos" w:eastAsia="宋体"/>
          <w:color w:val="2C3339"/>
          <w:sz w:val="18"/>
        </w:rPr>
        <w:t xml:space="preserve">  Cuttle 用户研究与价值验证路径</w:t>
      </w:r>
    </w:p>
    <w:p w14:paraId="65BB74C8" w14:textId="77777777" w:rsidR="00CE1A64" w:rsidRDefault="00000000">
      <w:pPr>
        <w:pStyle w:val="21"/>
        <w:spacing w:before="0" w:after="0"/>
        <w:ind w:left="159" w:firstLine="0"/>
        <w:jc w:val="left"/>
        <w:rPr>
          <w:rFonts w:hint="eastAsia"/>
          <w:lang w:eastAsia="zh-CN"/>
        </w:rPr>
        <w:pBdr>
          <w:left w:val="single" w:sz="14" w:space="7" w:color="087A7D"/>
        </w:pBdr>
      </w:pPr>
      <w:r>
        <w:rPr>
          <w:rFonts w:ascii="Aptos" w:hAnsi="Aptos" w:eastAsia="微软雅黑"/>
          <w:b/>
          <w:color w:val="242C33"/>
          <w:sz w:val="25"/>
          <w:lang w:eastAsia="zh-CN"/>
        </w:rPr>
        <w:t>2.3 核心验证指标与决策门</w:t>
      </w:r>
    </w:p>
    <w:p w14:paraId="637C170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以下七项为进入正式实验前预设的验证方向、判定标准与决策门。判定数据来源包括任务日志、情境标注集、产品分析记录与试点合作材料，样本量在实验前依据预实验效应量做统计功效分析后确定。</w:t>
      </w:r>
    </w:p>
    <w:p w14:paraId="2A8BBFAF" w14:textId="77777777" w:rsidR="00CE1A64" w:rsidRDefault="00000000">
      <w:pPr>
        <w:keepNext/>
        <w:pageBreakBefore/>
        <w:spacing w:after="120" w:before="60"/>
        <w:ind w:left="0" w:firstLine="0"/>
        <w:jc w:val="center"/>
        <w:rPr>
          <w:rFonts w:hint="eastAsia"/>
          <w:lang w:eastAsia="zh-CN"/>
        </w:rPr>
      </w:pPr>
      <w:r>
        <w:rPr>
          <w:rFonts w:ascii="Aptos" w:hAnsi="Aptos" w:eastAsia="微软雅黑"/>
          <w:b/>
          <w:color w:val="B98A2F"/>
          <w:sz w:val="18"/>
        </w:rPr>
        <w:t>表2</w:t>
      </w:r>
      <w:r>
        <w:rPr>
          <w:rFonts w:ascii="Aptos" w:hAnsi="Aptos" w:eastAsia="宋体"/>
          <w:color w:val="2C3339"/>
          <w:sz w:val="18"/>
        </w:rPr>
        <w:t xml:space="preserve">  核心验证指标与决策门</w:t>
      </w:r>
    </w:p>
    <w:tbl>
      <w:tblPr>
        <w:tblW w:w="9638" w:type="dxa"/>
        <w:jc w:val="center"/>
        <w:tblLayout w:type="autofit"/>
        <w:tblLook w:val="04A0" w:firstRow="1" w:lastRow="0" w:firstColumn="1" w:lastColumn="0" w:noHBand="0" w:noVBand="1"/>
      </w:tblPr>
      <w:tblGrid>
        <w:gridCol w:w="1150"/>
        <w:gridCol w:w="2200"/>
        <w:gridCol w:w="1500"/>
        <w:gridCol w:w="3188"/>
        <w:gridCol w:w="1600"/>
      </w:tblGrid>
      <w:tr w:rsidR="00CE1A64" w14:paraId="1B3FBF74" w14:textId="77777777">
        <w:trPr>
          <w:cantSplit/>
          <w:trHeight w:hRule="atLeast"/>
          <w:tblHeader w:val="true"/>
          <w:jc w:val="center"/>
        </w:trPr>
        <w:tc>
          <w:tcPr>
            <w:tcW w:w="115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4E455E23" w14:textId="77777777" w:rsidR="00CE1A64" w:rsidRDefault="00000000">
            <w:pPr>
              <w:spacing w:after="0" w:line="269" w:lineRule="auto"/>
              <w:ind w:firstLine="0" w:left="0"/>
              <w:jc w:val="center"/>
              <w:rPr>
                <w:rFonts w:hint="eastAsia"/>
              </w:rPr>
            </w:pPr>
            <w:r>
              <w:rPr>
                <w:rFonts w:ascii="Aptos" w:hAnsi="Aptos" w:eastAsia="宋体"/>
                <w:b/>
                <w:color w:val="FFFFFF"/>
                <w:sz w:val="17"/>
              </w:rPr>
              <w:t>分组</w:t>
            </w:r>
          </w:p>
        </w:tc>
        <w:tc>
          <w:tcPr>
            <w:tcW w:w="220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56393C15" w14:textId="77777777" w:rsidR="00CE1A64" w:rsidRDefault="00000000">
            <w:pPr>
              <w:spacing w:after="0" w:line="269" w:lineRule="auto"/>
              <w:ind w:firstLine="0" w:left="0"/>
              <w:jc w:val="center"/>
              <w:rPr>
                <w:rFonts w:hint="eastAsia"/>
              </w:rPr>
            </w:pPr>
            <w:r>
              <w:rPr>
                <w:rFonts w:ascii="Aptos" w:hAnsi="Aptos" w:eastAsia="宋体"/>
                <w:b/>
                <w:color w:val="FFFFFF"/>
                <w:sz w:val="17"/>
              </w:rPr>
              <w:t>验证方向</w:t>
            </w:r>
          </w:p>
        </w:tc>
        <w:tc>
          <w:tcPr>
            <w:tcW w:w="150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6CC2C386" w14:textId="77777777" w:rsidR="00CE1A64" w:rsidRDefault="00000000">
            <w:pPr>
              <w:spacing w:after="0" w:line="269" w:lineRule="auto"/>
              <w:ind w:firstLine="0" w:left="0"/>
              <w:jc w:val="center"/>
              <w:rPr>
                <w:rFonts w:hint="eastAsia"/>
              </w:rPr>
            </w:pPr>
            <w:r>
              <w:rPr>
                <w:rFonts w:ascii="Aptos" w:hAnsi="Aptos" w:eastAsia="宋体"/>
                <w:b/>
                <w:color w:val="FFFFFF"/>
                <w:sz w:val="17"/>
              </w:rPr>
              <w:t>验证方法</w:t>
            </w:r>
          </w:p>
        </w:tc>
        <w:tc>
          <w:tcPr>
            <w:tcW w:w="318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06D3D9FA" w14:textId="77777777" w:rsidR="00CE1A64" w:rsidRDefault="00000000">
            <w:pPr>
              <w:spacing w:after="0" w:line="269" w:lineRule="auto"/>
              <w:ind w:firstLine="0" w:left="0"/>
              <w:jc w:val="center"/>
              <w:rPr>
                <w:rFonts w:hint="eastAsia"/>
              </w:rPr>
            </w:pPr>
            <w:r>
              <w:rPr>
                <w:rFonts w:ascii="Aptos" w:hAnsi="Aptos" w:eastAsia="宋体"/>
                <w:b/>
                <w:color w:val="FFFFFF"/>
                <w:sz w:val="17"/>
              </w:rPr>
              <w:t>判定标准</w:t>
            </w:r>
          </w:p>
        </w:tc>
        <w:tc>
          <w:tcPr>
            <w:tcW w:w="1600"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085E0DB0" w14:textId="77777777" w:rsidR="00CE1A64" w:rsidRDefault="00000000">
            <w:pPr>
              <w:spacing w:after="0" w:line="269" w:lineRule="auto"/>
              <w:ind w:firstLine="0" w:left="0"/>
              <w:jc w:val="center"/>
              <w:rPr>
                <w:rFonts w:hint="eastAsia"/>
              </w:rPr>
            </w:pPr>
            <w:r>
              <w:rPr>
                <w:rFonts w:ascii="Aptos" w:hAnsi="Aptos" w:eastAsia="宋体"/>
                <w:b/>
                <w:color w:val="FFFFFF"/>
                <w:sz w:val="17"/>
              </w:rPr>
              <w:t>未达标调整</w:t>
            </w:r>
          </w:p>
        </w:tc>
      </w:tr>
      <w:tr w:rsidR="00CE1A64" w14:paraId="2936039E"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7A0868D" w14:textId="77777777" w:rsidR="00CE1A64" w:rsidRDefault="00000000">
            <w:pPr>
              <w:spacing w:after="0" w:line="269" w:lineRule="auto"/>
              <w:ind w:firstLine="0" w:left="0"/>
              <w:jc w:val="center"/>
              <w:rPr>
                <w:rFonts w:hint="eastAsia"/>
              </w:rPr>
            </w:pPr>
            <w:r>
              <w:rPr>
                <w:rFonts w:ascii="Aptos" w:hAnsi="Aptos" w:eastAsia="宋体"/>
                <w:b/>
                <w:color w:val="2C3339"/>
                <w:sz w:val="17"/>
              </w:rPr>
              <w:t>用户价值</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456BF04" w14:textId="77777777" w:rsidR="00CE1A64" w:rsidRDefault="00000000">
            <w:pPr>
              <w:spacing w:after="0" w:line="269" w:lineRule="auto"/>
              <w:ind w:firstLine="0" w:left="0"/>
              <w:jc w:val="left"/>
              <w:rPr>
                <w:rFonts w:hint="eastAsia"/>
              </w:rPr>
            </w:pPr>
            <w:r>
              <w:rPr>
                <w:rFonts w:ascii="Aptos" w:hAnsi="Aptos" w:eastAsia="宋体"/>
                <w:b w:val="0"/>
                <w:color w:val="2C3339"/>
                <w:sz w:val="17"/>
              </w:rPr>
              <w:t>入口机制优于独立工作台与全局快捷 Agent</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EEAD69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三组入口同任务对照，顺序平衡</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2374C6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上下文重复说明次数降低 15% 以上；Origin 绑定准确率不下降；发起步骤数与结果返回成本至少一项显著改善</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E7AD47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缩小入口范围，保留快捷指令</w:t>
            </w:r>
          </w:p>
        </w:tc>
      </w:tr>
      <w:tr w:rsidR="00CE1A64" w14:paraId="0C0D0B0C"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1835A030" w14:textId="77777777" w:rsidR="00CE1A64" w:rsidRDefault="00000000">
            <w:pPr>
              <w:spacing w:after="0" w:line="269" w:lineRule="auto"/>
              <w:ind w:firstLine="0" w:left="0"/>
              <w:jc w:val="center"/>
              <w:rPr>
                <w:rFonts w:hint="eastAsia"/>
              </w:rPr>
            </w:pPr>
            <w:r>
              <w:rPr>
                <w:rFonts w:ascii="Aptos" w:hAnsi="Aptos" w:eastAsia="宋体"/>
                <w:b/>
                <w:color w:val="2C3339"/>
                <w:sz w:val="17"/>
              </w:rPr>
              <w:t>核心机制</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C4F187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意图胶囊减少重复说明并抑制多余读取</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16A94E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对照任务计时与记录，情境标注集</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0E02010" w14:textId="77777777" w:rsidR="00CE1A64" w:rsidRDefault="00000000">
            <w:pPr>
              <w:spacing w:after="0" w:line="269" w:lineRule="auto"/>
              <w:ind w:firstLine="0" w:left="0"/>
              <w:jc w:val="left"/>
              <w:rPr>
                <w:rFonts w:hint="eastAsia"/>
              </w:rPr>
            </w:pPr>
            <w:r>
              <w:rPr>
                <w:rFonts w:ascii="Aptos" w:hAnsi="Aptos" w:eastAsia="宋体"/>
                <w:b w:val="0"/>
                <w:color w:val="2C3339"/>
                <w:sz w:val="17"/>
              </w:rPr>
              <w:t>Context Recall 不低于 90%；情境过度读取率低于 5%；重复输入减少 30%</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13AE91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减少自动感知，增强手动选区</w:t>
            </w:r>
          </w:p>
        </w:tc>
      </w:tr>
      <w:tr w:rsidR="00CE1A64" w14:paraId="6998CBD2"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6B6D9037" w14:textId="77777777" w:rsidR="00CE1A64" w:rsidRDefault="00000000">
            <w:pPr>
              <w:spacing w:after="0" w:line="269" w:lineRule="auto"/>
              <w:ind w:firstLine="0" w:left="0"/>
              <w:jc w:val="center"/>
              <w:rPr>
                <w:rFonts w:hint="eastAsia"/>
              </w:rPr>
            </w:pPr>
            <w:r>
              <w:rPr>
                <w:rFonts w:ascii="Aptos" w:hAnsi="Aptos" w:eastAsia="宋体"/>
                <w:b/>
                <w:color w:val="2C3339"/>
                <w:sz w:val="17"/>
              </w:rPr>
              <w:t>核心机制</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5428B69"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三维任务决策优于固定档位</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4EB17A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同任务计时与接管计数，标注集评测</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09F854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三维任务决策 Macro-F1 不低于 0.85；过度升级率低于 10%；高风险低估率低于 3%</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6D0F6CD"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只保留高价值任务升级</w:t>
            </w:r>
          </w:p>
        </w:tc>
      </w:tr>
      <w:tr w:rsidR="00CE1A64" w14:paraId="3419F4EA"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25D01DB8" w14:textId="77777777" w:rsidR="00CE1A64" w:rsidRDefault="00000000">
            <w:pPr>
              <w:spacing w:after="0" w:line="269" w:lineRule="auto"/>
              <w:ind w:firstLine="0" w:left="0"/>
              <w:jc w:val="center"/>
              <w:rPr>
                <w:rFonts w:hint="eastAsia"/>
              </w:rPr>
            </w:pPr>
            <w:r>
              <w:rPr>
                <w:rFonts w:ascii="Aptos" w:hAnsi="Aptos" w:eastAsia="宋体"/>
                <w:b/>
                <w:color w:val="2C3339"/>
                <w:sz w:val="17"/>
              </w:rPr>
              <w:t>安全可靠</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C10DAE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可见审批提高影响范围理解</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DABDA6A" w14:textId="77777777" w:rsidR="00CE1A64" w:rsidRDefault="00000000">
            <w:pPr>
              <w:spacing w:after="0" w:line="269" w:lineRule="auto"/>
              <w:ind w:firstLine="0" w:left="0"/>
              <w:jc w:val="center"/>
              <w:rPr>
                <w:rFonts w:hint="eastAsia"/>
              </w:rPr>
            </w:pPr>
            <w:r>
              <w:rPr>
                <w:rFonts w:ascii="Aptos" w:hAnsi="Aptos" w:eastAsia="宋体"/>
                <w:b w:val="0"/>
                <w:color w:val="2C3339"/>
                <w:sz w:val="17"/>
              </w:rPr>
              <w:t>敏感任务可用性测试</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4E6FB4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影响范围判断正确率不低于 95%；误批准率低于 3%</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C43E7A1" w14:textId="77777777" w:rsidR="00CE1A64" w:rsidRDefault="00000000">
            <w:pPr>
              <w:spacing w:after="0" w:line="269" w:lineRule="auto"/>
              <w:ind w:firstLine="0" w:left="0"/>
              <w:jc w:val="center"/>
              <w:rPr>
                <w:rFonts w:hint="eastAsia"/>
              </w:rPr>
            </w:pPr>
            <w:r>
              <w:rPr>
                <w:rFonts w:ascii="Aptos" w:hAnsi="Aptos" w:eastAsia="宋体"/>
                <w:b w:val="0"/>
                <w:color w:val="2C3339"/>
                <w:sz w:val="17"/>
              </w:rPr>
              <w:t>增加解释与二次确认</w:t>
            </w:r>
          </w:p>
        </w:tc>
      </w:tr>
      <w:tr w:rsidR="00CE1A64" w14:paraId="622ECD93"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62D57E49" w14:textId="77777777" w:rsidR="00CE1A64" w:rsidRDefault="00000000">
            <w:pPr>
              <w:spacing w:after="0" w:line="269" w:lineRule="auto"/>
              <w:ind w:firstLine="0" w:left="0"/>
              <w:jc w:val="center"/>
              <w:rPr>
                <w:rFonts w:hint="eastAsia"/>
              </w:rPr>
            </w:pPr>
            <w:r>
              <w:rPr>
                <w:rFonts w:ascii="Aptos" w:hAnsi="Aptos" w:eastAsia="宋体"/>
                <w:b/>
                <w:color w:val="2C3339"/>
                <w:sz w:val="17"/>
              </w:rPr>
              <w:t>安全可靠</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35AA91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端到端任务可稳定完成</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815806B"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固定任务套件与真实任务</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BEC510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任务成功率不低于 85%；可逆任务恢复率不低于 90%；完成时间降低 25%</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3ED5050"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收敛任务范围并加固恢复路径</w:t>
            </w:r>
          </w:p>
        </w:tc>
      </w:tr>
      <w:tr w:rsidR="00CE1A64" w14:paraId="66A09098" w14:textId="77777777">
        <w:trPr>
          <w:cantSplit/>
          <w:trHeight w:hRule="atLeast"/>
          <w:jc w:val="center"/>
        </w:trPr>
        <w:tc>
          <w:tcPr>
            <w:tcW w:w="115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3891694D" w14:textId="77777777" w:rsidR="00CE1A64" w:rsidRDefault="00000000">
            <w:pPr>
              <w:spacing w:after="0" w:line="269" w:lineRule="auto"/>
              <w:ind w:firstLine="0" w:left="0"/>
              <w:jc w:val="center"/>
              <w:rPr>
                <w:rFonts w:hint="eastAsia"/>
              </w:rPr>
            </w:pPr>
            <w:r>
              <w:rPr>
                <w:rFonts w:ascii="Aptos" w:hAnsi="Aptos" w:eastAsia="宋体"/>
                <w:b/>
                <w:color w:val="2C3339"/>
                <w:sz w:val="17"/>
              </w:rPr>
              <w:t>商业验证</w:t>
            </w:r>
          </w:p>
        </w:tc>
        <w:tc>
          <w:tcPr>
            <w:tcW w:w="22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D81943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团队与机构客户愿意为治理能力付费</w:t>
            </w:r>
          </w:p>
        </w:tc>
        <w:tc>
          <w:tcPr>
            <w:tcW w:w="150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F1F5194" w14:textId="77777777" w:rsidR="00CE1A64" w:rsidRDefault="00000000">
            <w:pPr>
              <w:spacing w:after="0" w:line="269" w:lineRule="auto"/>
              <w:ind w:firstLine="0" w:left="0"/>
              <w:jc w:val="center"/>
              <w:rPr>
                <w:rFonts w:hint="eastAsia"/>
              </w:rPr>
            </w:pPr>
            <w:r>
              <w:rPr>
                <w:rFonts w:ascii="Aptos" w:hAnsi="Aptos" w:eastAsia="宋体"/>
                <w:b w:val="0"/>
                <w:color w:val="2C3339"/>
                <w:sz w:val="17"/>
              </w:rPr>
              <w:t>试点与报价测试</w:t>
            </w:r>
          </w:p>
        </w:tc>
        <w:tc>
          <w:tcPr>
            <w:tcW w:w="318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F8967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取得至少 3 份付费意向或采购流程</w:t>
            </w:r>
          </w:p>
        </w:tc>
        <w:tc>
          <w:tcPr>
            <w:tcW w:w="160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557067C"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转向个人订阅与开发者生态</w:t>
            </w:r>
          </w:p>
        </w:tc>
      </w:tr>
      <w:tr w:rsidR="00CE1A64" w14:paraId="3D9EB115" w14:textId="77777777">
        <w:trPr>
          <w:cantSplit/>
          <w:trHeight w:hRule="atLeast"/>
          <w:jc w:val="center"/>
        </w:trPr>
        <w:tc>
          <w:tcPr>
            <w:tcW w:w="115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38D81759" w14:textId="77777777" w:rsidR="00CE1A64" w:rsidRDefault="00000000">
            <w:pPr>
              <w:spacing w:after="0" w:line="269" w:lineRule="auto"/>
              <w:ind w:firstLine="0" w:left="0"/>
              <w:jc w:val="center"/>
              <w:rPr>
                <w:rFonts w:hint="eastAsia"/>
              </w:rPr>
            </w:pPr>
            <w:r>
              <w:rPr>
                <w:rFonts w:ascii="Aptos" w:hAnsi="Aptos" w:eastAsia="宋体"/>
                <w:b/>
                <w:color w:val="2C3339"/>
                <w:sz w:val="17"/>
              </w:rPr>
              <w:t>商业验证</w:t>
            </w:r>
          </w:p>
        </w:tc>
        <w:tc>
          <w:tcPr>
            <w:tcW w:w="220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5047C09"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纵向留存与首用接受度</w:t>
            </w:r>
          </w:p>
        </w:tc>
        <w:tc>
          <w:tcPr>
            <w:tcW w:w="150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81742C8" w14:textId="77777777" w:rsidR="00CE1A64" w:rsidRDefault="00000000">
            <w:pPr>
              <w:spacing w:after="0" w:line="269" w:lineRule="auto"/>
              <w:ind w:firstLine="0" w:left="0"/>
              <w:jc w:val="center"/>
              <w:rPr>
                <w:rFonts w:hint="eastAsia"/>
              </w:rPr>
            </w:pPr>
            <w:r>
              <w:rPr>
                <w:rFonts w:ascii="Aptos" w:hAnsi="Aptos" w:eastAsia="宋体"/>
                <w:b w:val="0"/>
                <w:color w:val="2C3339"/>
                <w:sz w:val="17"/>
              </w:rPr>
              <w:t>产品分析与合作记录</w:t>
            </w:r>
          </w:p>
        </w:tc>
        <w:tc>
          <w:tcPr>
            <w:tcW w:w="318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F69C082"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纵向组四周留存率 40%；独立组首次使用后继续进入下一任务的比例达到预实验设定阈值</w:t>
            </w:r>
          </w:p>
        </w:tc>
        <w:tc>
          <w:tcPr>
            <w:tcW w:w="1600"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70B0A8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修复新用户上手路径与首用价值</w:t>
            </w:r>
          </w:p>
        </w:tc>
      </w:tr>
    </w:tbl>
    <w:p w14:paraId="0BFC51A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表中数值不是既有研究结论，也不是已经验证的门槛，而是团队在预实验之前预设的待验证假设。左列为最低可接受值，用于判断机制是否还值得继续投入；右列为目标值，用于判断机制是否值得放大投入。两组数值将在预实验后按三步校准：先测量对照条件下的基线分布，再按分位数确定下限，最后结合样本量与效应量给出置信区间，避免把单次结果当成稳定结论。</w:t>
      </w:r>
    </w:p>
    <w:p w14:paraId="69D4C05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表中阈值是预实验前预设的判断标准，不是研究结论，也不是既有门槛。正式实验前依据预实验效应量做统计功效分析，据此确定各指标所需样本量，再把定性阈值收敛为具体数值。</w:t>
      </w:r>
    </w:p>
    <w:p w14:paraId="21E3B98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过度感知与过度自治的判定不能由开发者自行认定。判定依据是预先文档化的“完成任务最小充分信息集”与“最小必要执行档位”：由两名不参与研发的独立标注者对同一批任务样本独立标注，计算标注者一致率，不一致样本由第三方裁决并记录理由；标注一致率达到预设水平后，该指标才对外报告。</w:t>
      </w:r>
    </w:p>
    <w:p w14:paraId="385217F0" w14:textId="77777777" w:rsidR="00CE1A64" w:rsidRDefault="00000000">
      <w:pPr>
        <w:widowControl/>
        <w:spacing w:before="80" w:after="80" w:line="341" w:lineRule="auto"/>
        <w:ind w:firstLine="420"/>
        <w:jc w:val="both"/>
        <w:rPr>
          <w:rFonts w:hint="eastAsia"/>
          <w:lang w:eastAsia="zh-CN"/>
        </w:rPr>
      </w:pPr>
      <w:r>
        <w:rPr>
          <w:rFonts w:ascii="Aptos" w:hAnsi="Aptos" w:eastAsia="宋体"/>
          <w:color w:val="2C3339"/>
          <w:sz w:val="21"/>
          <w:lang w:eastAsia="zh-CN"/>
        </w:rPr>
        <w:t>注：判定数据来源包括任务日志、情境标注集、产品分析记录与试点合作材料。</w:t>
      </w:r>
    </w:p>
    <w:p w14:paraId="406D1121" w14:textId="77777777" w:rsidR="00CE1A64" w:rsidRDefault="00CE1A64">
      <w:pPr>
        <w:spacing w:after="20"/>
        <w:rPr>
          <w:rFonts w:hint="eastAsia"/>
          <w:lang w:eastAsia="zh-CN"/>
        </w:rPr>
      </w:pPr>
    </w:p>
    <w:p w14:paraId="3336E8A5"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第三章 产品方案与体验闭环</w:t>
      </w:r>
    </w:p>
    <w:p w14:paraId="5C87CA9F"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3.1 产品总体形态</w:t>
      </w:r>
    </w:p>
    <w:p w14:paraId="607516F1"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由一个统一入口和四个核心系统组成。统一入口承接键盘、拼音、自然语言、语音、选区和快捷指令；Context Engine 生成最小必要情境；Intent Router 判定自治程度、协作形态与执行位置，并给出审批要求；Execution Fabric 负责受控执行与按契约协作；Verification and Return 绑定证据、验收成果并把结果返回原始应用。</w:t>
      </w:r>
    </w:p>
    <w:p w14:paraId="06FE0BF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普通输入链路与智能体链路在架构上分离。常规键盘与拼音输入保持本地快速路径，不触发情境读取，也不调用模型，输入延迟与既有输入法一致；仅当用户通过专用快捷键、候选栏入口、选区指令或显式任务命令主动发起时，系统才建立意图胶囊并进入智能体执行流程。该设计用于避免误触发、控制隐私暴露面并保证打字链路的响应速度。</w:t>
      </w:r>
    </w:p>
    <w:p w14:paraId="5B1D081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首阶段以 Windows 桌面环境为主要验证平台，优先覆盖 Word、主流浏览器与主流 IDE，依托文本服务框架与 UI Automation 完成输入焦点识别、控件读写与成果回填；[27]其他桌面平台在核心机制验证完成后逐步适配，不对当前阶段作跨平台承诺。</w:t>
      </w:r>
    </w:p>
    <w:p w14:paraId="03CB8D7C" w14:textId="77777777" w:rsidR="00CE1A64" w:rsidRDefault="00000000">
      <w:pPr>
        <w:keepNext/>
        <w:spacing w:before="80" w:after="40"/>
        <w:ind w:left="0" w:firstLine="0"/>
        <w:jc w:val="center"/>
        <w:rPr>
          <w:rFonts w:hint="eastAsia"/>
        </w:rPr>
      </w:pPr>
      <w:r>
        <w:rPr>
          <w:noProof/>
        </w:rPr>
        <w:drawing>
          <wp:inline distT="0" distB="0" distL="0" distR="0" wp14:anchorId="4AF7D572" wp14:editId="20C441CB">
            <wp:extent cx="5742432" cy="3030728"/>
            <wp:effectExtent l="0" t="0" r="0" b="0"/>
            <wp:docPr id="5" name="Picture 5" descr="图 4 Cuttle 一个入口与四个核心系统" title="Cuttle 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architecture.png"/>
                    <pic:cNvPicPr/>
                  </pic:nvPicPr>
                  <pic:blipFill>
                    <a:blip r:embed="rId12"/>
                    <a:stretch>
                      <a:fillRect/>
                    </a:stretch>
                  </pic:blipFill>
                  <pic:spPr>
                    <a:xfrm>
                      <a:off x="0" y="0"/>
                      <a:ext cx="5742432" cy="3030728"/>
                    </a:xfrm>
                    <a:prstGeom prst="rect">
                      <a:avLst/>
                    </a:prstGeom>
                  </pic:spPr>
                </pic:pic>
              </a:graphicData>
            </a:graphic>
          </wp:inline>
        </w:drawing>
      </w:r>
    </w:p>
    <w:p w14:paraId="32FF7396"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图4</w:t>
      </w:r>
      <w:r>
        <w:rPr>
          <w:rFonts w:ascii="Aptos" w:hAnsi="Aptos" w:eastAsia="宋体"/>
          <w:color w:val="2C3339"/>
          <w:sz w:val="18"/>
        </w:rPr>
        <w:t xml:space="preserve">  Cuttle 一个入口与四个核心系统</w:t>
      </w:r>
    </w:p>
    <w:p w14:paraId="0D021B6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3.2 核心验证场景</w:t>
      </w:r>
    </w:p>
    <w:p w14:paraId="24E23D6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案例 A：跨来源资料到 Word 报告。用户在 Word 中写好材料标题后输入“按这些资料更新汇报口径”，系统识别文档结构与格式要求，调用检索、核验与写作流程，在目标文档中生成带来源标注与修改痕迹的内容，关键数字保留可追溯的证据链。</w:t>
      </w:r>
    </w:p>
    <w:p w14:paraId="165B2D81"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案例 B：IDE 错误到可验证差异。用户在 IDE 中输入“修复这个报错并测试”，系统读取错误信息与相关文件，生成计划并执行测试，返回可审阅差异、测试结果与回滚点。</w:t>
      </w:r>
    </w:p>
    <w:p w14:paraId="42ED7C7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一次完整任务包含六个步骤，用户在每个步骤都能看到系统正在做什么。以案例 A 为例：第一步，用户在 Word 的目标位置输入任务；第二步，系统识别任务边界并预览准备读取的资料范围，逐项列出网页、PDF、表格与文档来源；第三步，用户确认读取范围，或按应用与字段关闭其中任意一项；第四步，系统建立意图胶囊并执行取数与核验，过程中以状态条显示当前步骤、已用时间与预计剩余；第五步，遇到来源口径冲突或高风险动作时，系统暂停执行并请求确认，同时给出冲突双方的来源与差异；第六步，成果在需求产生的原位置生成，附带引用、修改痕迹与来源卡，用户可在原处直接审阅并继续编辑。</w:t>
      </w:r>
    </w:p>
    <w:p w14:paraId="2BCCA97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流程中的失败处理同样可见。执行中断时系统给出明确原因，并支持从最近检查点重试；无法自动完成的部分保留已完成结果与未解决问题的清单，由用户接管剩余步骤，不会因为中途失败而丢弃已经产生的成果。每份成果都保留从原始对象到最终结果的完整链路，用户可以逐条查看某个数字来自哪个文件、哪一页，以及是否经过人工修改。</w:t>
      </w:r>
    </w:p>
    <w:p w14:paraId="658DF19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低风险的文本表达、资料比较与格式整理沿用同一入口，但不作为核心验证场景；它们用于验证链路稳定性与用户留存，不用于证明项目的差异点。</w:t>
      </w:r>
    </w:p>
    <w:p w14:paraId="117A83B4" w14:textId="77777777" w:rsidR="00CE1A64" w:rsidRDefault="00CE1A64">
      <w:pPr>
        <w:spacing w:after="20"/>
        <w:rPr>
          <w:rFonts w:hint="eastAsia"/>
          <w:lang w:eastAsia="zh-CN"/>
        </w:rPr>
      </w:pPr>
    </w:p>
    <w:p w14:paraId="241B534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3.3 交互与执行决策</w:t>
      </w:r>
    </w:p>
    <w:p w14:paraId="475792AE"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用户的输入交给系统之后，由系统回答四个问题：这次请求需要多大的自治程度；需不需要拆给多个执行者协作；在哪个设备或环境执行；哪些动作必须由用户确认。界面上呈现这四类结果，用户面对的是具体的权限与执行信息，而不是一个抽象的层级数字。</w:t>
      </w:r>
    </w:p>
    <w:p w14:paraId="05A2F1A9" w14:textId="77777777" w:rsidR="00CE1A64" w:rsidRDefault="00000000">
      <w:pPr>
        <w:keepNext/>
        <w:spacing w:before="80" w:after="40"/>
        <w:ind w:left="0" w:firstLine="0"/>
        <w:jc w:val="center"/>
        <w:rPr>
          <w:rFonts w:hint="eastAsia"/>
        </w:rPr>
      </w:pPr>
      <w:r>
        <w:rPr>
          <w:noProof/>
        </w:rPr>
        <w:lastRenderedPageBreak/>
        <w:drawing>
          <wp:inline distT="0" distB="0" distL="0" distR="0" wp14:anchorId="241CD83F" wp14:editId="01A0B804">
            <wp:extent cx="5742432" cy="2615996"/>
            <wp:effectExtent l="0" t="0" r="0" b="0"/>
            <wp:docPr id="6" name="Picture 6" descr="图 5 从直接表达至多智能体协作的意图升级阶梯" title="Cuttle 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intent-escalation.png"/>
                    <pic:cNvPicPr/>
                  </pic:nvPicPr>
                  <pic:blipFill>
                    <a:blip r:embed="rId13"/>
                    <a:stretch>
                      <a:fillRect/>
                    </a:stretch>
                  </pic:blipFill>
                  <pic:spPr>
                    <a:xfrm>
                      <a:off x="0" y="0"/>
                      <a:ext cx="5742432" cy="2615996"/>
                    </a:xfrm>
                    <a:prstGeom prst="rect">
                      <a:avLst/>
                    </a:prstGeom>
                  </pic:spPr>
                </pic:pic>
              </a:graphicData>
            </a:graphic>
          </wp:inline>
        </w:drawing>
      </w:r>
    </w:p>
    <w:p w14:paraId="571D88B4"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图5</w:t>
      </w:r>
      <w:r>
        <w:rPr>
          <w:rFonts w:ascii="Aptos" w:hAnsi="Aptos" w:eastAsia="宋体"/>
          <w:color w:val="2C3339"/>
          <w:sz w:val="18"/>
        </w:rPr>
        <w:t xml:space="preserve">  三维决策：自治程度 · 协作形态 · 执行位置</w:t>
      </w:r>
    </w:p>
    <w:p w14:paraId="231256F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3.4 返回原处机制</w:t>
      </w:r>
    </w:p>
    <w:p w14:paraId="119EA84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Return to Origin 是产品完成闭环的关键。Word 中产生的任务返回为可审阅段落、批注或文档副本；聊天中产生的任务返回为候选回复，发送权仍由用户掌握；IDE 中产生的任务返回为差异、测试结果和回滚点。扩展场景下，跨设备任务返回为带状态与证据的任务卡。结果格式由原始应用、任务契约与风险等级共同决定。</w:t>
      </w:r>
    </w:p>
    <w:p w14:paraId="0EA9A8B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第四章 核心技术与创新机制</w:t>
      </w:r>
    </w:p>
    <w:p w14:paraId="1DBB66C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核心创新：不是更多的 Agent，而是让每一次自治升级都有情境边界、权限边界与返回锚点。</w:t>
      </w:r>
    </w:p>
    <w:p w14:paraId="3962AD6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4.1 核心创新一 意图胶囊与最小情境机制</w:t>
      </w:r>
    </w:p>
    <w:p w14:paraId="19A2D20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意图胶囊（Intent Capsule, IC）是本项目最具定义性的技术对象，也是面向任务生命周期的结构化中间表示：它把一次用户输入从一段自然语言，转换为有作用域、有生命周期、可校验、可失效的中间表示，供路由、执行与验证共用。情境计算领域对情境的定义与使用已有系统研究，本项目的最小情境设计遵循其中关于情境与任务相关的判断标准。[21][22]</w:t>
      </w:r>
      <w:r>
        <w:rPr>
          <w:rFonts w:ascii="Aptos" w:hAnsi="Aptos" w:eastAsia="宋体"/>
          <w:color w:val="2C3339"/>
          <w:sz w:val="21"/>
        </w:rPr>
        <w:t>之所以称为“胶囊”，是因为它把一次任务所需的六类信息像载荷一样封装进同一对象，并设置明确的读取边界与失效条件；后续模块只解封当前步骤所需字段，避免整段上下文无差别流转。</w:t>
      </w:r>
    </w:p>
    <w:p w14:paraId="165F7A2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六个字段分别是：意图 Intent，用户此刻明确要做什么；最小情境 Context，完成本任务所需的最少信息；来源位置 Origin，需求产生的应用、窗口、输入控件与对象；证据来源 Provenance，每条情境结论的来源与获取方式；时效 Freshness，有效期与失效条件；范围与同意边界 Scope，用户允许系统查看和使用什么。</w:t>
      </w:r>
    </w:p>
    <w:p w14:paraId="67DE2BC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字段信度（Confidence）是每个字段的元数据，用于标注该字段是否足以支撑自动执行，它本身不触发任何动作。动作风险取决于系统准备做什么，只能在生成执行计划时依据具体动作与目标对象判定，因此完全归策略引擎处理，不进入 IC。同一条意图在只读取文件与覆盖原文件两种计划下风险完全不同。</w:t>
      </w:r>
    </w:p>
    <w:p w14:paraId="5142EDB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Scope 定义系统可读取与可执行范围的权限上界，具体动作是否需要审批，则由策略引擎根据执行计划和目标对象动态判定。</w:t>
      </w:r>
    </w:p>
    <w:p w14:paraId="0FA6D06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现有桌面 Agent 在情境获取上通常面临三类问题：每次请求都要重新交代背景，因为工作台不在任务现场；情境读取没有边界，因为系统不知道读取是为了哪一件事；任务结束后上下文残留，因为没有失效条件。IC 用 Origin、Context、Freshness 三个字段分别对应解决，并把来源与权限边界写成可校验字段。</w:t>
      </w:r>
    </w:p>
    <w:p w14:paraId="0D953B5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IC 的评价对象是情境质量：来源绑定是否正确、最小情境是否漏读、是否多读、是否仍在使用已失效上下文、证据是否完整，以及用户是否需要重复交代背景。</w:t>
      </w:r>
    </w:p>
    <w:p w14:paraId="31111B45" w14:textId="77777777" w:rsidR="00CE1A64" w:rsidRDefault="00000000">
      <w:pPr>
        <w:keepNext/>
        <w:spacing w:before="80" w:after="40"/>
        <w:ind w:left="0" w:firstLine="0"/>
        <w:jc w:val="center"/>
        <w:rPr>
          <w:rFonts w:hint="eastAsia"/>
        </w:rPr>
      </w:pPr>
      <w:r>
        <w:rPr>
          <w:noProof/>
        </w:rPr>
        <w:lastRenderedPageBreak/>
        <w:drawing>
          <wp:inline distT="0" distB="0" distL="0" distR="0" wp14:anchorId="0DC01DBD" wp14:editId="1E419C8D">
            <wp:extent cx="5742432" cy="3141448"/>
            <wp:effectExtent l="0" t="0" r="0" b="0"/>
            <wp:docPr id="7" name="Picture 7" descr="图 6 意图胶囊的数据结构与可信属性" title="Cuttle 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intent-capsule.png"/>
                    <pic:cNvPicPr/>
                  </pic:nvPicPr>
                  <pic:blipFill>
                    <a:blip r:embed="rId14"/>
                    <a:stretch>
                      <a:fillRect/>
                    </a:stretch>
                  </pic:blipFill>
                  <pic:spPr>
                    <a:xfrm>
                      <a:off x="0" y="0"/>
                      <a:ext cx="5742432" cy="3141448"/>
                    </a:xfrm>
                    <a:prstGeom prst="rect">
                      <a:avLst/>
                    </a:prstGeom>
                  </pic:spPr>
                </pic:pic>
              </a:graphicData>
            </a:graphic>
          </wp:inline>
        </w:drawing>
      </w:r>
    </w:p>
    <w:p w14:paraId="784FEA2C"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图6</w:t>
      </w:r>
      <w:r>
        <w:rPr>
          <w:rFonts w:ascii="Aptos" w:hAnsi="Aptos" w:eastAsia="宋体"/>
          <w:color w:val="2C3339"/>
          <w:sz w:val="18"/>
        </w:rPr>
        <w:t xml:space="preserve">  意图胶囊 IC 的数据结构与可信属性</w:t>
      </w:r>
    </w:p>
    <w:p w14:paraId="2CD79E76" w14:textId="77777777" w:rsidR="00CE1A64" w:rsidRDefault="00000000" w:rsidP="00636982">
      <w:pPr>
        <w:keepNext/>
        <w:spacing w:before="60" w:after="120"/>
        <w:ind w:left="0" w:firstLine="0"/>
        <w:jc w:val="center"/>
        <w:rPr>
          <w:rFonts w:hint="eastAsia"/>
        </w:rPr>
      </w:pPr>
      <w:r>
        <w:rPr>
          <w:rFonts w:ascii="Aptos" w:hAnsi="Aptos" w:eastAsia="微软雅黑"/>
          <w:b/>
          <w:color w:val="B98A2F"/>
          <w:sz w:val="18"/>
        </w:rPr>
        <w:t>表3</w:t>
      </w:r>
      <w:r>
        <w:rPr>
          <w:rFonts w:ascii="Aptos" w:hAnsi="Aptos" w:eastAsia="宋体"/>
          <w:color w:val="2C3339"/>
          <w:sz w:val="18"/>
        </w:rPr>
        <w:t xml:space="preserve">  意图胶囊的字段定义</w:t>
      </w:r>
    </w:p>
    <w:tbl>
      <w:tblPr>
        <w:tblW w:w="9638" w:type="dxa"/>
        <w:jc w:val="center"/>
        <w:tblLayout w:type="autofit"/>
        <w:tblLook w:val="04A0" w:firstRow="1" w:lastRow="0" w:firstColumn="1" w:lastColumn="0" w:noHBand="0" w:noVBand="1"/>
      </w:tblPr>
      <w:tblGrid>
        <w:gridCol w:w="1928"/>
        <w:gridCol w:w="1928"/>
        <w:gridCol w:w="1928"/>
        <w:gridCol w:w="1928"/>
        <w:gridCol w:w="1926"/>
      </w:tblGrid>
      <w:tr w:rsidR="00CE1A64" w14:paraId="7CB6DFBC" w14:textId="77777777">
        <w:trPr>
          <w:cantSplit/>
          <w:trHeight w:hRule="atLeast"/>
          <w:tblHeader w:val="true"/>
          <w:jc w:val="center"/>
        </w:trPr>
        <w:tc>
          <w:tcPr>
            <w:tcW w:w="1928"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66E6CDBC" w14:textId="77777777" w:rsidR="00CE1A64" w:rsidRDefault="00000000">
            <w:pPr>
              <w:spacing w:after="0" w:line="269" w:lineRule="auto"/>
              <w:ind w:firstLine="0" w:left="0"/>
              <w:jc w:val="center"/>
              <w:rPr>
                <w:rFonts w:hint="eastAsia"/>
              </w:rPr>
            </w:pPr>
            <w:r>
              <w:rPr>
                <w:rFonts w:ascii="Aptos" w:hAnsi="Aptos" w:eastAsia="宋体"/>
                <w:b/>
                <w:color w:val="FFFFFF"/>
                <w:sz w:val="17"/>
              </w:rPr>
              <w:t>IC 字段</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F6FA054" w14:textId="77777777" w:rsidR="00CE1A64" w:rsidRDefault="00000000">
            <w:pPr>
              <w:spacing w:after="0" w:line="269" w:lineRule="auto"/>
              <w:ind w:firstLine="0" w:left="0"/>
              <w:jc w:val="center"/>
              <w:rPr>
                <w:rFonts w:hint="eastAsia"/>
              </w:rPr>
            </w:pPr>
            <w:r>
              <w:rPr>
                <w:rFonts w:ascii="Aptos" w:hAnsi="Aptos" w:eastAsia="宋体"/>
                <w:b/>
                <w:color w:val="FFFFFF"/>
                <w:sz w:val="17"/>
              </w:rPr>
              <w:t>含义</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8669A19" w14:textId="77777777" w:rsidR="00CE1A64" w:rsidRDefault="00000000">
            <w:pPr>
              <w:spacing w:after="0" w:line="269" w:lineRule="auto"/>
              <w:ind w:firstLine="0" w:left="0"/>
              <w:jc w:val="center"/>
              <w:rPr>
                <w:rFonts w:hint="eastAsia"/>
              </w:rPr>
            </w:pPr>
            <w:r>
              <w:rPr>
                <w:rFonts w:ascii="Aptos" w:hAnsi="Aptos" w:eastAsia="宋体"/>
                <w:b/>
                <w:color w:val="FFFFFF"/>
                <w:sz w:val="17"/>
              </w:rPr>
              <w:t>作用</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33273EB" w14:textId="77777777" w:rsidR="00CE1A64" w:rsidRDefault="00000000">
            <w:pPr>
              <w:spacing w:after="0" w:line="269" w:lineRule="auto"/>
              <w:ind w:firstLine="0" w:left="0"/>
              <w:jc w:val="center"/>
              <w:rPr>
                <w:rFonts w:hint="eastAsia"/>
              </w:rPr>
            </w:pPr>
            <w:r>
              <w:rPr>
                <w:rFonts w:ascii="Aptos" w:hAnsi="Aptos" w:eastAsia="宋体"/>
                <w:b/>
                <w:color w:val="FFFFFF"/>
                <w:sz w:val="17"/>
              </w:rPr>
              <w:t>失效事件</w:t>
            </w:r>
          </w:p>
        </w:tc>
        <w:tc>
          <w:tcPr>
            <w:tcW w:w="1926"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195D91C" w14:textId="77777777" w:rsidR="00CE1A64" w:rsidRDefault="00000000">
            <w:pPr>
              <w:spacing w:after="0" w:line="269" w:lineRule="auto"/>
              <w:ind w:firstLine="0" w:left="0"/>
              <w:jc w:val="center"/>
              <w:rPr>
                <w:rFonts w:hint="eastAsia"/>
              </w:rPr>
            </w:pPr>
            <w:r>
              <w:rPr>
                <w:rFonts w:ascii="Aptos" w:hAnsi="Aptos" w:eastAsia="宋体"/>
                <w:b/>
                <w:color w:val="FFFFFF"/>
                <w:sz w:val="17"/>
              </w:rPr>
              <w:t>用户控制</w:t>
            </w:r>
          </w:p>
        </w:tc>
      </w:tr>
      <w:tr w:rsidR="00CE1A64" w14:paraId="1550866F"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EB223F7" w14:textId="77777777" w:rsidR="00CE1A64" w:rsidRDefault="00000000">
            <w:pPr>
              <w:spacing w:after="0" w:line="269" w:lineRule="auto"/>
              <w:ind w:firstLine="0" w:left="0"/>
              <w:jc w:val="center"/>
              <w:rPr>
                <w:rFonts w:hint="eastAsia"/>
              </w:rPr>
            </w:pPr>
            <w:r>
              <w:rPr>
                <w:rFonts w:ascii="Aptos" w:hAnsi="Aptos" w:eastAsia="宋体"/>
                <w:b/>
                <w:color w:val="2C3339"/>
                <w:sz w:val="17"/>
              </w:rPr>
              <w:t>I — Intent</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1A6729" w14:textId="77777777" w:rsidR="00CE1A64" w:rsidRDefault="00000000">
            <w:pPr>
              <w:spacing w:after="0" w:line="269" w:lineRule="auto"/>
              <w:ind w:firstLine="0" w:left="0"/>
              <w:jc w:val="center"/>
              <w:rPr>
                <w:rFonts w:hint="eastAsia"/>
              </w:rPr>
            </w:pPr>
            <w:r>
              <w:rPr>
                <w:rFonts w:ascii="Aptos" w:hAnsi="Aptos" w:eastAsia="宋体"/>
                <w:b w:val="0"/>
                <w:color w:val="2C3339"/>
                <w:sz w:val="17"/>
              </w:rPr>
              <w:t>任务意图</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6F4851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记录用户目标与对象关系</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DA253C3" w14:textId="77777777" w:rsidR="00CE1A64" w:rsidRDefault="00000000">
            <w:pPr>
              <w:spacing w:after="0" w:line="269" w:lineRule="auto"/>
              <w:ind w:firstLine="0" w:left="0"/>
              <w:jc w:val="center"/>
              <w:rPr>
                <w:rFonts w:hint="eastAsia"/>
              </w:rPr>
            </w:pPr>
            <w:r>
              <w:rPr>
                <w:rFonts w:ascii="Aptos" w:hAnsi="Aptos" w:eastAsia="宋体"/>
                <w:b w:val="0"/>
                <w:color w:val="2C3339"/>
                <w:sz w:val="17"/>
              </w:rPr>
              <w:t>用户纠正、任务结束</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7745794" w14:textId="77777777" w:rsidR="00CE1A64" w:rsidRDefault="00000000">
            <w:pPr>
              <w:spacing w:after="0" w:line="269" w:lineRule="auto"/>
              <w:ind w:firstLine="0" w:left="0"/>
              <w:jc w:val="center"/>
              <w:rPr>
                <w:rFonts w:hint="eastAsia"/>
              </w:rPr>
            </w:pPr>
            <w:r>
              <w:rPr>
                <w:rFonts w:ascii="Aptos" w:hAnsi="Aptos" w:eastAsia="宋体"/>
                <w:b w:val="0"/>
                <w:color w:val="2C3339"/>
                <w:sz w:val="17"/>
              </w:rPr>
              <w:t>直接修改</w:t>
            </w:r>
          </w:p>
        </w:tc>
      </w:tr>
      <w:tr w:rsidR="00CE1A64" w14:paraId="7CDD9F4E"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D42169B" w14:textId="77777777" w:rsidR="00CE1A64" w:rsidRDefault="00000000">
            <w:pPr>
              <w:spacing w:after="0" w:line="269" w:lineRule="auto"/>
              <w:ind w:firstLine="0" w:left="0"/>
              <w:jc w:val="center"/>
              <w:rPr>
                <w:rFonts w:hint="eastAsia"/>
              </w:rPr>
            </w:pPr>
            <w:r>
              <w:rPr>
                <w:rFonts w:ascii="Aptos" w:hAnsi="Aptos" w:eastAsia="宋体"/>
                <w:b/>
                <w:color w:val="2C3339"/>
                <w:sz w:val="17"/>
              </w:rPr>
              <w:t>C — Context</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6A20AE" w14:textId="77777777" w:rsidR="00CE1A64" w:rsidRDefault="00000000">
            <w:pPr>
              <w:spacing w:after="0" w:line="269" w:lineRule="auto"/>
              <w:ind w:firstLine="0" w:left="0"/>
              <w:jc w:val="center"/>
              <w:rPr>
                <w:rFonts w:hint="eastAsia"/>
              </w:rPr>
            </w:pPr>
            <w:r>
              <w:rPr>
                <w:rFonts w:ascii="Aptos" w:hAnsi="Aptos" w:eastAsia="宋体"/>
                <w:b w:val="0"/>
                <w:color w:val="2C3339"/>
                <w:sz w:val="17"/>
              </w:rPr>
              <w:t>最小情境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174B46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只保留完成当前任务所需的最少信息</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539197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超出当前意图、任务结束</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A940DAD" w14:textId="77777777" w:rsidR="00CE1A64" w:rsidRDefault="00000000">
            <w:pPr>
              <w:spacing w:after="0" w:line="269" w:lineRule="auto"/>
              <w:ind w:firstLine="0" w:left="0"/>
              <w:jc w:val="center"/>
              <w:rPr>
                <w:rFonts w:hint="eastAsia"/>
              </w:rPr>
            </w:pPr>
            <w:r>
              <w:rPr>
                <w:rFonts w:ascii="Aptos" w:hAnsi="Aptos" w:eastAsia="宋体"/>
                <w:b w:val="0"/>
                <w:color w:val="2C3339"/>
                <w:sz w:val="17"/>
              </w:rPr>
              <w:t>按应用与字段关闭</w:t>
            </w:r>
          </w:p>
        </w:tc>
      </w:tr>
      <w:tr w:rsidR="00CE1A64" w14:paraId="4FD8419D"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5D355E08" w14:textId="77777777" w:rsidR="00CE1A64" w:rsidRDefault="00000000">
            <w:pPr>
              <w:spacing w:after="0" w:line="269" w:lineRule="auto"/>
              <w:ind w:firstLine="0" w:left="0"/>
              <w:jc w:val="center"/>
              <w:rPr>
                <w:rFonts w:hint="eastAsia"/>
              </w:rPr>
            </w:pPr>
            <w:r>
              <w:rPr>
                <w:rFonts w:ascii="Aptos" w:hAnsi="Aptos" w:eastAsia="宋体"/>
                <w:b/>
                <w:color w:val="2C3339"/>
                <w:sz w:val="17"/>
              </w:rPr>
              <w:t>O — Origin</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654BEB" w14:textId="77777777" w:rsidR="00CE1A64" w:rsidRDefault="00000000">
            <w:pPr>
              <w:spacing w:after="0" w:line="269" w:lineRule="auto"/>
              <w:ind w:firstLine="0" w:left="0"/>
              <w:jc w:val="center"/>
              <w:rPr>
                <w:rFonts w:hint="eastAsia"/>
              </w:rPr>
            </w:pPr>
            <w:r>
              <w:rPr>
                <w:rFonts w:ascii="Aptos" w:hAnsi="Aptos" w:eastAsia="宋体"/>
                <w:b w:val="0"/>
                <w:color w:val="2C3339"/>
                <w:sz w:val="17"/>
              </w:rPr>
              <w:t>来源位置</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01E6F9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标识当前应用、窗口、输入焦点与对象</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AAC6319" w14:textId="77777777" w:rsidR="00CE1A64" w:rsidRDefault="00000000">
            <w:pPr>
              <w:spacing w:after="0" w:line="269" w:lineRule="auto"/>
              <w:ind w:firstLine="0" w:left="0"/>
              <w:jc w:val="center"/>
              <w:rPr>
                <w:rFonts w:hint="eastAsia"/>
              </w:rPr>
            </w:pPr>
            <w:r>
              <w:rPr>
                <w:rFonts w:ascii="Aptos" w:hAnsi="Aptos" w:eastAsia="宋体"/>
                <w:b w:val="0"/>
                <w:color w:val="2C3339"/>
                <w:sz w:val="17"/>
              </w:rPr>
              <w:t>切换应用、关闭窗口</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262B575" w14:textId="77777777" w:rsidR="00CE1A64" w:rsidRDefault="00000000">
            <w:pPr>
              <w:spacing w:after="0" w:line="269" w:lineRule="auto"/>
              <w:ind w:firstLine="0" w:left="0"/>
              <w:jc w:val="center"/>
              <w:rPr>
                <w:rFonts w:hint="eastAsia"/>
              </w:rPr>
            </w:pPr>
            <w:r>
              <w:rPr>
                <w:rFonts w:ascii="Aptos" w:hAnsi="Aptos" w:eastAsia="宋体"/>
                <w:b w:val="0"/>
                <w:color w:val="2C3339"/>
                <w:sz w:val="17"/>
              </w:rPr>
              <w:t>查看、关闭感知</w:t>
            </w:r>
          </w:p>
        </w:tc>
      </w:tr>
      <w:tr w:rsidR="00CE1A64" w14:paraId="16837D2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365A0478" w14:textId="77777777" w:rsidR="00CE1A64" w:rsidRDefault="00000000">
            <w:pPr>
              <w:spacing w:after="0" w:line="269" w:lineRule="auto"/>
              <w:ind w:firstLine="0" w:left="0"/>
              <w:jc w:val="left"/>
              <w:rPr>
                <w:rFonts w:hint="eastAsia"/>
              </w:rPr>
            </w:pPr>
            <w:r>
              <w:rPr>
                <w:rFonts w:ascii="Aptos" w:hAnsi="Aptos" w:eastAsia="宋体"/>
                <w:b/>
                <w:color w:val="2C3339"/>
                <w:sz w:val="17"/>
              </w:rPr>
              <w:t>P — Provenance</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66A40AB" w14:textId="77777777" w:rsidR="00CE1A64" w:rsidRDefault="00000000">
            <w:pPr>
              <w:spacing w:after="0" w:line="269" w:lineRule="auto"/>
              <w:ind w:firstLine="0" w:left="0"/>
              <w:jc w:val="center"/>
              <w:rPr>
                <w:rFonts w:hint="eastAsia"/>
              </w:rPr>
            </w:pPr>
            <w:r>
              <w:rPr>
                <w:rFonts w:ascii="Aptos" w:hAnsi="Aptos" w:eastAsia="宋体"/>
                <w:b w:val="0"/>
                <w:color w:val="2C3339"/>
                <w:sz w:val="17"/>
              </w:rPr>
              <w:t>证据来源</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53FA82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记录每条情境结论的来源与获取方式</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621C2D2" w14:textId="77777777" w:rsidR="00CE1A64" w:rsidRDefault="00000000">
            <w:pPr>
              <w:spacing w:after="0" w:line="269" w:lineRule="auto"/>
              <w:ind w:firstLine="0" w:left="0"/>
              <w:jc w:val="center"/>
              <w:rPr>
                <w:rFonts w:hint="eastAsia"/>
              </w:rPr>
            </w:pPr>
            <w:r>
              <w:rPr>
                <w:rFonts w:ascii="Aptos" w:hAnsi="Aptos" w:eastAsia="宋体"/>
                <w:b w:val="0"/>
                <w:color w:val="2C3339"/>
                <w:sz w:val="17"/>
              </w:rPr>
              <w:t>来源变化、依赖失效</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3BBB0C" w14:textId="77777777" w:rsidR="00CE1A64" w:rsidRDefault="00000000">
            <w:pPr>
              <w:spacing w:after="0" w:line="269" w:lineRule="auto"/>
              <w:ind w:firstLine="0" w:left="0"/>
              <w:jc w:val="center"/>
              <w:rPr>
                <w:rFonts w:hint="eastAsia"/>
              </w:rPr>
            </w:pPr>
            <w:r>
              <w:rPr>
                <w:rFonts w:ascii="Aptos" w:hAnsi="Aptos" w:eastAsia="宋体"/>
                <w:b w:val="0"/>
                <w:color w:val="2C3339"/>
                <w:sz w:val="17"/>
              </w:rPr>
              <w:t>查看来源</w:t>
            </w:r>
          </w:p>
        </w:tc>
      </w:tr>
      <w:tr w:rsidR="00CE1A64" w14:paraId="1A6018A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D64E0B6" w14:textId="77777777" w:rsidR="00CE1A64" w:rsidRDefault="00000000">
            <w:pPr>
              <w:spacing w:after="0" w:line="269" w:lineRule="auto"/>
              <w:ind w:firstLine="0" w:left="0"/>
              <w:jc w:val="center"/>
              <w:rPr>
                <w:rFonts w:hint="eastAsia"/>
              </w:rPr>
            </w:pPr>
            <w:r>
              <w:rPr>
                <w:rFonts w:ascii="Aptos" w:hAnsi="Aptos" w:eastAsia="宋体"/>
                <w:b/>
                <w:color w:val="2C3339"/>
                <w:sz w:val="17"/>
              </w:rPr>
              <w:t>F — Freshness</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20D9204" w14:textId="77777777" w:rsidR="00CE1A64" w:rsidRDefault="00000000">
            <w:pPr>
              <w:spacing w:after="0" w:line="269" w:lineRule="auto"/>
              <w:ind w:firstLine="0" w:left="0"/>
              <w:jc w:val="center"/>
              <w:rPr>
                <w:rFonts w:hint="eastAsia"/>
              </w:rPr>
            </w:pPr>
            <w:r>
              <w:rPr>
                <w:rFonts w:ascii="Aptos" w:hAnsi="Aptos" w:eastAsia="宋体"/>
                <w:b w:val="0"/>
                <w:color w:val="2C3339"/>
                <w:sz w:val="17"/>
              </w:rPr>
              <w:t>时效</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DA76C82"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设定有效期与失效条件</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AFA94E3" w14:textId="77777777" w:rsidR="00CE1A64" w:rsidRDefault="00000000">
            <w:pPr>
              <w:spacing w:after="0" w:line="269" w:lineRule="auto"/>
              <w:ind w:firstLine="0" w:left="0"/>
              <w:jc w:val="center"/>
              <w:rPr>
                <w:rFonts w:hint="eastAsia"/>
              </w:rPr>
            </w:pPr>
            <w:r>
              <w:rPr>
                <w:rFonts w:ascii="Aptos" w:hAnsi="Aptos" w:eastAsia="宋体"/>
                <w:b w:val="0"/>
                <w:color w:val="2C3339"/>
                <w:sz w:val="17"/>
              </w:rPr>
              <w:t>超过期限、对象修改</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A2EA440" w14:textId="77777777" w:rsidR="00CE1A64" w:rsidRDefault="00000000">
            <w:pPr>
              <w:spacing w:after="0" w:line="269" w:lineRule="auto"/>
              <w:ind w:firstLine="0" w:left="0"/>
              <w:jc w:val="center"/>
              <w:rPr>
                <w:rFonts w:hint="eastAsia"/>
              </w:rPr>
            </w:pPr>
            <w:r>
              <w:rPr>
                <w:rFonts w:ascii="Aptos" w:hAnsi="Aptos" w:eastAsia="宋体"/>
                <w:b w:val="0"/>
                <w:color w:val="2C3339"/>
                <w:sz w:val="17"/>
              </w:rPr>
              <w:t>查看、手动失效</w:t>
            </w:r>
          </w:p>
        </w:tc>
      </w:tr>
      <w:tr w:rsidR="00CE1A64" w14:paraId="3F09CBAD" w14:textId="77777777">
        <w:trPr>
          <w:cantSplit/>
          <w:trHeight w:hRule="atLeast"/>
          <w:jc w:val="center"/>
        </w:trPr>
        <w:tc>
          <w:tcPr>
            <w:tcW w:w="1928"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39E5345" w14:textId="77777777" w:rsidR="00CE1A64" w:rsidRDefault="00000000">
            <w:pPr>
              <w:spacing w:after="0" w:line="269" w:lineRule="auto"/>
              <w:ind w:firstLine="0" w:left="0"/>
              <w:jc w:val="center"/>
              <w:rPr>
                <w:rFonts w:hint="eastAsia"/>
              </w:rPr>
            </w:pPr>
            <w:r>
              <w:rPr>
                <w:rFonts w:ascii="Aptos" w:hAnsi="Aptos" w:eastAsia="宋体"/>
                <w:b/>
                <w:color w:val="2C3339"/>
                <w:sz w:val="17"/>
              </w:rPr>
              <w:t>S — Scope</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ED7C66" w14:textId="77777777" w:rsidR="00CE1A64" w:rsidRDefault="00000000">
            <w:pPr>
              <w:spacing w:after="0" w:line="269" w:lineRule="auto"/>
              <w:ind w:firstLine="0" w:left="0"/>
              <w:jc w:val="center"/>
              <w:rPr>
                <w:rFonts w:hint="eastAsia"/>
              </w:rPr>
            </w:pPr>
            <w:r>
              <w:rPr>
                <w:rFonts w:ascii="Aptos" w:hAnsi="Aptos" w:eastAsia="宋体"/>
                <w:b w:val="0"/>
                <w:color w:val="2C3339"/>
                <w:sz w:val="17"/>
              </w:rPr>
              <w:t>授权范围</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0CA122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限定可读取范围与可执行范围，并记录同意边界</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260A8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授权变更、范围外读取请求</w:t>
            </w:r>
          </w:p>
        </w:tc>
        <w:tc>
          <w:tcPr>
            <w:tcW w:w="1926"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6E99A9"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确认、拒绝、撤回授权</w:t>
            </w:r>
          </w:p>
        </w:tc>
      </w:tr>
    </w:tbl>
    <w:p w14:paraId="75D7792C" w14:textId="77777777" w:rsidR="00CE1A64" w:rsidRDefault="00CE1A64">
      <w:pPr>
        <w:spacing w:after="20"/>
        <w:rPr>
          <w:rFonts w:hint="eastAsia"/>
          <w:lang w:eastAsia="zh-CN"/>
        </w:rPr>
      </w:pPr>
    </w:p>
    <w:p w14:paraId="6650783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4.2 核心创新二 三维任务决策与受控自治升级</w:t>
      </w:r>
    </w:p>
    <w:p w14:paraId="3820606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任务路由由自治程度、协作形态和执行位置三个相互独立的维度构成：自治程度取文本表达、工具调用、智能体执行三档；协作形态取单执行者与多执行者两档；执行位置取本地、云端、跨设备三档。三者在权限、能力与数据位置的约束下组合：数据不能离开本地的任务不路由到云端，权限不足的执行者不会被分配高风险动作。闭环的最后一步是成果以可审阅的形式返回需求产生的原位置，即 Return to Origin。</w:t>
      </w:r>
    </w:p>
    <w:p w14:paraId="4D1EE60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决策的输出是三维取值与策略引擎裁定的审批方式：无需确认、先预览、必须确认或直接拒绝。审批强度的判定沿用混合主动交互中关于自动化程度与用户介入时机的基本原则。[23]维度拆分的必要性可用一个例子说明：让手机读取一张照片，属于低自治、单执行者、跨设备，按单一层级会被高估为最高档；而多执行者阅读资料并只输出摘要的任务风险很低，其等级不应高于自动修改版本库的单执行者任务。</w:t>
      </w:r>
    </w:p>
    <w:p w14:paraId="356C2EA8"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决策的输入特征包括任务复杂度、动作可逆性、所需数据范围、工具需求、潜在并行性、结果可合并性与成本上限；判定执行位置时还需加入数据所在地、隐私敏感度、设备能力、网络条件、可信等级与延迟要求；这些特征可以从任务契约与情境字段中自动提取，因此决策过程可复现、可标注、可评测。与按任务类型分类的常见路由相比，三维决策同时给出上下文暴露范围、可用工具集、审批方式与成果回填形式四项授权结果。</w:t>
      </w:r>
    </w:p>
    <w:p w14:paraId="1246A3C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执行计划由规划与工具调用两类能力共同支撑：推理与行动交错的范式用于生成可解释的执行步骤，工具调用能力用于把步骤落到具体接口上。[13][14]当特征不确定性较高或动作不可逆时，系统采用保守决策原则：降低自治程度、维持单执行者、优先在数据所在位置执行，并要求用户确认，使过度升级率与高风险低估率同时可观测、可调参。执行失败时以反思式重试替代盲目重复，并把失败原因写入恢复记录。[15]</w:t>
      </w:r>
    </w:p>
    <w:p w14:paraId="3B05940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本项目定义的“升级”指任务自治等级的离散跃迁，包括文本表达、工具调用与智能体执行三个阶段；每一次跃迁都在同一任务生命周期内完成，可被审批，也可被撤销。</w:t>
      </w:r>
    </w:p>
    <w:p w14:paraId="600BE99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职责分离降低了单一模块自行扩大权限或完成越权操作的风险。输入入口只负责理解意图与路由，不直接持有高风险工具；Agent Core 负责规划与执行，但不能为自己扩大权限；审批系统独立判断，最终验证器依据任务契约检查结果。</w:t>
      </w:r>
    </w:p>
    <w:p w14:paraId="440D3007"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4.3 协作机制 版本化成果契约与自适应组队</w:t>
      </w:r>
    </w:p>
    <w:p w14:paraId="48F8652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协作机制以版本化成果契约为主。多执行者之间以契约接力而非自由对话传递状态：成果契约定义来源引用、输出类型与格式约定、版本号、修改内容、证据、验收条件、未解决问题、恢复点与责任执行者；下游只有在前置验收条件满足后才接收成果，上下文漂移与责任模糊因此表现为可检测的结构化偏差。</w:t>
      </w:r>
    </w:p>
    <w:p w14:paraId="7C4D05C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自适应组队用于执行效率优化。现有多智能体框架已能完成角色分工与对话式协作，但在协调开销、结果合并与责任归属上缺少结构化约束。[16][17]多执行者协作在多数任务上协调开销大于收益，因此系统默认单执行者，仅在预测收益为正时才考虑组队；判断依据是任务可并行性、结果可合并性与预计协调成本，并使用历史实测结果持续校准。若实测收益与事前判断长期不相关，项目将改为按任务模板静态指派。</w:t>
      </w:r>
    </w:p>
    <w:p w14:paraId="31E43648"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执行后的实测收益包括相对单执行者的质量变化、耗时变化、额外推理成本、结果冲突与合并失败次数，用于判定本次组队是否值得，并作为标签校准事前判断。</w:t>
      </w:r>
    </w:p>
    <w:p w14:paraId="1B03339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任务契约（Task Contract）约束任务目标、允许动作、验收条件与成本边界，是路由与执行的输入；成果契约（Artifact Contract）定义执行者之间的产物交接标准，包括来源引用、输出类型与格式约定、版本号、证据、验收条件、恢复点与责任执行者。两者作用于不同层次：任务契约约束任务如何执行，成果契约约束产物如何交接。</w:t>
      </w:r>
    </w:p>
    <w:p w14:paraId="64DFBE23" w14:textId="77777777" w:rsidR="00CE1A64" w:rsidRDefault="00CE1A64">
      <w:pPr>
        <w:spacing w:after="20"/>
        <w:rPr>
          <w:rFonts w:hint="eastAsia"/>
          <w:lang w:eastAsia="zh-CN"/>
        </w:rPr>
      </w:pPr>
    </w:p>
    <w:p w14:paraId="768E361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4.4 关键工程体系 返回原处与策略验证恢复</w:t>
      </w:r>
    </w:p>
    <w:p w14:paraId="48BD96A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返回原处、策略控制、结果验证与失败恢复共同构成两项核心创新的工程支撑体系。返回原处机制按原始应用、任务契约与动作风险，把成果转换为可审阅段落、批注、文档副本、回复候选、差异与回滚点等形态，并保留从原始对象到最终结果的可追溯链路；策略、验证与恢复体系负责审批独立、动作可回滚、失败可解释，并把每次执行转化为下一次决策的证据。</w:t>
      </w:r>
    </w:p>
    <w:p w14:paraId="2C49420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4.5 核心机制的扩展 跨设备能力节点</w:t>
      </w:r>
    </w:p>
    <w:p w14:paraId="1177240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在多设备环境下，现有意图协议与 Agent Runtime 可进一步扩展至跨设备执行。设备是带能力、数据位置、可信等级与在线状态的执行节点；调度器优先让任务在数据所在设备执行，只传递完成任务所</w:t>
      </w:r>
      <w:r>
        <w:rPr>
          <w:rFonts w:ascii="Aptos" w:hAnsi="Aptos" w:eastAsia="宋体"/>
          <w:color w:val="2C3339"/>
          <w:sz w:val="21"/>
          <w:lang w:eastAsia="zh-CN"/>
        </w:rPr>
        <w:lastRenderedPageBreak/>
        <w:t>需的摘要或成果，高风险动作需要目标设备本地确认。该扩展在第二阶段以验证为主，本轮不进入主产品路线。</w:t>
      </w:r>
    </w:p>
    <w:p w14:paraId="22AE8C7F"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4.6 核心机制验证</w:t>
      </w:r>
    </w:p>
    <w:p w14:paraId="1D509717"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表4</w:t>
      </w:r>
      <w:r>
        <w:rPr>
          <w:rFonts w:ascii="Aptos" w:hAnsi="Aptos" w:eastAsia="宋体"/>
          <w:color w:val="2C3339"/>
          <w:sz w:val="18"/>
        </w:rPr>
        <w:t xml:space="preserve">  三组对照实验与消融实验设计</w:t>
      </w:r>
    </w:p>
    <w:tbl>
      <w:tblPr>
        <w:tblW w:w="9638" w:type="dxa"/>
        <w:jc w:val="center"/>
        <w:tblLayout w:type="autofit"/>
        <w:tblLook w:val="04A0" w:firstRow="1" w:lastRow="0" w:firstColumn="1" w:lastColumn="0" w:noHBand="0" w:noVBand="1"/>
      </w:tblPr>
      <w:tblGrid>
        <w:gridCol w:w="2410"/>
        <w:gridCol w:w="2410"/>
        <w:gridCol w:w="2410"/>
        <w:gridCol w:w="2408"/>
      </w:tblGrid>
      <w:tr w:rsidR="00CE1A64" w14:paraId="1F39C902" w14:textId="77777777">
        <w:trPr>
          <w:cantSplit/>
          <w:trHeight w:hRule="atLeast"/>
          <w:tblHeader w:val="true"/>
          <w:jc w:val="center"/>
        </w:trPr>
        <w:tc>
          <w:tcPr>
            <w:tcW w:w="241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7C1149D" w14:textId="77777777" w:rsidR="00CE1A64" w:rsidRDefault="00000000">
            <w:pPr>
              <w:spacing w:after="0" w:line="269" w:lineRule="auto"/>
              <w:ind w:firstLine="0" w:left="0"/>
              <w:jc w:val="center"/>
              <w:rPr>
                <w:rFonts w:hint="eastAsia"/>
              </w:rPr>
            </w:pPr>
            <w:r>
              <w:rPr>
                <w:rFonts w:ascii="Aptos" w:hAnsi="Aptos" w:eastAsia="宋体"/>
                <w:b/>
                <w:color w:val="FFFFFF"/>
                <w:sz w:val="17"/>
              </w:rPr>
              <w:t>实验</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05409AEA" w14:textId="77777777" w:rsidR="00CE1A64" w:rsidRDefault="00000000">
            <w:pPr>
              <w:spacing w:after="0" w:line="269" w:lineRule="auto"/>
              <w:ind w:firstLine="0" w:left="0"/>
              <w:jc w:val="center"/>
              <w:rPr>
                <w:rFonts w:hint="eastAsia"/>
              </w:rPr>
            </w:pPr>
            <w:r>
              <w:rPr>
                <w:rFonts w:ascii="Aptos" w:hAnsi="Aptos" w:eastAsia="宋体"/>
                <w:b/>
                <w:color w:val="FFFFFF"/>
                <w:sz w:val="17"/>
              </w:rPr>
              <w:t>对照组</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1A83A840" w14:textId="77777777" w:rsidR="00CE1A64" w:rsidRDefault="00000000">
            <w:pPr>
              <w:spacing w:after="0" w:line="269" w:lineRule="auto"/>
              <w:ind w:firstLine="0" w:left="0"/>
              <w:jc w:val="center"/>
              <w:rPr>
                <w:rFonts w:hint="eastAsia"/>
              </w:rPr>
            </w:pPr>
            <w:r>
              <w:rPr>
                <w:rFonts w:ascii="Aptos" w:hAnsi="Aptos" w:eastAsia="宋体"/>
                <w:b/>
                <w:color w:val="FFFFFF"/>
                <w:sz w:val="17"/>
              </w:rPr>
              <w:t>处理组</w:t>
            </w:r>
          </w:p>
        </w:tc>
        <w:tc>
          <w:tcPr>
            <w:tcW w:w="240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7DA5D4A" w14:textId="77777777" w:rsidR="00CE1A64" w:rsidRDefault="00000000">
            <w:pPr>
              <w:spacing w:after="0" w:line="269" w:lineRule="auto"/>
              <w:ind w:firstLine="0" w:left="0"/>
              <w:jc w:val="center"/>
              <w:rPr>
                <w:rFonts w:hint="eastAsia"/>
              </w:rPr>
            </w:pPr>
            <w:r>
              <w:rPr>
                <w:rFonts w:ascii="Aptos" w:hAnsi="Aptos" w:eastAsia="宋体"/>
                <w:b/>
                <w:color w:val="FFFFFF"/>
                <w:sz w:val="17"/>
              </w:rPr>
              <w:t>主指标</w:t>
            </w:r>
          </w:p>
        </w:tc>
      </w:tr>
      <w:tr w:rsidR="00CE1A64" w14:paraId="106C1244"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6E12580" w14:textId="77777777" w:rsidR="00CE1A64" w:rsidRDefault="00000000">
            <w:pPr>
              <w:spacing w:after="0" w:line="269" w:lineRule="auto"/>
              <w:ind w:firstLine="0" w:left="0"/>
              <w:jc w:val="center"/>
              <w:rPr>
                <w:rFonts w:hint="eastAsia"/>
              </w:rPr>
            </w:pPr>
            <w:r>
              <w:rPr>
                <w:rFonts w:ascii="Aptos" w:hAnsi="Aptos" w:eastAsia="宋体"/>
                <w:b/>
                <w:color w:val="2C3339"/>
                <w:sz w:val="17"/>
              </w:rPr>
              <w:t>入口对照</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66855D4" w14:textId="77777777" w:rsidR="00CE1A64" w:rsidRDefault="00000000">
            <w:pPr>
              <w:spacing w:after="0" w:line="269" w:lineRule="auto"/>
              <w:ind w:firstLine="0" w:left="0"/>
              <w:jc w:val="left"/>
              <w:rPr>
                <w:rFonts w:hint="eastAsia"/>
              </w:rPr>
            </w:pPr>
            <w:r>
              <w:rPr>
                <w:rFonts w:ascii="Aptos" w:hAnsi="Aptos" w:eastAsia="宋体"/>
                <w:b w:val="0"/>
                <w:color w:val="2C3339"/>
                <w:sz w:val="17"/>
              </w:rPr>
              <w:t>独立 AI 工作台；全局快捷键 Agent</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BB14D93" w14:textId="77777777" w:rsidR="00CE1A64" w:rsidRDefault="00000000">
            <w:pPr>
              <w:spacing w:after="0" w:line="269" w:lineRule="auto"/>
              <w:ind w:firstLine="0" w:left="0"/>
              <w:jc w:val="left"/>
              <w:rPr>
                <w:rFonts w:hint="eastAsia"/>
              </w:rPr>
            </w:pPr>
            <w:r>
              <w:rPr>
                <w:rFonts w:ascii="Aptos" w:hAnsi="Aptos" w:eastAsia="宋体"/>
                <w:b w:val="0"/>
                <w:color w:val="2C3339"/>
                <w:sz w:val="17"/>
              </w:rPr>
              <w:t>输入焦点原生的 Cuttle</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BF9FD0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上下文重复说明次数、来源绑定准确率、发起步骤数、结果返回成本</w:t>
            </w:r>
          </w:p>
        </w:tc>
      </w:tr>
      <w:tr w:rsidR="00CE1A64" w14:paraId="00C442E1"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D057AB2" w14:textId="77777777" w:rsidR="00CE1A64" w:rsidRDefault="00000000">
            <w:pPr>
              <w:spacing w:after="0" w:line="269" w:lineRule="auto"/>
              <w:ind w:firstLine="0" w:left="0"/>
              <w:jc w:val="center"/>
              <w:rPr>
                <w:rFonts w:hint="eastAsia"/>
              </w:rPr>
            </w:pPr>
            <w:r>
              <w:rPr>
                <w:rFonts w:ascii="Aptos" w:hAnsi="Aptos" w:eastAsia="宋体"/>
                <w:b/>
                <w:color w:val="2C3339"/>
                <w:sz w:val="17"/>
              </w:rPr>
              <w:t>意图胶囊消融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40B6C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无情境传递；仅传递整屏内容</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BB118BC" w14:textId="77777777" w:rsidR="00CE1A64" w:rsidRDefault="00000000">
            <w:pPr>
              <w:spacing w:after="0" w:line="269" w:lineRule="auto"/>
              <w:ind w:firstLine="0" w:left="0"/>
              <w:jc w:val="center"/>
              <w:rPr>
                <w:rFonts w:hint="eastAsia"/>
              </w:rPr>
            </w:pPr>
            <w:r>
              <w:rPr>
                <w:rFonts w:ascii="Aptos" w:hAnsi="Aptos" w:eastAsia="宋体"/>
                <w:b w:val="0"/>
                <w:color w:val="2C3339"/>
                <w:sz w:val="17"/>
              </w:rPr>
              <w:t>完整 IC（六字段）</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40EA45C" w14:textId="77777777" w:rsidR="00CE1A64" w:rsidRDefault="00000000">
            <w:pPr>
              <w:spacing w:after="0" w:line="269" w:lineRule="auto"/>
              <w:ind w:firstLine="0" w:left="0"/>
              <w:jc w:val="left"/>
              <w:rPr>
                <w:rFonts w:hint="eastAsia"/>
              </w:rPr>
            </w:pPr>
            <w:r>
              <w:rPr>
                <w:rFonts w:ascii="Aptos" w:hAnsi="Aptos" w:eastAsia="宋体"/>
                <w:b w:val="0"/>
                <w:color w:val="2C3339"/>
                <w:sz w:val="17"/>
              </w:rPr>
              <w:t>Context Recall 与 Precision、来源绑定正确率、失效上下文误用率、情境过度读取率</w:t>
            </w:r>
          </w:p>
        </w:tc>
      </w:tr>
      <w:tr w:rsidR="00CE1A64" w14:paraId="2C60621E"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44662F8" w14:textId="77777777" w:rsidR="00CE1A64" w:rsidRDefault="00000000">
            <w:pPr>
              <w:spacing w:after="0" w:line="269" w:lineRule="auto"/>
              <w:ind w:firstLine="0" w:left="0"/>
              <w:jc w:val="center"/>
              <w:rPr>
                <w:rFonts w:hint="eastAsia"/>
              </w:rPr>
            </w:pPr>
            <w:r>
              <w:rPr>
                <w:rFonts w:ascii="Aptos" w:hAnsi="Aptos" w:eastAsia="宋体"/>
                <w:b/>
                <w:color w:val="2C3339"/>
                <w:sz w:val="17"/>
              </w:rPr>
              <w:t>自治决策消融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4F8489" w14:textId="77777777" w:rsidR="00CE1A64" w:rsidRDefault="00000000">
            <w:pPr>
              <w:spacing w:after="0" w:line="269" w:lineRule="auto"/>
              <w:ind w:firstLine="0" w:left="0"/>
              <w:jc w:val="left"/>
              <w:rPr>
                <w:rFonts w:hint="eastAsia"/>
              </w:rPr>
            </w:pPr>
            <w:r>
              <w:rPr>
                <w:rFonts w:ascii="Aptos" w:hAnsi="Aptos" w:eastAsia="宋体"/>
                <w:b w:val="0"/>
                <w:color w:val="2C3339"/>
                <w:sz w:val="17"/>
              </w:rPr>
              <w:t>所有任务固定为单 Agent 或固定档位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49C42D5"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三维判定加策略引擎审批</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9BCD5B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过度升级率、高风险低估率、单任务成本、端到端时延</w:t>
            </w:r>
          </w:p>
        </w:tc>
      </w:tr>
      <w:tr w:rsidR="00CE1A64" w14:paraId="485FA1AD"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8A0E40E" w14:textId="77777777" w:rsidR="00CE1A64" w:rsidRDefault="00000000">
            <w:pPr>
              <w:spacing w:after="0" w:line="269" w:lineRule="auto"/>
              <w:ind w:firstLine="0" w:left="0"/>
              <w:jc w:val="center"/>
              <w:rPr>
                <w:rFonts w:hint="eastAsia"/>
              </w:rPr>
            </w:pPr>
            <w:r>
              <w:rPr>
                <w:rFonts w:ascii="Aptos" w:hAnsi="Aptos" w:eastAsia="宋体"/>
                <w:b/>
                <w:color w:val="2C3339"/>
                <w:sz w:val="17"/>
              </w:rPr>
              <w:t>协作机制消融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F59A7A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固定多执行者且自由对话接力</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D8299B3"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版本化成果契约加阈值式组队</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64F398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净收益、冲突率、合并失败率、返工次数</w:t>
            </w:r>
          </w:p>
        </w:tc>
      </w:tr>
      <w:tr w:rsidR="00CE1A64" w14:paraId="116B85C9" w14:textId="77777777">
        <w:trPr>
          <w:cantSplit/>
          <w:trHeight w:hRule="atLeast"/>
          <w:jc w:val="center"/>
        </w:trPr>
        <w:tc>
          <w:tcPr>
            <w:tcW w:w="241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7CA4051" w14:textId="77777777" w:rsidR="00CE1A64" w:rsidRDefault="00000000">
            <w:pPr>
              <w:spacing w:after="0" w:line="269" w:lineRule="auto"/>
              <w:ind w:firstLine="0" w:left="0"/>
              <w:jc w:val="center"/>
              <w:rPr>
                <w:rFonts w:hint="eastAsia"/>
              </w:rPr>
            </w:pPr>
            <w:r>
              <w:rPr>
                <w:rFonts w:ascii="Aptos" w:hAnsi="Aptos" w:eastAsia="宋体"/>
                <w:b/>
                <w:color w:val="2C3339"/>
                <w:sz w:val="17"/>
              </w:rPr>
              <w:t>安全授权消融</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122E6E" w14:textId="77777777" w:rsidR="00CE1A64" w:rsidRDefault="00000000">
            <w:pPr>
              <w:spacing w:after="0" w:line="269" w:lineRule="auto"/>
              <w:ind w:firstLine="0" w:left="0"/>
              <w:jc w:val="center"/>
              <w:rPr>
                <w:rFonts w:hint="eastAsia"/>
              </w:rPr>
            </w:pPr>
            <w:r>
              <w:rPr>
                <w:rFonts w:ascii="Aptos" w:hAnsi="Aptos" w:eastAsia="宋体"/>
                <w:b w:val="0"/>
                <w:color w:val="2C3339"/>
                <w:sz w:val="17"/>
              </w:rPr>
              <w:t>由 Agent 自主授权</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58C04FB" w14:textId="77777777" w:rsidR="00CE1A64" w:rsidRDefault="00000000">
            <w:pPr>
              <w:spacing w:after="0" w:line="269" w:lineRule="auto"/>
              <w:ind w:firstLine="0" w:left="0"/>
              <w:jc w:val="center"/>
              <w:rPr>
                <w:rFonts w:hint="eastAsia"/>
              </w:rPr>
            </w:pPr>
            <w:r>
              <w:rPr>
                <w:rFonts w:ascii="Aptos" w:hAnsi="Aptos" w:eastAsia="宋体"/>
                <w:b w:val="0"/>
                <w:color w:val="2C3339"/>
                <w:sz w:val="17"/>
              </w:rPr>
              <w:t>独立审批加最小权限</w:t>
            </w:r>
          </w:p>
        </w:tc>
        <w:tc>
          <w:tcPr>
            <w:tcW w:w="240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7A7F4E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越权拦截率、误审批率、禁止字段访问率</w:t>
            </w:r>
          </w:p>
        </w:tc>
      </w:tr>
    </w:tbl>
    <w:p w14:paraId="64F81C2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为保证三组对照的可比性，各组使用相同的模型版本、工具权限、任务材料与结果要求，仅改变任务入口与情境获取机制；实验采用同组内交叉设计并对顺序做平衡处理，以消除学习效应。任务套件的构建参照软件工程、网页操作与桌面环境三类公开评测的任务化设计方式，以真实任务而非合成样例作为评价对象。[18][19][20]</w:t>
      </w:r>
    </w:p>
    <w:p w14:paraId="1D5CDD7C" w14:textId="77777777" w:rsidR="00CE1A64" w:rsidRDefault="00CE1A64">
      <w:pPr>
        <w:spacing w:after="20"/>
        <w:rPr>
          <w:rFonts w:hint="eastAsia"/>
          <w:lang w:eastAsia="zh-CN"/>
        </w:rPr>
      </w:pPr>
    </w:p>
    <w:p w14:paraId="0EA9A54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第五章 安全伦理与数据治理</w:t>
      </w:r>
    </w:p>
    <w:p w14:paraId="1D37713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核心结论：安全边界写入产品结构而非依赖约定——敏感字段访问为 0，高风险动作独立审批，资金类操作不纳入可执行范围。</w:t>
      </w:r>
    </w:p>
    <w:p w14:paraId="72FEF038"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5.1 输入法场景的安全原则</w:t>
      </w:r>
    </w:p>
    <w:p w14:paraId="395278C0" w14:textId="77777777" w:rsidR="00CE1A64" w:rsidRDefault="00000000">
      <w:pPr>
        <w:widowControl/>
        <w:spacing w:line="341" w:lineRule="auto" w:after="80"/>
        <w:ind w:firstLine="420"/>
        <w:jc w:val="both"/>
        <w:rPr>
          <w:rFonts w:hint="eastAsia"/>
        </w:rPr>
      </w:pPr>
      <w:r>
        <w:rPr>
          <w:rFonts w:ascii="Aptos" w:hAnsi="Aptos" w:eastAsia="宋体"/>
          <w:color w:val="2C3339"/>
          <w:sz w:val="21"/>
          <w:lang w:eastAsia="zh-CN"/>
        </w:rPr>
        <w:t>输入法位于高频、全局且敏感的系统位置，因此 Cuttle 把安全边界写入产品结构，并额外把两个与本项目直接相关的风险作为专有指标管理：过度感知与过度自治。默认关闭不必要的情境读取；敏感窗口与密码字段自动停用；数据处理遵循最小必要、本地优先与目的限定；高风险动作必须经过独立审批；所有外部动作保留审计与恢复信息。个人信息处理遵循告知同意、最小范围和影响最小原则，并为用户提供查看、更正、删除与关闭能力。</w:t>
      </w:r>
      <w:r>
        <w:rPr>
          <w:rFonts w:ascii="Aptos" w:hAnsi="Aptos" w:eastAsia="宋体"/>
          <w:color w:val="2C3339"/>
          <w:sz w:val="21"/>
        </w:rPr>
        <w:t>[9][10][11]</w:t>
      </w:r>
    </w:p>
    <w:p w14:paraId="2BEF2083" w14:textId="77777777" w:rsidR="00CE1A64" w:rsidRDefault="00CE1A64">
      <w:pPr>
        <w:spacing w:after="20"/>
        <w:rPr>
          <w:rFonts w:hint="eastAsia"/>
        </w:rPr>
      </w:pPr>
    </w:p>
    <w:p w14:paraId="0FBF155D"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5.2 数据生命周期</w:t>
      </w:r>
    </w:p>
    <w:p w14:paraId="30A3471C"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采集前说明对象、用途、范围和保留时间，用户可按应用、字段和任务类型关闭感知。</w:t>
      </w:r>
    </w:p>
    <w:p w14:paraId="02EBCB1A"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处理时优先在本地完成；确需云模型时，只发送完成任务所需的最小片段，并在发送前展示范围。</w:t>
      </w:r>
    </w:p>
    <w:p w14:paraId="2ADB5453"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存储时区分临时情境、任务证据和长期技能，分别设置短时有效期、项目保留期和用户主动保存。</w:t>
      </w:r>
    </w:p>
    <w:p w14:paraId="3B3ED09E"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任务结束后自动让短时情境失效；用户可以导出、删除、清空和撤回授权。</w:t>
      </w:r>
    </w:p>
    <w:p w14:paraId="73D60D6B"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训练与分析默认不使用个人内容；匿名化统计与改进计划需单独授权。</w:t>
      </w:r>
    </w:p>
    <w:p w14:paraId="75CDC1C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5.3 安全控制与发布门槛</w:t>
      </w:r>
    </w:p>
    <w:p w14:paraId="718FA52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按动作影响范围划分四档风险，并对应不同的控制策略。风险分级与治理流程参照人工智能风险管理框架中的治理与度量要求，人机交互部分参照人机交互设计准则与以人为本的人工智能原则。[24][28][30]低风险包括补全、翻译与语气调整，由本地候选生成，用户可忽略，系统保留修改量记录；中风险包括读取选区与生成文档副本，系统显示读取范围并要求先预览，原件不被覆盖且操作可撤销；高风险包括写文件、执行命令与访问网络，必须经过独立审批，工具与路径受限定，并保留差异、日志与回滚点；发送消息、删除普通文件等动作要求二次确认并保留完整审计信息。支付、转账、密码输入及其他资金操作不纳入当前版本的可执行范围。</w:t>
      </w:r>
      <w:r>
        <w:rPr>
          <w:rFonts w:ascii="Aptos" w:hAnsi="Aptos" w:eastAsia="宋体"/>
          <w:color w:val="2C3339"/>
          <w:sz w:val="21"/>
          <w:lang w:eastAsia="zh-CN"/>
        </w:rPr>
        <w:br/>
      </w:r>
      <w:r>
        <w:rPr>
          <w:rFonts w:ascii="Aptos" w:hAnsi="Aptos" w:eastAsia="宋体"/>
          <w:color w:val="2C3339"/>
          <w:sz w:val="21"/>
          <w:lang w:eastAsia="zh-CN"/>
        </w:rPr>
        <w:lastRenderedPageBreak/>
        <w:t>在此基础上，项目把两个与输入法入口强相关的风险作为专有指标管理。禁止访问与读取过多属于不同性质的指标：禁止字段访问率针对明确标识的密码框与金融敏感字段，属于设计红线，取值为 0；情境过度读取率针对普通工作情境中读取了非必需数据，属于统计指标，目标低于 5%，两者依据不同的判定规则分别报告。</w:t>
      </w:r>
    </w:p>
    <w:p w14:paraId="2EC02D2D" w14:textId="77777777" w:rsidR="00CE1A64" w:rsidRDefault="00000000">
      <w:pPr>
        <w:keepNext/>
        <w:widowControl/>
        <w:spacing w:before="120" w:after="80" w:line="341" w:lineRule="auto"/>
        <w:ind w:firstLine="420"/>
        <w:jc w:val="both"/>
        <w:rPr>
          <w:rFonts w:hint="eastAsia"/>
          <w:lang w:eastAsia="zh-CN"/>
        </w:rPr>
      </w:pPr>
      <w:r>
        <w:rPr>
          <w:rFonts w:ascii="Aptos" w:hAnsi="Aptos" w:eastAsia="宋体"/>
          <w:b/>
          <w:color w:val="2C3339"/>
          <w:sz w:val="21"/>
          <w:lang w:eastAsia="zh-CN"/>
        </w:rPr>
        <w:t>安全指标分为设计红线、测试指标与生产事故指标三类。设计红线属于发布约束，高风险动作未经授权执行次数与明确敏感字段访问次数必须为 0。测试指标用于评估未知与边界场景下的泛化能力，包括伪装敏感字段漏检率不高于 1%、可逆任务恢复成功率不低于 90%、审批影响范围判断正确率不低于 95%。生产事故指标用于衡量上线后的实际运行情况，上线后的安全事件按事件等级、影响范围与处置时效单独记录，不与实验指标混合计算。</w:t>
      </w:r>
    </w:p>
    <w:p w14:paraId="1D91E700" w14:textId="77777777" w:rsidR="00CE1A64" w:rsidRDefault="00000000">
      <w:pPr>
        <w:keepNext/>
        <w:spacing w:before="60" w:after="120"/>
        <w:ind w:left="0" w:firstLine="0"/>
        <w:jc w:val="center"/>
        <w:rPr>
          <w:rFonts w:hint="eastAsia"/>
        </w:rPr>
      </w:pPr>
      <w:r>
        <w:rPr>
          <w:rFonts w:ascii="Aptos" w:hAnsi="Aptos" w:eastAsia="微软雅黑"/>
          <w:b/>
          <w:color w:val="B98A2F"/>
          <w:sz w:val="18"/>
        </w:rPr>
        <w:t>表5</w:t>
      </w:r>
      <w:r>
        <w:rPr>
          <w:rFonts w:ascii="Aptos" w:hAnsi="Aptos" w:eastAsia="宋体"/>
          <w:color w:val="2C3339"/>
          <w:sz w:val="18"/>
        </w:rPr>
        <w:t xml:space="preserve">  安全控制与发布门槛</w:t>
      </w:r>
    </w:p>
    <w:tbl>
      <w:tblPr>
        <w:tblW w:w="9638" w:type="dxa"/>
        <w:jc w:val="center"/>
        <w:tblLayout w:type="autofit"/>
        <w:tblLook w:val="04A0" w:firstRow="1" w:lastRow="0" w:firstColumn="1" w:lastColumn="0" w:noHBand="0" w:noVBand="1"/>
      </w:tblPr>
      <w:tblGrid>
        <w:gridCol w:w="2410"/>
        <w:gridCol w:w="2410"/>
        <w:gridCol w:w="2410"/>
        <w:gridCol w:w="2408"/>
      </w:tblGrid>
      <w:tr w:rsidR="00CE1A64" w14:paraId="149D2F5B" w14:textId="77777777">
        <w:trPr>
          <w:cantSplit/>
          <w:trHeight w:hRule="atLeast"/>
          <w:tblHeader w:val="true"/>
          <w:jc w:val="center"/>
        </w:trPr>
        <w:tc>
          <w:tcPr>
            <w:tcW w:w="241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0157A1B4" w14:textId="77777777" w:rsidR="00CE1A64" w:rsidRDefault="00000000">
            <w:pPr>
              <w:spacing w:after="0" w:line="269" w:lineRule="auto"/>
              <w:ind w:firstLine="0" w:left="0"/>
              <w:jc w:val="center"/>
              <w:rPr>
                <w:rFonts w:hint="eastAsia"/>
              </w:rPr>
            </w:pPr>
            <w:r>
              <w:rPr>
                <w:rFonts w:ascii="Aptos" w:hAnsi="Aptos" w:eastAsia="宋体"/>
                <w:b/>
                <w:color w:val="FFFFFF"/>
                <w:sz w:val="17"/>
              </w:rPr>
              <w:t>安全目标</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19E31A6F" w14:textId="77777777" w:rsidR="00CE1A64" w:rsidRDefault="00000000">
            <w:pPr>
              <w:spacing w:after="0" w:line="269" w:lineRule="auto"/>
              <w:ind w:firstLine="0" w:left="0"/>
              <w:jc w:val="center"/>
              <w:rPr>
                <w:rFonts w:hint="eastAsia"/>
              </w:rPr>
            </w:pPr>
            <w:r>
              <w:rPr>
                <w:rFonts w:ascii="Aptos" w:hAnsi="Aptos" w:eastAsia="宋体"/>
                <w:b/>
                <w:color w:val="FFFFFF"/>
                <w:sz w:val="17"/>
              </w:rPr>
              <w:t>指标</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879D5F7" w14:textId="77777777" w:rsidR="00CE1A64" w:rsidRDefault="00000000">
            <w:pPr>
              <w:spacing w:after="0" w:line="269" w:lineRule="auto"/>
              <w:ind w:firstLine="0" w:left="0"/>
              <w:jc w:val="center"/>
              <w:rPr>
                <w:rFonts w:hint="eastAsia"/>
              </w:rPr>
            </w:pPr>
            <w:r>
              <w:rPr>
                <w:rFonts w:ascii="Aptos" w:hAnsi="Aptos" w:eastAsia="宋体"/>
                <w:b/>
                <w:color w:val="FFFFFF"/>
                <w:sz w:val="17"/>
              </w:rPr>
              <w:t>阶段门槛</w:t>
            </w:r>
          </w:p>
        </w:tc>
        <w:tc>
          <w:tcPr>
            <w:tcW w:w="240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5122834" w14:textId="77777777" w:rsidR="00CE1A64" w:rsidRDefault="00000000">
            <w:pPr>
              <w:spacing w:after="0" w:line="269" w:lineRule="auto"/>
              <w:ind w:firstLine="0" w:left="0"/>
              <w:jc w:val="center"/>
              <w:rPr>
                <w:rFonts w:hint="eastAsia"/>
              </w:rPr>
            </w:pPr>
            <w:r>
              <w:rPr>
                <w:rFonts w:ascii="Aptos" w:hAnsi="Aptos" w:eastAsia="宋体"/>
                <w:b/>
                <w:color w:val="FFFFFF"/>
                <w:sz w:val="17"/>
              </w:rPr>
              <w:t>不达标处理</w:t>
            </w:r>
          </w:p>
        </w:tc>
      </w:tr>
      <w:tr w:rsidR="00CE1A64" w14:paraId="27CCD7DA"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D2E6F14" w14:textId="77777777" w:rsidR="00CE1A64" w:rsidRDefault="00000000">
            <w:pPr>
              <w:spacing w:after="0" w:line="269" w:lineRule="auto"/>
              <w:ind w:firstLine="0" w:left="0"/>
              <w:jc w:val="center"/>
              <w:rPr>
                <w:rFonts w:hint="eastAsia"/>
              </w:rPr>
            </w:pPr>
            <w:r>
              <w:rPr>
                <w:rFonts w:ascii="Aptos" w:hAnsi="Aptos" w:eastAsia="宋体"/>
                <w:b/>
                <w:color w:val="2C3339"/>
                <w:sz w:val="17"/>
              </w:rPr>
              <w:t>未经授权不执行</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96834D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高风险动作未授权执行次数</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DC12A5A" w14:textId="77777777" w:rsidR="00CE1A64" w:rsidRDefault="00000000">
            <w:pPr>
              <w:spacing w:after="0" w:line="269" w:lineRule="auto"/>
              <w:ind w:firstLine="0" w:left="0"/>
              <w:jc w:val="center"/>
              <w:rPr>
                <w:rFonts w:hint="eastAsia"/>
              </w:rPr>
            </w:pPr>
            <w:r>
              <w:rPr>
                <w:rFonts w:ascii="Aptos" w:hAnsi="Aptos" w:eastAsia="宋体"/>
                <w:b w:val="0"/>
                <w:color w:val="2C3339"/>
                <w:sz w:val="17"/>
              </w:rPr>
              <w:t>必须为 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6828249" w14:textId="77777777" w:rsidR="00CE1A64" w:rsidRDefault="00000000">
            <w:pPr>
              <w:spacing w:after="0" w:line="269" w:lineRule="auto"/>
              <w:ind w:firstLine="0" w:left="0"/>
              <w:jc w:val="center"/>
              <w:rPr>
                <w:rFonts w:hint="eastAsia"/>
              </w:rPr>
            </w:pPr>
            <w:r>
              <w:rPr>
                <w:rFonts w:ascii="Aptos" w:hAnsi="Aptos" w:eastAsia="宋体"/>
                <w:b w:val="0"/>
                <w:color w:val="2C3339"/>
                <w:sz w:val="17"/>
              </w:rPr>
              <w:t>冻结发布并复盘</w:t>
            </w:r>
          </w:p>
        </w:tc>
      </w:tr>
      <w:tr w:rsidR="00CE1A64" w14:paraId="08E3B9A5"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8819BE9" w14:textId="77777777" w:rsidR="00CE1A64" w:rsidRDefault="00000000">
            <w:pPr>
              <w:spacing w:after="0" w:line="269" w:lineRule="auto"/>
              <w:ind w:firstLine="0" w:left="0"/>
              <w:jc w:val="center"/>
              <w:rPr>
                <w:rFonts w:hint="eastAsia"/>
              </w:rPr>
            </w:pPr>
            <w:r>
              <w:rPr>
                <w:rFonts w:ascii="Aptos" w:hAnsi="Aptos" w:eastAsia="宋体"/>
                <w:b/>
                <w:color w:val="2C3339"/>
                <w:sz w:val="17"/>
              </w:rPr>
              <w:t>禁止字段</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F47320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明确标识的密码框 支付确认 金融敏感字段访问率</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9581908" w14:textId="77777777" w:rsidR="00CE1A64" w:rsidRDefault="00000000">
            <w:pPr>
              <w:spacing w:after="0" w:line="269" w:lineRule="auto"/>
              <w:ind w:firstLine="0" w:left="0"/>
              <w:jc w:val="center"/>
              <w:rPr>
                <w:rFonts w:hint="eastAsia"/>
              </w:rPr>
            </w:pPr>
            <w:r>
              <w:rPr>
                <w:rFonts w:ascii="Aptos" w:hAnsi="Aptos" w:eastAsia="宋体"/>
                <w:b w:val="0"/>
                <w:color w:val="2C3339"/>
                <w:sz w:val="17"/>
              </w:rPr>
              <w:t>必须为 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3C5087F"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扩大系统级屏蔽并回归测试</w:t>
            </w:r>
          </w:p>
        </w:tc>
      </w:tr>
      <w:tr w:rsidR="00CE1A64" w14:paraId="7B688FD8"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355A9B0" w14:textId="77777777" w:rsidR="00CE1A64" w:rsidRDefault="00000000">
            <w:pPr>
              <w:spacing w:after="0" w:line="269" w:lineRule="auto"/>
              <w:ind w:firstLine="0" w:left="0"/>
              <w:jc w:val="center"/>
              <w:rPr>
                <w:rFonts w:hint="eastAsia"/>
              </w:rPr>
            </w:pPr>
            <w:r>
              <w:rPr>
                <w:rFonts w:ascii="Aptos" w:hAnsi="Aptos" w:eastAsia="宋体"/>
                <w:b/>
                <w:color w:val="2C3339"/>
                <w:sz w:val="17"/>
              </w:rPr>
              <w:t>情境过度读取</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5B880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普通工作情境中读取非必需数据的比例</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A7D3147" w14:textId="77777777" w:rsidR="00CE1A64" w:rsidRDefault="00000000">
            <w:pPr>
              <w:spacing w:after="0" w:line="269" w:lineRule="auto"/>
              <w:ind w:firstLine="0" w:left="0"/>
              <w:jc w:val="center"/>
              <w:rPr>
                <w:rFonts w:hint="eastAsia"/>
              </w:rPr>
            </w:pPr>
            <w:r>
              <w:rPr>
                <w:rFonts w:ascii="Aptos" w:hAnsi="Aptos" w:eastAsia="宋体"/>
                <w:b w:val="0"/>
                <w:color w:val="2C3339"/>
                <w:sz w:val="17"/>
              </w:rPr>
              <w:t>目标低于 5%</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FD8635D"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收缩读取范围 复核意图绑定</w:t>
            </w:r>
          </w:p>
        </w:tc>
      </w:tr>
      <w:tr w:rsidR="00CE1A64" w14:paraId="6D153F13"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5633FFC" w14:textId="77777777" w:rsidR="00CE1A64" w:rsidRDefault="00000000">
            <w:pPr>
              <w:spacing w:after="0" w:line="269" w:lineRule="auto"/>
              <w:ind w:firstLine="0" w:left="0"/>
              <w:jc w:val="center"/>
              <w:rPr>
                <w:rFonts w:hint="eastAsia"/>
              </w:rPr>
            </w:pPr>
            <w:r>
              <w:rPr>
                <w:rFonts w:ascii="Aptos" w:hAnsi="Aptos" w:eastAsia="宋体"/>
                <w:b/>
                <w:color w:val="2C3339"/>
                <w:sz w:val="17"/>
              </w:rPr>
              <w:t>自治过度升级</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9AA3C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执行档位高于用户意图所需的比例</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88EAAB" w14:textId="77777777" w:rsidR="00CE1A64" w:rsidRDefault="00000000">
            <w:pPr>
              <w:spacing w:after="0" w:line="269" w:lineRule="auto"/>
              <w:ind w:firstLine="0" w:left="0"/>
              <w:jc w:val="center"/>
              <w:rPr>
                <w:rFonts w:hint="eastAsia"/>
              </w:rPr>
            </w:pPr>
            <w:r>
              <w:rPr>
                <w:rFonts w:ascii="Aptos" w:hAnsi="Aptos" w:eastAsia="宋体"/>
                <w:b w:val="0"/>
                <w:color w:val="2C3339"/>
                <w:sz w:val="17"/>
              </w:rPr>
              <w:t>目标低于 10%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D9F8DF1"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强制回退档位 增加确认</w:t>
            </w:r>
          </w:p>
        </w:tc>
      </w:tr>
      <w:tr w:rsidR="00CE1A64" w14:paraId="29B392D2"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321A4BA" w14:textId="77777777" w:rsidR="00CE1A64" w:rsidRDefault="00000000">
            <w:pPr>
              <w:spacing w:after="0" w:line="269" w:lineRule="auto"/>
              <w:ind w:firstLine="0" w:left="0"/>
              <w:jc w:val="center"/>
              <w:rPr>
                <w:rFonts w:hint="eastAsia"/>
              </w:rPr>
            </w:pPr>
            <w:r>
              <w:rPr>
                <w:rFonts w:ascii="Aptos" w:hAnsi="Aptos" w:eastAsia="宋体"/>
                <w:b/>
                <w:color w:val="2C3339"/>
                <w:sz w:val="17"/>
              </w:rPr>
              <w:t>审批可理解</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CB951E8"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用户能正确判断影响范围</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C87FF0F" w14:textId="77777777" w:rsidR="00CE1A64" w:rsidRDefault="00000000">
            <w:pPr>
              <w:spacing w:after="0" w:line="269" w:lineRule="auto"/>
              <w:ind w:firstLine="0" w:left="0"/>
              <w:jc w:val="center"/>
              <w:rPr>
                <w:rFonts w:hint="eastAsia"/>
              </w:rPr>
            </w:pPr>
            <w:r>
              <w:rPr>
                <w:rFonts w:ascii="Aptos" w:hAnsi="Aptos" w:eastAsia="宋体"/>
                <w:b w:val="0"/>
                <w:color w:val="2C3339"/>
                <w:sz w:val="17"/>
              </w:rPr>
              <w:t>正确率不低于 95%</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850AAC1" w14:textId="77777777" w:rsidR="00CE1A64" w:rsidRDefault="00000000">
            <w:pPr>
              <w:spacing w:after="0" w:line="269" w:lineRule="auto"/>
              <w:ind w:firstLine="0" w:left="0"/>
              <w:jc w:val="center"/>
              <w:rPr>
                <w:rFonts w:hint="eastAsia"/>
              </w:rPr>
            </w:pPr>
            <w:r>
              <w:rPr>
                <w:rFonts w:ascii="Aptos" w:hAnsi="Aptos" w:eastAsia="宋体"/>
                <w:b w:val="0"/>
                <w:color w:val="2C3339"/>
                <w:sz w:val="17"/>
              </w:rPr>
              <w:t>重写说明与交互</w:t>
            </w:r>
          </w:p>
        </w:tc>
      </w:tr>
      <w:tr w:rsidR="00CE1A64" w14:paraId="2E2BE755"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9143A8F" w14:textId="77777777" w:rsidR="00CE1A64" w:rsidRDefault="00000000">
            <w:pPr>
              <w:spacing w:after="0" w:line="269" w:lineRule="auto"/>
              <w:ind w:firstLine="0" w:left="0"/>
              <w:jc w:val="center"/>
              <w:rPr>
                <w:rFonts w:hint="eastAsia"/>
              </w:rPr>
            </w:pPr>
            <w:r>
              <w:rPr>
                <w:rFonts w:ascii="Aptos" w:hAnsi="Aptos" w:eastAsia="宋体"/>
                <w:b/>
                <w:color w:val="2C3339"/>
                <w:sz w:val="17"/>
              </w:rPr>
              <w:t>失败可恢复</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8176999" w14:textId="77777777" w:rsidR="00CE1A64" w:rsidRDefault="00000000">
            <w:pPr>
              <w:spacing w:after="0" w:line="269" w:lineRule="auto"/>
              <w:ind w:firstLine="0" w:left="0"/>
              <w:jc w:val="center"/>
              <w:rPr>
                <w:rFonts w:hint="eastAsia"/>
              </w:rPr>
            </w:pPr>
            <w:r>
              <w:rPr>
                <w:rFonts w:ascii="Aptos" w:hAnsi="Aptos" w:eastAsia="宋体"/>
                <w:b w:val="0"/>
                <w:color w:val="2C3339"/>
                <w:sz w:val="17"/>
              </w:rPr>
              <w:t>可逆任务恢复成功率</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3AF0C4"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不低于 90%</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1337569" w14:textId="77777777" w:rsidR="00CE1A64" w:rsidRDefault="00000000">
            <w:pPr>
              <w:spacing w:after="0" w:line="269" w:lineRule="auto"/>
              <w:ind w:firstLine="0" w:left="0"/>
              <w:jc w:val="center"/>
              <w:rPr>
                <w:rFonts w:hint="eastAsia"/>
              </w:rPr>
            </w:pPr>
            <w:r>
              <w:rPr>
                <w:rFonts w:ascii="Aptos" w:hAnsi="Aptos" w:eastAsia="宋体"/>
                <w:b w:val="0"/>
                <w:color w:val="2C3339"/>
                <w:sz w:val="17"/>
              </w:rPr>
              <w:t>限制能力并补偿测试</w:t>
            </w:r>
          </w:p>
        </w:tc>
      </w:tr>
      <w:tr w:rsidR="00CE1A64" w14:paraId="2BAD5FE0" w14:textId="77777777">
        <w:trPr>
          <w:cantSplit/>
          <w:trHeight w:hRule="atLeast"/>
          <w:jc w:val="center"/>
        </w:trPr>
        <w:tc>
          <w:tcPr>
            <w:tcW w:w="241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5566578" w14:textId="77777777" w:rsidR="00CE1A64" w:rsidRDefault="00000000">
            <w:pPr>
              <w:spacing w:after="0" w:line="269" w:lineRule="auto"/>
              <w:ind w:firstLine="0" w:left="0"/>
              <w:jc w:val="center"/>
              <w:rPr>
                <w:rFonts w:hint="eastAsia"/>
              </w:rPr>
            </w:pPr>
            <w:r>
              <w:rPr>
                <w:rFonts w:ascii="Aptos" w:hAnsi="Aptos" w:eastAsia="宋体"/>
                <w:b/>
                <w:color w:val="2C3339"/>
                <w:sz w:val="17"/>
              </w:rPr>
              <w:t>证据可追溯</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E7F9DC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外部动作带来源与审计记录</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0D489C0" w14:textId="77777777" w:rsidR="00CE1A64" w:rsidRDefault="00000000">
            <w:pPr>
              <w:spacing w:after="0" w:line="269" w:lineRule="auto"/>
              <w:ind w:firstLine="0" w:left="0"/>
              <w:jc w:val="center"/>
              <w:rPr>
                <w:rFonts w:hint="eastAsia"/>
              </w:rPr>
            </w:pPr>
            <w:r>
              <w:rPr>
                <w:rFonts w:ascii="Aptos" w:hAnsi="Aptos" w:eastAsia="宋体"/>
                <w:b w:val="0"/>
                <w:color w:val="2C3339"/>
                <w:sz w:val="17"/>
              </w:rPr>
              <w:t>覆盖率 100%</w:t>
            </w:r>
          </w:p>
        </w:tc>
        <w:tc>
          <w:tcPr>
            <w:tcW w:w="240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4B555E7" w14:textId="77777777" w:rsidR="00CE1A64" w:rsidRDefault="00000000">
            <w:pPr>
              <w:spacing w:after="0" w:line="269" w:lineRule="auto"/>
              <w:ind w:firstLine="0" w:left="0"/>
              <w:jc w:val="center"/>
              <w:rPr>
                <w:rFonts w:hint="eastAsia"/>
              </w:rPr>
            </w:pPr>
            <w:r>
              <w:rPr>
                <w:rFonts w:ascii="Aptos" w:hAnsi="Aptos" w:eastAsia="宋体"/>
                <w:b w:val="0"/>
                <w:color w:val="2C3339"/>
                <w:sz w:val="17"/>
              </w:rPr>
              <w:t>阻止交付</w:t>
            </w:r>
          </w:p>
        </w:tc>
      </w:tr>
    </w:tbl>
    <w:p w14:paraId="3543EFD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两项专有指标的判定规则必须可复现：依据预先文档化的“完成任务最小充分信息集”与“最小必要执行档位”，由两名不参与研发的独立标注者独立标注，计算标注者一致率，不一致样本由第三方裁决并记录理由；一致率达到预设水平后该指标才对外报告。</w:t>
      </w:r>
    </w:p>
    <w:p w14:paraId="0A55C2D0" w14:textId="77777777" w:rsidR="00CE1A64" w:rsidRDefault="00CE1A64">
      <w:pPr>
        <w:spacing w:after="20"/>
        <w:rPr>
          <w:rFonts w:hint="eastAsia"/>
          <w:lang w:eastAsia="zh-CN"/>
        </w:rPr>
      </w:pPr>
    </w:p>
    <w:p w14:paraId="171F4AA8"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第六章 市场空间与竞争定位</w:t>
      </w:r>
    </w:p>
    <w:p w14:paraId="267FBF2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核心结论：首年规模由服务承载能力决定，不按市场规模推算；长期空间以公开行业数据作参照，随真实转化数据校准。</w:t>
      </w:r>
    </w:p>
    <w:p w14:paraId="0DD46CB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6.1 行业机会与目标市场</w:t>
      </w:r>
    </w:p>
    <w:p w14:paraId="295BA1DE"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中国互联网络信息中心第 57 次报告显示，截至 2025 年 12 月，我国生成式人工智能用户达到 6.02 亿人，普及率 42.8%；全国网民规模达到 11.25 亿人。[3] 工业和信息化部数据显示，2025 年我国软件业务收入 15.48 万亿元，信息技术服务收入同比增长 14.7%。[5] 随着生成式 AI 使用规模扩大，跨应用调用、权限控制和结果追溯等问题的重要性随之提升。</w:t>
      </w:r>
    </w:p>
    <w:p w14:paraId="3B5D7F0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需要 Cuttle 的岗位具有三个共同特征：信息来源跨越多个应用、结论需要标注出处、成果需要反复交付。运营、项目、咨询、研究、行政与产品岗位的日常工作正属于这一类，它们是目前最可能率先付费的个人用户；需要统一权限、审计与流程复用的中小团队与机构，则是团队许可的首批组织客户。</w:t>
      </w:r>
    </w:p>
    <w:p w14:paraId="0CDE8D3B"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首年不以宏观市场份额推算用户规模，而依据团队的产品验证与服务承载能力配置资源，将稳定服务规模控制在 200 人以内，并以真实试点数据逐步校准转化率、留存率与组织复制效率。中长期市场空间参考我国生成式人工智能用户规模（6.02 亿）、软件业务收入（15.48 万亿元）等公开数据，用于判断产品的长期扩展潜力。</w:t>
      </w:r>
    </w:p>
    <w:p w14:paraId="50DCBC91"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6.2 市场进入规模</w:t>
      </w:r>
    </w:p>
    <w:p w14:paraId="3F3ADFFE" w14:textId="77777777" w:rsidR="00CE1A64" w:rsidRDefault="00000000">
      <w:pPr>
        <w:keepNext/>
        <w:spacing w:before="80" w:after="40"/>
        <w:ind w:left="0" w:firstLine="0"/>
        <w:jc w:val="center"/>
        <w:rPr>
          <w:rFonts w:hint="eastAsia"/>
        </w:rPr>
      </w:pPr>
      <w:r>
        <w:rPr>
          <w:noProof/>
        </w:rPr>
        <w:drawing>
          <wp:inline distT="0" distB="0" distL="0" distR="0" wp14:anchorId="561F97BD" wp14:editId="150D0CEF">
            <wp:extent cx="5742432" cy="2711704"/>
            <wp:effectExtent l="0" t="0" r="0" b="0"/>
            <wp:docPr id="8" name="Picture 8" descr="图 7 Cuttle 市场规模与三年目标漏斗" title="Cuttle 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market-funnel.png"/>
                    <pic:cNvPicPr/>
                  </pic:nvPicPr>
                  <pic:blipFill>
                    <a:blip r:embed="rId15"/>
                    <a:stretch>
                      <a:fillRect/>
                    </a:stretch>
                  </pic:blipFill>
                  <pic:spPr>
                    <a:xfrm>
                      <a:off x="0" y="0"/>
                      <a:ext cx="5742432" cy="2711704"/>
                    </a:xfrm>
                    <a:prstGeom prst="rect">
                      <a:avLst/>
                    </a:prstGeom>
                  </pic:spPr>
                </pic:pic>
              </a:graphicData>
            </a:graphic>
          </wp:inline>
        </w:drawing>
      </w:r>
    </w:p>
    <w:p w14:paraId="50AFDA88"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图7</w:t>
      </w:r>
      <w:r>
        <w:rPr>
          <w:rFonts w:ascii="Aptos" w:hAnsi="Aptos" w:eastAsia="宋体"/>
          <w:color w:val="2C3339"/>
          <w:sz w:val="18"/>
        </w:rPr>
        <w:t xml:space="preserve">  第一年试点容量与验证容量测算</w:t>
      </w:r>
    </w:p>
    <w:p w14:paraId="055F634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lastRenderedPageBreak/>
        <w:t>首年容量依据研发、试点与服务承载能力配置，正式试点开始后由真实使用数据持续校准；若转化率低于预设下限，项目将缩小场景范围并重新测算。</w:t>
      </w:r>
    </w:p>
    <w:p w14:paraId="37708CC2"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表6</w:t>
      </w:r>
      <w:r>
        <w:rPr>
          <w:rFonts w:ascii="Aptos" w:hAnsi="Aptos" w:eastAsia="宋体"/>
          <w:color w:val="2C3339"/>
          <w:sz w:val="18"/>
        </w:rPr>
        <w:t xml:space="preserve">  首年验证容量与市场空间口径</w:t>
      </w:r>
    </w:p>
    <w:tbl>
      <w:tblPr>
        <w:tblW w:w="9638" w:type="dxa"/>
        <w:jc w:val="center"/>
        <w:tblLayout w:type="autofit"/>
        <w:tblLook w:val="04A0" w:firstRow="1" w:lastRow="0" w:firstColumn="1" w:lastColumn="0" w:noHBand="0" w:noVBand="1"/>
      </w:tblPr>
      <w:tblGrid>
        <w:gridCol w:w="2410"/>
        <w:gridCol w:w="2410"/>
        <w:gridCol w:w="2410"/>
        <w:gridCol w:w="2408"/>
      </w:tblGrid>
      <w:tr w:rsidR="00CE1A64" w14:paraId="2D2178BF" w14:textId="77777777">
        <w:trPr>
          <w:cantSplit/>
          <w:trHeight w:hRule="atLeast"/>
          <w:tblHeader w:val="true"/>
          <w:jc w:val="center"/>
        </w:trPr>
        <w:tc>
          <w:tcPr>
            <w:tcW w:w="2410"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3D4D2E1" w14:textId="77777777" w:rsidR="00CE1A64" w:rsidRDefault="00000000">
            <w:pPr>
              <w:spacing w:after="0" w:line="269" w:lineRule="auto"/>
              <w:ind w:firstLine="0" w:left="0"/>
              <w:jc w:val="center"/>
              <w:rPr>
                <w:rFonts w:hint="eastAsia"/>
              </w:rPr>
            </w:pPr>
            <w:r>
              <w:rPr>
                <w:rFonts w:ascii="Aptos" w:hAnsi="Aptos" w:eastAsia="宋体"/>
                <w:b/>
                <w:color w:val="FFFFFF"/>
                <w:sz w:val="17"/>
              </w:rPr>
              <w:t>口径</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6AAEADD" w14:textId="77777777" w:rsidR="00CE1A64" w:rsidRDefault="00000000">
            <w:pPr>
              <w:spacing w:after="0" w:line="269" w:lineRule="auto"/>
              <w:ind w:firstLine="0" w:left="0"/>
              <w:jc w:val="center"/>
              <w:rPr>
                <w:rFonts w:hint="eastAsia"/>
              </w:rPr>
            </w:pPr>
            <w:r>
              <w:rPr>
                <w:rFonts w:ascii="Aptos" w:hAnsi="Aptos" w:eastAsia="宋体"/>
                <w:b/>
                <w:color w:val="FFFFFF"/>
                <w:sz w:val="17"/>
              </w:rPr>
              <w:t>测算对象</w:t>
            </w:r>
          </w:p>
        </w:tc>
        <w:tc>
          <w:tcPr>
            <w:tcW w:w="2410"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2600F422" w14:textId="77777777" w:rsidR="00CE1A64" w:rsidRDefault="00000000">
            <w:pPr>
              <w:spacing w:after="0" w:line="269" w:lineRule="auto"/>
              <w:ind w:firstLine="0" w:left="0"/>
              <w:jc w:val="center"/>
              <w:rPr>
                <w:rFonts w:hint="eastAsia"/>
              </w:rPr>
            </w:pPr>
            <w:r>
              <w:rPr>
                <w:rFonts w:ascii="Aptos" w:hAnsi="Aptos" w:eastAsia="宋体"/>
                <w:b/>
                <w:color w:val="FFFFFF"/>
                <w:sz w:val="17"/>
              </w:rPr>
              <w:t>测算方式</w:t>
            </w:r>
          </w:p>
        </w:tc>
        <w:tc>
          <w:tcPr>
            <w:tcW w:w="240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0DA279A5" w14:textId="77777777" w:rsidR="00CE1A64" w:rsidRDefault="00000000">
            <w:pPr>
              <w:spacing w:after="0" w:line="269" w:lineRule="auto"/>
              <w:ind w:firstLine="0" w:left="0"/>
              <w:jc w:val="center"/>
              <w:rPr>
                <w:rFonts w:hint="eastAsia"/>
              </w:rPr>
            </w:pPr>
            <w:r>
              <w:rPr>
                <w:rFonts w:ascii="Aptos" w:hAnsi="Aptos" w:eastAsia="宋体"/>
                <w:b/>
                <w:color w:val="FFFFFF"/>
                <w:sz w:val="17"/>
              </w:rPr>
              <w:t>结果与用途</w:t>
            </w:r>
          </w:p>
        </w:tc>
      </w:tr>
      <w:tr w:rsidR="00CE1A64" w14:paraId="6E94F212"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8220E00" w14:textId="77777777" w:rsidR="00CE1A64" w:rsidRDefault="00000000">
            <w:pPr>
              <w:spacing w:after="0" w:line="269" w:lineRule="auto"/>
              <w:ind w:firstLine="0" w:left="0"/>
              <w:jc w:val="center"/>
              <w:rPr>
                <w:rFonts w:hint="eastAsia"/>
              </w:rPr>
            </w:pPr>
            <w:r>
              <w:rPr>
                <w:rFonts w:ascii="Aptos" w:hAnsi="Aptos" w:eastAsia="宋体"/>
                <w:b/>
                <w:color w:val="2C3339"/>
                <w:sz w:val="17"/>
              </w:rPr>
              <w:t>首年可交付容量</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D80154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团队可稳定服务并完整观察的用户数</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5BE1C3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按产品验证与服务承载能力配置，不按市场规模推算；首批试点以团队可直接触达的组织、合作单位与知识工作场景为来源</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94C48E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首年按不超过 200 名稳定用户配置服务能力，并以此约束付费用户规模</w:t>
            </w:r>
          </w:p>
        </w:tc>
      </w:tr>
      <w:tr w:rsidR="00CE1A64" w14:paraId="691D8279" w14:textId="77777777">
        <w:trPr>
          <w:cantSplit/>
          <w:trHeight w:hRule="atLeast"/>
          <w:jc w:val="center"/>
        </w:trPr>
        <w:tc>
          <w:tcPr>
            <w:tcW w:w="2410"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31792ED" w14:textId="77777777" w:rsidR="00CE1A64" w:rsidRDefault="00000000">
            <w:pPr>
              <w:spacing w:after="0" w:line="269" w:lineRule="auto"/>
              <w:ind w:firstLine="0" w:left="0"/>
              <w:jc w:val="center"/>
              <w:rPr>
                <w:rFonts w:hint="eastAsia"/>
              </w:rPr>
            </w:pPr>
            <w:r>
              <w:rPr>
                <w:rFonts w:ascii="Aptos" w:hAnsi="Aptos" w:eastAsia="宋体"/>
                <w:b/>
                <w:color w:val="2C3339"/>
                <w:sz w:val="17"/>
              </w:rPr>
              <w:t>验证与实验容量</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A6C67A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支撑对照实验与纵向观察的样本规模</w:t>
            </w:r>
          </w:p>
        </w:tc>
        <w:tc>
          <w:tcPr>
            <w:tcW w:w="2410"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BD0B46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纵向核心组 15 至 25 人全程跟踪；独立验证组另招 20 至 30 人</w:t>
            </w:r>
          </w:p>
        </w:tc>
        <w:tc>
          <w:tcPr>
            <w:tcW w:w="240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0A4B0C0"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50 至 80 人形成深度数据，其中 35 至 55 人进入正式实验</w:t>
            </w:r>
          </w:p>
        </w:tc>
      </w:tr>
      <w:tr w:rsidR="00CE1A64" w14:paraId="54E70B2B" w14:textId="77777777">
        <w:trPr>
          <w:cantSplit/>
          <w:trHeight w:hRule="atLeast"/>
          <w:jc w:val="center"/>
        </w:trPr>
        <w:tc>
          <w:tcPr>
            <w:tcW w:w="2410"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C235C29" w14:textId="77777777" w:rsidR="00CE1A64" w:rsidRDefault="00000000">
            <w:pPr>
              <w:spacing w:after="0" w:line="269" w:lineRule="auto"/>
              <w:ind w:firstLine="0" w:left="0"/>
              <w:jc w:val="center"/>
              <w:rPr>
                <w:rFonts w:hint="eastAsia"/>
              </w:rPr>
            </w:pPr>
            <w:r>
              <w:rPr>
                <w:rFonts w:ascii="Aptos" w:hAnsi="Aptos" w:eastAsia="宋体"/>
                <w:b/>
                <w:color w:val="2C3339"/>
                <w:sz w:val="17"/>
              </w:rPr>
              <w:t>中长期市场空间</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936291"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产品扩展潜力的参考量级</w:t>
            </w:r>
          </w:p>
        </w:tc>
        <w:tc>
          <w:tcPr>
            <w:tcW w:w="2410"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392E1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引用我国生成式人工智能用户规模、软件业务收入等公开统计数据作为行业背景</w:t>
            </w:r>
          </w:p>
        </w:tc>
        <w:tc>
          <w:tcPr>
            <w:tcW w:w="240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34A9106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用于判断长期扩展潜力，随试点转化率、留存率与复制效率持续校准</w:t>
            </w:r>
          </w:p>
        </w:tc>
      </w:tr>
    </w:tbl>
    <w:p w14:paraId="3EA462F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6.3 竞争格局</w:t>
      </w:r>
    </w:p>
    <w:p w14:paraId="4375584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输入法产品正在增加续写、帮写、润色、翻译与窗口跟随能力。搜狗输入法 2026 年更新已提供 AI 光标助手和多项 AI 帮写服务。[6]Wispr Flow 的 Context Awareness 会读取光标附近文本与活动应用，按场景调整转写与风格。[7]另一侧，Codex 与 MiMo Desktop 等工作台型产品已经提供长任务、多 Agent、技能与桌面执行能力。[8][12]现有产品分别强化输入表达或任务执行，Cuttle 的差异在于将输入焦点贯穿情境获取、执行、验证和结果返回。</w:t>
      </w:r>
    </w:p>
    <w:p w14:paraId="07C763C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按任务生命周期的六个环节（意图捕获、情境构建、受控执行、结果验证、返回原处、治理审计）比较，输入法产品在意图捕获与表达效率上领先，通用助手与工作台在受控执行与验证上更完整；在当前公开产品中，同时覆盖这六个环节并以输入焦点贯穿任务生命周期的完整方案仍较少见。Cuttle 因此将输入焦点、情境构建、受控执行、结果验证和原处返回作为统一产品链路，并以跨应用适配与可靠性积累作为差异化基础。</w:t>
      </w:r>
    </w:p>
    <w:p w14:paraId="074B5237" w14:textId="77777777" w:rsidR="00CE1A64" w:rsidRDefault="00000000">
      <w:pPr>
        <w:keepNext/>
        <w:spacing w:before="80" w:after="40"/>
        <w:ind w:left="0" w:firstLine="0"/>
        <w:jc w:val="center"/>
        <w:rPr>
          <w:rFonts w:hint="eastAsia"/>
        </w:rPr>
      </w:pPr>
      <w:r>
        <w:rPr>
          <w:noProof/>
        </w:rPr>
        <w:lastRenderedPageBreak/>
        <w:drawing>
          <wp:inline distT="0" distB="0" distL="0" distR="0" wp14:anchorId="30B5F1C2" wp14:editId="4F087D83">
            <wp:extent cx="5742432" cy="3589020"/>
            <wp:effectExtent l="0" t="0" r="0" b="0"/>
            <wp:docPr id="9" name="Picture 9" descr="图 8 主要产品的入口距离与任务闭环能力定位" title="Cuttle 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competition-map.png"/>
                    <pic:cNvPicPr/>
                  </pic:nvPicPr>
                  <pic:blipFill>
                    <a:blip r:embed="rId16"/>
                    <a:stretch>
                      <a:fillRect/>
                    </a:stretch>
                  </pic:blipFill>
                  <pic:spPr>
                    <a:xfrm>
                      <a:off x="0" y="0"/>
                      <a:ext cx="5742432" cy="3589020"/>
                    </a:xfrm>
                    <a:prstGeom prst="rect">
                      <a:avLst/>
                    </a:prstGeom>
                  </pic:spPr>
                </pic:pic>
              </a:graphicData>
            </a:graphic>
          </wp:inline>
        </w:drawing>
      </w:r>
    </w:p>
    <w:p w14:paraId="6F9DACB1"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图8</w:t>
      </w:r>
      <w:r>
        <w:rPr>
          <w:rFonts w:ascii="Aptos" w:hAnsi="Aptos" w:eastAsia="宋体"/>
          <w:color w:val="2C3339"/>
          <w:sz w:val="18"/>
        </w:rPr>
        <w:t xml:space="preserve">  主要产品在任务生命周期与执行治理深度上的定位</w:t>
      </w:r>
    </w:p>
    <w:p w14:paraId="0EF702A8" w14:textId="77777777" w:rsidR="00CE1A64" w:rsidRDefault="00CE1A64">
      <w:pPr>
        <w:spacing w:after="20"/>
        <w:rPr>
          <w:rFonts w:hint="eastAsia"/>
          <w:lang w:eastAsia="zh-CN"/>
        </w:rPr>
      </w:pPr>
    </w:p>
    <w:p w14:paraId="352DA05A"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6.4 核心竞争力</w:t>
      </w:r>
    </w:p>
    <w:p w14:paraId="326D74D0"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交互协议壁垒：意图胶囊与 Return to Origin 的跨应用适配体系。它由数据结构、失效规则、返回适配器与兼容性测试套件共同构成，单个应用内的体验容易被复制，跨应用的一致协议需要长期积累与反复回归验证。</w:t>
      </w:r>
    </w:p>
    <w:p w14:paraId="2C271A6B"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工程可靠性壁垒：权限、验证、恢复与兼容矩阵。包括独立审批、最小权限、失败回滚、审计留痕，以及可复现的兼容与安全测试集，这部分能力的价值随承载的真实任务量上升。</w:t>
      </w:r>
    </w:p>
    <w:p w14:paraId="732D3FF4"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经验数据：在用户授权前提下，团队逐步积累匿名化的任务类型、路由效果与失败模式，用于改进映射规则与阈值，不沉淀个人内容。</w:t>
      </w:r>
    </w:p>
    <w:p w14:paraId="29FB5F9D"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适配与实施积累：随着应用适配数量和真实任务量增加，兼容性测试、安全规则与实施经验可持续积累。</w:t>
      </w:r>
    </w:p>
    <w:p w14:paraId="2B8FDA23"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第七章 商业模式与市场进入</w:t>
      </w:r>
    </w:p>
    <w:p w14:paraId="48B02ADC"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7.1 商业模式</w:t>
      </w:r>
    </w:p>
    <w:p w14:paraId="296911F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前 18 个月聚焦个人专业版订阅与团队许可两种模式。免费版承担体验与传播，提供低风险表达与少量任务；个人专业版面向高频知识工作者，是收入的主要来源；团队版面向需要统一策略、审计与共享能力的组织。按实施路线，第一年确认个人订阅收入，团队许可收入自第二年起计入；第 19 至 24 个月在组织采购需求得到验证后启动首个私有部署项目。技能生态属于远期方向，前两年不设为独立收入来源。</w:t>
      </w:r>
    </w:p>
    <w:p w14:paraId="3EE2F49E" w14:textId="77777777" w:rsidR="00CE1A64" w:rsidRDefault="00CE1A64">
      <w:pPr>
        <w:spacing w:after="20"/>
        <w:rPr>
          <w:rFonts w:hint="eastAsia"/>
          <w:lang w:eastAsia="zh-CN"/>
        </w:rPr>
      </w:pPr>
    </w:p>
    <w:p w14:paraId="23CF1A9B"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7.2 市场进入路径</w:t>
      </w:r>
    </w:p>
    <w:p w14:paraId="5B3C718A" w14:textId="77777777" w:rsidR="00CE1A64" w:rsidRDefault="00000000">
      <w:pPr>
        <w:keepNext/>
        <w:spacing w:before="80" w:after="40"/>
        <w:ind w:left="0" w:firstLine="0"/>
        <w:jc w:val="center"/>
        <w:rPr>
          <w:rFonts w:hint="eastAsia"/>
        </w:rPr>
      </w:pPr>
      <w:r>
        <w:rPr>
          <w:noProof/>
        </w:rPr>
        <w:drawing>
          <wp:inline distT="0" distB="0" distL="0" distR="0" wp14:anchorId="13C3E2DC" wp14:editId="5CE2C459">
            <wp:extent cx="5742432" cy="2424582"/>
            <wp:effectExtent l="0" t="0" r="0" b="0"/>
            <wp:docPr id="10" name="Picture 10" descr="图 9 Cuttle 从校园任务到机构服务的市场进入路径" title="Cuttle 图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go-to-market.png"/>
                    <pic:cNvPicPr/>
                  </pic:nvPicPr>
                  <pic:blipFill>
                    <a:blip r:embed="rId17"/>
                    <a:stretch>
                      <a:fillRect/>
                    </a:stretch>
                  </pic:blipFill>
                  <pic:spPr>
                    <a:xfrm>
                      <a:off x="0" y="0"/>
                      <a:ext cx="5742432" cy="2424582"/>
                    </a:xfrm>
                    <a:prstGeom prst="rect">
                      <a:avLst/>
                    </a:prstGeom>
                  </pic:spPr>
                </pic:pic>
              </a:graphicData>
            </a:graphic>
          </wp:inline>
        </w:drawing>
      </w:r>
    </w:p>
    <w:p w14:paraId="38DCB50B"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图9</w:t>
      </w:r>
      <w:r>
        <w:rPr>
          <w:rFonts w:ascii="Aptos" w:hAnsi="Aptos" w:eastAsia="宋体"/>
          <w:color w:val="2C3339"/>
          <w:sz w:val="18"/>
        </w:rPr>
        <w:t xml:space="preserve">  Cuttle 从知识工作场景样板到团队许可与私有部署的市场进入路径</w:t>
      </w:r>
    </w:p>
    <w:p w14:paraId="061A2EC8"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一阶段围绕两条核心任务链形成试点样板：跨来源资料取数、口径核验到报告交付；代码问题到修改、测试与可审阅差异。每个试点围绕任务完成率、时间节省、安全理解与连续使用记录证据，并在不少于三个试点单位中验证复制条件。第二阶段以开源 SDK、技能模板与开发者案例扩大高价值用户。第三阶段依据真实采购需求提供团队许可与私有部署，合同范围绑定可交付能力、数据边界与支持成本。</w:t>
      </w:r>
    </w:p>
    <w:p w14:paraId="35816295"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7.3 获客、转化与留存</w:t>
      </w:r>
    </w:p>
    <w:p w14:paraId="3FAFC33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首用转化：用户在十分钟内完成一个低风险任务，理解系统能做什么和不能做什么，并把验证过的流程沉淀为个人技能，减少下一次重复说明。</w:t>
      </w:r>
    </w:p>
    <w:p w14:paraId="54E22EE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lastRenderedPageBreak/>
        <w:t>组织扩散：个人用户将验证过的流程带入所在团队与机构，先形成小范围试点，再进入部门采购流程。个人用户来自开发者社群与专业社区的内容传播、面向高频知识工作者的定向试点，以及可复用工作流模板的自然扩散，投入以内容与模板为主。</w:t>
      </w:r>
    </w:p>
    <w:p w14:paraId="042E977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留存诊断：区分新鲜感流失、任务价值不足、信任不足与兼容性问题，分别调整产品。</w:t>
      </w:r>
    </w:p>
    <w:p w14:paraId="0A7626AC"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用户持续使用后会积累已验证工作流、技能配置、审计记录与应用适配习惯，这些迁移成本构成续费基础。来源可追溯与审批记录因此写入产品结构，而不只作为合规要求。</w:t>
      </w:r>
    </w:p>
    <w:p w14:paraId="71B657EB"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7.4 从个人版到团队版的转化</w:t>
      </w:r>
    </w:p>
    <w:p w14:paraId="7B57BE7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个人专业版是团队许可的入口。成员在个人版中积累的工作流可以直接迁移为团队共享技能，团队版在此基础上增加成员管理、统一策略、审计记录与预算控制，解决个人工具无法覆盖的治理问题。销售方式相应确定：前期不设独立销售团队，由产品与运营成员直接对接试点团队，把服务过程中的共性问题沉淀为标准化交付流程，再逐步扩展到渠道合作。</w:t>
      </w:r>
    </w:p>
    <w:p w14:paraId="7033C5C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7.5 产品版本与单位经济</w:t>
      </w:r>
    </w:p>
    <w:p w14:paraId="0D386E8B"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表7</w:t>
      </w:r>
      <w:r>
        <w:rPr>
          <w:rFonts w:ascii="Aptos" w:hAnsi="Aptos" w:eastAsia="宋体"/>
          <w:color w:val="2C3339"/>
          <w:sz w:val="18"/>
        </w:rPr>
        <w:t xml:space="preserve">  产品版本、定价与单位经济</w:t>
      </w:r>
    </w:p>
    <w:p w14:paraId="48F583F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成本侧的规划假设为：本地模型承担补全、改写与情境整理等高频低成本任务；云端模型采用额度限制，超出部分按用量计费；重型智能体任务按月度额度或增量计费；团队与机构客户可以自带模型或 API。单用户模型成本的目标区间依据任务日志与用量记录持续校准，在评测数据形成之前按本表的规划假设处理。</w:t>
      </w:r>
    </w:p>
    <w:tbl>
      <w:tblPr>
        <w:tblW w:w="9638" w:type="dxa"/>
        <w:jc w:val="center"/>
        <w:tblLayout w:type="autofit"/>
        <w:tblLook w:val="04A0" w:firstRow="1" w:lastRow="0" w:firstColumn="1" w:lastColumn="0" w:noHBand="0" w:noVBand="1"/>
      </w:tblPr>
      <w:tblGrid>
        <w:gridCol w:w="1807"/>
        <w:gridCol w:w="2048"/>
        <w:gridCol w:w="2289"/>
        <w:gridCol w:w="1626"/>
        <w:gridCol w:w="1868"/>
      </w:tblGrid>
      <w:tr w:rsidR="00CE1A64" w14:paraId="16FFB1EC" w14:textId="77777777">
        <w:trPr>
          <w:cantSplit/>
          <w:trHeight w:hRule="atLeast"/>
          <w:tblHeader w:val="true"/>
          <w:jc w:val="center"/>
        </w:trPr>
        <w:tc>
          <w:tcPr>
            <w:tcW w:w="1807"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0DD480C9" w14:textId="77777777" w:rsidR="00CE1A64" w:rsidRDefault="00000000">
            <w:pPr>
              <w:spacing w:after="0" w:line="269" w:lineRule="auto"/>
              <w:ind w:firstLine="0" w:left="0"/>
              <w:jc w:val="center"/>
              <w:rPr>
                <w:rFonts w:hint="eastAsia"/>
              </w:rPr>
            </w:pPr>
            <w:r>
              <w:rPr>
                <w:rFonts w:ascii="Aptos" w:hAnsi="Aptos" w:eastAsia="宋体"/>
                <w:b/>
                <w:color w:val="FFFFFF"/>
                <w:sz w:val="17"/>
              </w:rPr>
              <w:t>产品版本</w:t>
            </w:r>
          </w:p>
        </w:tc>
        <w:tc>
          <w:tcPr>
            <w:tcW w:w="204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2C5D61A2" w14:textId="77777777" w:rsidR="00CE1A64" w:rsidRDefault="00000000">
            <w:pPr>
              <w:spacing w:after="0" w:line="269" w:lineRule="auto"/>
              <w:ind w:firstLine="0" w:left="0"/>
              <w:jc w:val="center"/>
              <w:rPr>
                <w:rFonts w:hint="eastAsia"/>
              </w:rPr>
            </w:pPr>
            <w:r>
              <w:rPr>
                <w:rFonts w:ascii="Aptos" w:hAnsi="Aptos" w:eastAsia="宋体"/>
                <w:b/>
                <w:color w:val="FFFFFF"/>
                <w:sz w:val="17"/>
              </w:rPr>
              <w:t>目标用户</w:t>
            </w:r>
          </w:p>
        </w:tc>
        <w:tc>
          <w:tcPr>
            <w:tcW w:w="2289"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157749B0" w14:textId="77777777" w:rsidR="00CE1A64" w:rsidRDefault="00000000">
            <w:pPr>
              <w:spacing w:after="0" w:line="269" w:lineRule="auto"/>
              <w:ind w:firstLine="0" w:left="0"/>
              <w:jc w:val="center"/>
              <w:rPr>
                <w:rFonts w:hint="eastAsia"/>
              </w:rPr>
            </w:pPr>
            <w:r>
              <w:rPr>
                <w:rFonts w:ascii="Aptos" w:hAnsi="Aptos" w:eastAsia="宋体"/>
                <w:b/>
                <w:color w:val="FFFFFF"/>
                <w:sz w:val="17"/>
              </w:rPr>
              <w:t>规划定价</w:t>
            </w:r>
          </w:p>
        </w:tc>
        <w:tc>
          <w:tcPr>
            <w:tcW w:w="1626"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1C52A381" w14:textId="77777777" w:rsidR="00CE1A64" w:rsidRDefault="00000000">
            <w:pPr>
              <w:spacing w:after="0" w:line="269" w:lineRule="auto"/>
              <w:ind w:firstLine="0" w:left="0"/>
              <w:jc w:val="center"/>
              <w:rPr>
                <w:rFonts w:hint="eastAsia"/>
              </w:rPr>
            </w:pPr>
            <w:r>
              <w:rPr>
                <w:rFonts w:ascii="Aptos" w:hAnsi="Aptos" w:eastAsia="宋体"/>
                <w:b/>
                <w:color w:val="FFFFFF"/>
                <w:sz w:val="17"/>
              </w:rPr>
              <w:t>成本与毛利假设</w:t>
            </w:r>
          </w:p>
        </w:tc>
        <w:tc>
          <w:tcPr>
            <w:tcW w:w="1868"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70" w:type="dxa"/>
              <w:bottom w:w="55" w:type="dxa"/>
              <w:right w:w="70" w:type="dxa"/>
              <w:start w:w="78" w:type="dxa"/>
              <w:end w:w="78" w:type="dxa"/>
            </w:tcMar>
            <w:vAlign w:val="center"/>
          </w:tcPr>
          <w:p w14:paraId="2957590B" w14:textId="77777777" w:rsidR="00CE1A64" w:rsidRDefault="00000000">
            <w:pPr>
              <w:spacing w:after="0" w:line="269" w:lineRule="auto"/>
              <w:ind w:firstLine="0" w:left="0"/>
              <w:jc w:val="center"/>
              <w:rPr>
                <w:rFonts w:hint="eastAsia"/>
              </w:rPr>
            </w:pPr>
            <w:r>
              <w:rPr>
                <w:rFonts w:ascii="Aptos" w:hAnsi="Aptos" w:eastAsia="宋体"/>
                <w:b/>
                <w:color w:val="FFFFFF"/>
                <w:sz w:val="17"/>
              </w:rPr>
              <w:t>验证状态</w:t>
            </w:r>
          </w:p>
        </w:tc>
      </w:tr>
      <w:tr w:rsidR="00CE1A64" w14:paraId="5A976176"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6A5963AD" w14:textId="77777777" w:rsidR="00CE1A64" w:rsidRDefault="00000000">
            <w:pPr>
              <w:spacing w:after="0" w:line="269" w:lineRule="auto"/>
              <w:ind w:firstLine="0" w:left="0"/>
              <w:jc w:val="center"/>
              <w:rPr>
                <w:rFonts w:hint="eastAsia"/>
              </w:rPr>
            </w:pPr>
            <w:r>
              <w:rPr>
                <w:rFonts w:ascii="Aptos" w:hAnsi="Aptos" w:eastAsia="宋体"/>
                <w:b/>
                <w:color w:val="2C3339"/>
                <w:sz w:val="17"/>
              </w:rPr>
              <w:t>个人免费版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0251E5DA" w14:textId="77777777" w:rsidR="00CE1A64" w:rsidRDefault="00000000">
            <w:pPr>
              <w:spacing w:after="0" w:line="269" w:lineRule="auto"/>
              <w:ind w:firstLine="0" w:left="0"/>
              <w:jc w:val="center"/>
              <w:rPr>
                <w:rFonts w:hint="eastAsia"/>
              </w:rPr>
            </w:pPr>
            <w:r>
              <w:rPr>
                <w:rFonts w:ascii="Aptos" w:hAnsi="Aptos" w:eastAsia="宋体"/>
                <w:b w:val="0"/>
                <w:color w:val="2C3339"/>
                <w:sz w:val="17"/>
              </w:rPr>
              <w:t>轻度用户与新用户</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AEB954B" w14:textId="77777777" w:rsidR="00CE1A64" w:rsidRDefault="00000000">
            <w:pPr>
              <w:spacing w:after="0" w:line="269" w:lineRule="auto"/>
              <w:ind w:firstLine="0" w:left="0"/>
              <w:jc w:val="center"/>
              <w:rPr>
                <w:rFonts w:hint="eastAsia"/>
              </w:rPr>
            </w:pPr>
            <w:r>
              <w:rPr>
                <w:rFonts w:ascii="Aptos" w:hAnsi="Aptos" w:eastAsia="宋体"/>
                <w:b w:val="0"/>
                <w:color w:val="2C3339"/>
                <w:sz w:val="17"/>
              </w:rPr>
              <w:t>免费</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ACB2175"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模型成本由预算上限控制</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DCF73B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获客与验证；以试用转化率与成本上限约束</w:t>
            </w:r>
          </w:p>
        </w:tc>
      </w:tr>
      <w:tr w:rsidR="00CE1A64" w14:paraId="6F06E2C8"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C82E339" w14:textId="77777777" w:rsidR="00CE1A64" w:rsidRDefault="00000000">
            <w:pPr>
              <w:spacing w:after="0" w:line="269" w:lineRule="auto"/>
              <w:ind w:firstLine="0" w:left="0"/>
              <w:jc w:val="center"/>
              <w:rPr>
                <w:rFonts w:hint="eastAsia"/>
              </w:rPr>
            </w:pPr>
            <w:r>
              <w:rPr>
                <w:rFonts w:ascii="Aptos" w:hAnsi="Aptos" w:eastAsia="宋体"/>
                <w:b/>
                <w:color w:val="2C3339"/>
                <w:sz w:val="17"/>
              </w:rPr>
              <w:t>个人专业版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44540F7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运营、项目、咨询、研究、行政、开发等高频知识工作者</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7E261E8" w14:textId="77777777" w:rsidR="00CE1A64" w:rsidRDefault="00000000">
            <w:pPr>
              <w:spacing w:after="0" w:line="269" w:lineRule="auto"/>
              <w:ind w:firstLine="0" w:left="0"/>
              <w:jc w:val="center"/>
              <w:rPr>
                <w:rFonts w:hint="eastAsia"/>
              </w:rPr>
            </w:pPr>
            <w:r>
              <w:rPr>
                <w:rFonts w:ascii="Aptos" w:hAnsi="Aptos" w:eastAsia="宋体"/>
                <w:b w:val="0"/>
                <w:color w:val="2C3339"/>
                <w:sz w:val="17"/>
              </w:rPr>
              <w:t>240 元每年</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2D2F006"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模型与支持成本约 60 元每人，毛利率约 75%</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214F01D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主收入方式；年费价位须经 20 份定价访谈与真实付费验证</w:t>
            </w:r>
          </w:p>
        </w:tc>
      </w:tr>
      <w:tr w:rsidR="00CE1A64" w14:paraId="07EF3CE0"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63703A5" w14:textId="77777777" w:rsidR="00CE1A64" w:rsidRDefault="00000000">
            <w:pPr>
              <w:spacing w:after="0" w:line="269" w:lineRule="auto"/>
              <w:ind w:firstLine="0" w:left="0"/>
              <w:jc w:val="center"/>
              <w:rPr>
                <w:rFonts w:hint="eastAsia"/>
              </w:rPr>
            </w:pPr>
            <w:r>
              <w:rPr>
                <w:rFonts w:ascii="Aptos" w:hAnsi="Aptos" w:eastAsia="宋体"/>
                <w:b/>
                <w:color w:val="2C3339"/>
                <w:sz w:val="17"/>
              </w:rPr>
              <w:t>团队版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793CDD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需要统一策略与审计的团队与机构</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3C4CCFE1" w14:textId="77777777" w:rsidR="00CE1A64" w:rsidRDefault="00000000">
            <w:pPr>
              <w:spacing w:after="0" w:line="269" w:lineRule="auto"/>
              <w:ind w:firstLine="0" w:left="0"/>
              <w:jc w:val="center"/>
              <w:rPr>
                <w:rFonts w:hint="eastAsia"/>
              </w:rPr>
            </w:pPr>
            <w:r>
              <w:rPr>
                <w:rFonts w:ascii="Aptos" w:hAnsi="Aptos" w:eastAsia="宋体"/>
                <w:b w:val="0"/>
                <w:color w:val="2C3339"/>
                <w:sz w:val="17"/>
              </w:rPr>
              <w:t>4 万元每团队每年起</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9CFC09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交付支持成本约 1.2 万元每团队，毛利率约 70%</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21CDA4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第二收入方式；须取得至少 3 份试点意向与首次报价反馈</w:t>
            </w:r>
          </w:p>
        </w:tc>
      </w:tr>
      <w:tr w:rsidR="00CE1A64" w14:paraId="74A9BC83" w14:textId="77777777">
        <w:trPr>
          <w:cantSplit/>
          <w:trHeight w:hRule="atLeast"/>
          <w:jc w:val="center"/>
        </w:trPr>
        <w:tc>
          <w:tcPr>
            <w:tcW w:w="1807"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7FFF17BE" w14:textId="77777777" w:rsidR="00CE1A64" w:rsidRDefault="00000000">
            <w:pPr>
              <w:spacing w:after="0" w:line="269" w:lineRule="auto"/>
              <w:ind w:firstLine="0" w:left="0"/>
              <w:jc w:val="center"/>
              <w:rPr>
                <w:rFonts w:hint="eastAsia"/>
              </w:rPr>
            </w:pPr>
            <w:r>
              <w:rPr>
                <w:rFonts w:ascii="Aptos" w:hAnsi="Aptos" w:eastAsia="宋体"/>
                <w:b/>
                <w:color w:val="2C3339"/>
                <w:sz w:val="17"/>
              </w:rPr>
              <w:t>私有部署版</w:t>
            </w:r>
          </w:p>
        </w:tc>
        <w:tc>
          <w:tcPr>
            <w:tcW w:w="204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83EC0F7"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有数据合规采购需求的机构</w:t>
            </w:r>
          </w:p>
        </w:tc>
        <w:tc>
          <w:tcPr>
            <w:tcW w:w="2289"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1A7DC822" w14:textId="77777777" w:rsidR="00CE1A64" w:rsidRDefault="00000000">
            <w:pPr>
              <w:spacing w:after="0" w:line="269" w:lineRule="auto"/>
              <w:ind w:firstLine="0" w:left="0"/>
              <w:jc w:val="center"/>
              <w:rPr>
                <w:rFonts w:hint="eastAsia"/>
              </w:rPr>
            </w:pPr>
            <w:r>
              <w:rPr>
                <w:rFonts w:ascii="Aptos" w:hAnsi="Aptos" w:eastAsia="宋体"/>
                <w:b w:val="0"/>
                <w:color w:val="2C3339"/>
                <w:sz w:val="17"/>
              </w:rPr>
              <w:t>18 万元每项目起</w:t>
            </w:r>
          </w:p>
        </w:tc>
        <w:tc>
          <w:tcPr>
            <w:tcW w:w="1626"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673725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实施与维护成本约 8 万元每项目，毛利率约 55%</w:t>
            </w:r>
          </w:p>
        </w:tc>
        <w:tc>
          <w:tcPr>
            <w:tcW w:w="1868"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5F5E045"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按验收确认收入；第二轮试点之后启动</w:t>
            </w:r>
          </w:p>
        </w:tc>
      </w:tr>
      <w:tr w:rsidR="00CE1A64" w14:paraId="1EDAA339" w14:textId="77777777">
        <w:trPr>
          <w:cantSplit/>
          <w:trHeight w:hRule="atLeast"/>
          <w:jc w:val="center"/>
        </w:trPr>
        <w:tc>
          <w:tcPr>
            <w:tcW w:w="1807"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70" w:type="dxa"/>
              <w:bottom w:w="55" w:type="dxa"/>
              <w:right w:w="70" w:type="dxa"/>
              <w:start w:w="78" w:type="dxa"/>
              <w:end w:w="78" w:type="dxa"/>
            </w:tcMar>
            <w:vAlign w:val="center"/>
          </w:tcPr>
          <w:p w14:paraId="2EB1DAC3" w14:textId="77777777" w:rsidR="00CE1A64" w:rsidRDefault="00000000">
            <w:pPr>
              <w:spacing w:after="0" w:line="269" w:lineRule="auto"/>
              <w:ind w:firstLine="0" w:left="0"/>
              <w:jc w:val="center"/>
              <w:rPr>
                <w:rFonts w:hint="eastAsia"/>
              </w:rPr>
            </w:pPr>
            <w:r>
              <w:rPr>
                <w:rFonts w:ascii="Aptos" w:hAnsi="Aptos" w:eastAsia="宋体"/>
                <w:b/>
                <w:color w:val="2C3339"/>
                <w:sz w:val="17"/>
              </w:rPr>
              <w:lastRenderedPageBreak/>
              <w:t>技能生态</w:t>
            </w:r>
          </w:p>
        </w:tc>
        <w:tc>
          <w:tcPr>
            <w:tcW w:w="204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78223757" w14:textId="77777777" w:rsidR="00CE1A64" w:rsidRDefault="00000000">
            <w:pPr>
              <w:spacing w:after="0" w:line="269" w:lineRule="auto"/>
              <w:ind w:firstLine="0" w:left="0"/>
              <w:jc w:val="center"/>
              <w:rPr>
                <w:rFonts w:hint="eastAsia"/>
              </w:rPr>
            </w:pPr>
            <w:r>
              <w:rPr>
                <w:rFonts w:ascii="Aptos" w:hAnsi="Aptos" w:eastAsia="宋体"/>
                <w:b w:val="0"/>
                <w:color w:val="2C3339"/>
                <w:sz w:val="17"/>
              </w:rPr>
              <w:t>开发者与行业伙伴</w:t>
            </w:r>
          </w:p>
        </w:tc>
        <w:tc>
          <w:tcPr>
            <w:tcW w:w="2289"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53B1EFE7" w14:textId="77777777" w:rsidR="00CE1A64" w:rsidRDefault="00000000">
            <w:pPr>
              <w:spacing w:after="0" w:line="269" w:lineRule="auto"/>
              <w:ind w:firstLine="0" w:left="0"/>
              <w:jc w:val="center"/>
              <w:rPr>
                <w:rFonts w:hint="eastAsia"/>
              </w:rPr>
            </w:pPr>
            <w:r>
              <w:rPr>
                <w:rFonts w:ascii="Aptos" w:hAnsi="Aptos" w:eastAsia="宋体"/>
                <w:b w:val="0"/>
                <w:color w:val="2C3339"/>
                <w:sz w:val="17"/>
              </w:rPr>
              <w:t>暂不定价</w:t>
            </w:r>
          </w:p>
        </w:tc>
        <w:tc>
          <w:tcPr>
            <w:tcW w:w="1626"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C4D4EF3" w14:textId="77777777" w:rsidR="00CE1A64" w:rsidRDefault="00000000">
            <w:pPr>
              <w:spacing w:after="0" w:line="269" w:lineRule="auto"/>
              <w:ind w:firstLine="0" w:left="0"/>
              <w:jc w:val="center"/>
              <w:rPr>
                <w:rFonts w:hint="eastAsia"/>
              </w:rPr>
            </w:pPr>
            <w:r>
              <w:rPr>
                <w:rFonts w:ascii="Aptos" w:hAnsi="Aptos" w:eastAsia="宋体"/>
                <w:b w:val="0"/>
                <w:color w:val="2C3339"/>
                <w:sz w:val="17"/>
              </w:rPr>
              <w:t>—</w:t>
            </w:r>
          </w:p>
        </w:tc>
        <w:tc>
          <w:tcPr>
            <w:tcW w:w="1868"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70" w:type="dxa"/>
              <w:bottom w:w="55" w:type="dxa"/>
              <w:right w:w="70" w:type="dxa"/>
              <w:start w:w="78" w:type="dxa"/>
              <w:end w:w="78" w:type="dxa"/>
            </w:tcMar>
            <w:vAlign w:val="center"/>
          </w:tcPr>
          <w:p w14:paraId="6CDABEE7"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远期方向；前两年不设为独立收入来源</w:t>
            </w:r>
          </w:p>
        </w:tc>
      </w:tr>
    </w:tbl>
    <w:p w14:paraId="44B48C8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定价逻辑采用自下而上推导，而不是直接给定数字。校园团队版按式 P = N_seat × P_seat + Support 形成报价，其中 N_seat 为席位数，P_seat 为单席位年费，Support 为统一策略、模型额度、审计、共享技能与技术支持的成本；参考区间为 20 至 50 席位，对应 4 万元起。私有部署版按部署规模、模型方案、需适配的应用数量与维护 SLA 分别计价，对应 20 万元每项目起，且不以低于交付成本的报价获取合同。</w:t>
      </w:r>
    </w:p>
    <w:p w14:paraId="5D81356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单任务模型成本按任务类型统计：以一次带有情境读取与工具调用的报告类任务为例，规划阶段小模型调用约 6 次、执行阶段大模型调用约 2 次，单任务成本由模型单价、上下文长度与重试次数共同决定。目标是把单任务成本控制在个人专业版单日额度以内，使单用户年成本不随使用深度线性上升。</w:t>
      </w:r>
    </w:p>
    <w:p w14:paraId="40EA4FA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单位经济模型要达到的验收标准有三条：个人专业版毛利率不低于 70%；校园团队版单团队交付成本不高于其收入的 35%；单任务模型成本随模型替换与缓存策略下降。三条不达标时优先调整任务范围与模型方案，而不是提高定价。</w:t>
      </w:r>
    </w:p>
    <w:p w14:paraId="77FEFCC7" w14:textId="77777777" w:rsidR="00CE1A64" w:rsidRDefault="00CE1A64">
      <w:pPr>
        <w:spacing w:after="20"/>
        <w:rPr>
          <w:rFonts w:hint="eastAsia"/>
          <w:lang w:eastAsia="zh-CN"/>
        </w:rPr>
      </w:pPr>
    </w:p>
    <w:p w14:paraId="0C345E33"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t>第八章 研发验证与实施路径</w:t>
      </w:r>
    </w:p>
    <w:p w14:paraId="500E806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8.1 研发原则</w:t>
      </w:r>
    </w:p>
    <w:p w14:paraId="5760B9E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研发以可验证闭环为最小单位。每个版本必须同时交付输入入口、情境来源、权限策略、执行结果、验收证据与恢复路径，不以功能列表作为完成标准。产品先覆盖少数高频应用与固定任务，再依据试点数据扩大兼容性。模型层保持可替换，避免项目价值依赖单一模型。</w:t>
      </w:r>
    </w:p>
    <w:p w14:paraId="34C8752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8.2 前期工程基础与团队能力证据</w:t>
      </w:r>
    </w:p>
    <w:p w14:paraId="0943801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本项目的技术跨度覆盖输入系统与无障碍接口、UI Automation、权限沙箱、动作回滚与审计、失败恢复以及用户研究。团队已在这些方向上形成可运行的自研实现：一是 Agent Runtime 与任务调度，以 DAG 表达依赖并支持并发执行与失败恢复；二是工具权限与审批体系，策略默认拒绝，审批与执行相互独立，所有动作留痕可审计；三是桌面感知与结构化动作，通过文本服务框架与 UI Automation 读取</w:t>
      </w:r>
      <w:r>
        <w:rPr>
          <w:rFonts w:ascii="Aptos" w:hAnsi="Aptos" w:eastAsia="宋体"/>
          <w:color w:val="2C3339"/>
          <w:sz w:val="21"/>
          <w:lang w:eastAsia="zh-CN"/>
        </w:rPr>
        <w:lastRenderedPageBreak/>
        <w:t>控件树并完成输入、点击与选区操作；四是审计、回滚与多 Worker 协作，任务失败后可恢复到最近检查点并保留完整执行记录。</w:t>
      </w:r>
    </w:p>
    <w:p w14:paraId="7D968052"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上述实现是团队承担本项目核心研发的工程基础，后续研发重点集中在输入入口、意图胶囊、返回原处、自治升级阈值与真实用户验证五个方向。</w:t>
      </w:r>
    </w:p>
    <w:p w14:paraId="11C5B4F1"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8.3 二十四个月路线与阶段决策门</w:t>
      </w:r>
    </w:p>
    <w:p w14:paraId="68BB2B6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路线分五个阶段推进。前三个月完成问题验证，交付交互原型与情境边界定义，进入下一阶段的条件是需求重复出现且结果可验收。</w:t>
      </w:r>
    </w:p>
    <w:p w14:paraId="6F7E2FC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第四至六个月建成输入入口、意图胶囊与单执行器返回闭环，完成可用性与安全测试并校准验证阈值，进入下一阶段的条件是任务成功率达到 80% 且安全红线全部通过。</w:t>
      </w:r>
    </w:p>
    <w:p w14:paraId="56FB685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第七至十二个月完成兼容矩阵与 Origin、Return 适配器标准化，完成三组对照实验与消融实验并标定路由阈值，在两条核心任务链和不少于三个试点单位中验证连续四周留存与安全门槛。</w:t>
      </w:r>
    </w:p>
    <w:p w14:paraId="05DFA2D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第十三至十八个月交付团队版与版本化成果契约接口，验证协同净收益与团队交付成本，形成首批付费团队。</w:t>
      </w:r>
    </w:p>
    <w:p w14:paraId="6F779B0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第十九至二十四个月进入规模化复制与工程加固，验证跨设备最小数据原则，形成机构合作、私有部署首单与场景复制能力。</w:t>
      </w:r>
    </w:p>
    <w:p w14:paraId="5A84265A" w14:textId="77777777" w:rsidR="00CE1A64" w:rsidRDefault="00000000">
      <w:pPr>
        <w:keepNext/>
        <w:spacing w:before="80" w:after="40"/>
        <w:ind w:left="0" w:firstLine="0"/>
        <w:jc w:val="center"/>
        <w:rPr>
          <w:rFonts w:hint="eastAsia"/>
        </w:rPr>
      </w:pPr>
      <w:r>
        <w:rPr>
          <w:noProof/>
        </w:rPr>
        <w:drawing>
          <wp:inline distT="0" distB="0" distL="0" distR="0" wp14:anchorId="02936D8B" wp14:editId="6CDE0D7D">
            <wp:extent cx="5742432" cy="2360777"/>
            <wp:effectExtent l="0" t="0" r="0" b="0"/>
            <wp:docPr id="11" name="Picture 11" descr="图 10 Cuttle 二十四个月产品与市场路线" title="Cuttle 图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roadmap.png"/>
                    <pic:cNvPicPr/>
                  </pic:nvPicPr>
                  <pic:blipFill>
                    <a:blip r:embed="rId18"/>
                    <a:stretch>
                      <a:fillRect/>
                    </a:stretch>
                  </pic:blipFill>
                  <pic:spPr>
                    <a:xfrm>
                      <a:off x="0" y="0"/>
                      <a:ext cx="5742432" cy="2360777"/>
                    </a:xfrm>
                    <a:prstGeom prst="rect">
                      <a:avLst/>
                    </a:prstGeom>
                  </pic:spPr>
                </pic:pic>
              </a:graphicData>
            </a:graphic>
          </wp:inline>
        </w:drawing>
      </w:r>
    </w:p>
    <w:p w14:paraId="1AC02270"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图10</w:t>
      </w:r>
      <w:r>
        <w:rPr>
          <w:rFonts w:ascii="Aptos" w:hAnsi="Aptos" w:eastAsia="宋体"/>
          <w:color w:val="2C3339"/>
          <w:sz w:val="18"/>
        </w:rPr>
        <w:t xml:space="preserve">  Cuttle 二十四个月研发与市场路线</w:t>
      </w:r>
    </w:p>
    <w:p w14:paraId="57F5F110" w14:textId="77777777" w:rsidR="00CE1A64" w:rsidRDefault="00CE1A64">
      <w:pPr>
        <w:spacing w:after="20"/>
        <w:rPr>
          <w:rFonts w:hint="eastAsia"/>
          <w:lang w:eastAsia="zh-CN"/>
        </w:rPr>
      </w:pPr>
    </w:p>
    <w:p w14:paraId="112DCC81"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lastRenderedPageBreak/>
        <w:t>8.4 关键指标体系</w:t>
      </w:r>
    </w:p>
    <w:p w14:paraId="250B349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指标体系参照软件产品质量模型中的功能适合性、可靠性、易用性与安全性等维度组织。[29]核心验证指标与阶段目标见表 2，三年经营口径见表 9。全部指标共用一套统计口径：以配对样本比较为主，报告效应量与置信区间；样本量在正式实验前依据预实验效应量做统计功效分析后确定；所有指标注明数据来源、标注规则与样本量。原地闭环完成率是首要指标，其余指标用于解释其高低变化。</w:t>
      </w:r>
    </w:p>
    <w:p w14:paraId="39EDB337" w14:textId="77777777" w:rsidR="00CE1A64" w:rsidRDefault="00CE1A64">
      <w:pPr>
        <w:spacing w:after="20"/>
        <w:rPr>
          <w:rFonts w:hint="eastAsia"/>
          <w:lang w:eastAsia="zh-CN"/>
        </w:rPr>
      </w:pPr>
    </w:p>
    <w:p w14:paraId="6F01127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8.5 知识产权与成果计划</w:t>
      </w:r>
    </w:p>
    <w:p w14:paraId="172DE54D"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知识产权围绕形成差异的机制布局。近期完成客户端与运行时软件著作权登记，沉淀意图胶囊、受控自治升级判据与版本化成果契约的发明交底，建立商标与开源依赖清单；中期依据新颖性检索与实验结果决定专利申请，形成用户研究报告、评测数据集、技术白皮书与论文。成果归属明确学生贡献、数据授权与第三方许可。</w:t>
      </w:r>
    </w:p>
    <w:p w14:paraId="56C289D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t>第九章 团队协作与人才培养</w:t>
      </w:r>
    </w:p>
    <w:p w14:paraId="0030141F"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9.1 团队结构</w:t>
      </w:r>
    </w:p>
    <w:p w14:paraId="4F809026"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项目由学生团队主导研发，教师以指导身份参与。产品面向高频 PC 知识工作者，团队围绕产品架构、智能体工程、用户研究与商业验证形成明确分工，每个里程碑保留任务单、版本记录、测试报告与用户记录。核心研发、产品决策与成果表达均由学生团队承担，指导教师负责研究方法、安全合规与阶段评审。</w:t>
      </w:r>
    </w:p>
    <w:p w14:paraId="1226E610" w14:textId="77777777" w:rsidR="00CE1A64" w:rsidRDefault="00000000">
      <w:pPr>
        <w:keepNext/>
        <w:spacing w:before="60" w:after="120"/>
        <w:ind w:left="0" w:firstLine="0"/>
        <w:jc w:val="center"/>
        <w:rPr>
          <w:rFonts w:hint="eastAsia"/>
          <w:lang w:eastAsia="zh-CN"/>
        </w:rPr>
      </w:pPr>
      <w:r>
        <w:rPr>
          <w:rFonts w:ascii="Aptos" w:hAnsi="Aptos" w:eastAsia="微软雅黑"/>
          <w:b/>
          <w:color w:val="B98A2F"/>
          <w:sz w:val="18"/>
        </w:rPr>
        <w:t>表8</w:t>
      </w:r>
      <w:r>
        <w:rPr>
          <w:rFonts w:ascii="Aptos" w:hAnsi="Aptos" w:eastAsia="宋体"/>
          <w:color w:val="2C3339"/>
          <w:sz w:val="18"/>
        </w:rPr>
        <w:t xml:space="preserve">  学生团队分工与工程基础</w:t>
      </w:r>
    </w:p>
    <w:tbl>
      <w:tblPr>
        <w:tblW w:w="9638" w:type="dxa"/>
        <w:jc w:val="center"/>
        <w:tblLayout w:type="autofit"/>
        <w:tblLook w:val="04A0" w:firstRow="1" w:lastRow="0" w:firstColumn="1" w:lastColumn="0" w:noHBand="0" w:noVBand="1"/>
      </w:tblPr>
      <w:tblGrid>
        <w:gridCol w:w="1506"/>
        <w:gridCol w:w="1807"/>
        <w:gridCol w:w="3735"/>
        <w:gridCol w:w="2590"/>
      </w:tblGrid>
      <w:tr w:rsidR="00CE1A64" w14:paraId="2BF0539A" w14:textId="77777777">
        <w:trPr>
          <w:cantSplit/>
          <w:trHeight w:hRule="atLeast"/>
          <w:tblHeader w:val="true"/>
          <w:jc w:val="center"/>
        </w:trPr>
        <w:tc>
          <w:tcPr>
            <w:tcW w:w="1506"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954B705" w14:textId="77777777" w:rsidR="00CE1A64" w:rsidRDefault="00000000">
            <w:pPr>
              <w:spacing w:after="0" w:line="269" w:lineRule="auto"/>
              <w:ind w:firstLine="0" w:left="0"/>
              <w:jc w:val="center"/>
              <w:rPr>
                <w:rFonts w:hint="eastAsia"/>
              </w:rPr>
            </w:pPr>
            <w:r>
              <w:rPr>
                <w:rFonts w:ascii="Aptos" w:hAnsi="Aptos" w:eastAsia="宋体"/>
                <w:b/>
                <w:color w:val="FFFFFF"/>
                <w:sz w:val="17"/>
              </w:rPr>
              <w:t>学生团队成员</w:t>
            </w:r>
          </w:p>
        </w:tc>
        <w:tc>
          <w:tcPr>
            <w:tcW w:w="1807"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1FE3865" w14:textId="77777777" w:rsidR="00CE1A64" w:rsidRDefault="00000000">
            <w:pPr>
              <w:spacing w:after="0" w:line="269" w:lineRule="auto"/>
              <w:ind w:firstLine="0" w:left="0"/>
              <w:jc w:val="center"/>
              <w:rPr>
                <w:rFonts w:hint="eastAsia"/>
              </w:rPr>
            </w:pPr>
            <w:r>
              <w:rPr>
                <w:rFonts w:ascii="Aptos" w:hAnsi="Aptos" w:eastAsia="宋体"/>
                <w:b/>
                <w:color w:val="FFFFFF"/>
                <w:sz w:val="17"/>
              </w:rPr>
              <w:t>角色与专业方向</w:t>
            </w:r>
          </w:p>
        </w:tc>
        <w:tc>
          <w:tcPr>
            <w:tcW w:w="3735"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0C66504" w14:textId="77777777" w:rsidR="00CE1A64" w:rsidRDefault="00000000">
            <w:pPr>
              <w:spacing w:after="0" w:line="269" w:lineRule="auto"/>
              <w:ind w:firstLine="0" w:left="0"/>
              <w:jc w:val="center"/>
              <w:rPr>
                <w:rFonts w:hint="eastAsia"/>
              </w:rPr>
            </w:pPr>
            <w:r>
              <w:rPr>
                <w:rFonts w:ascii="Aptos" w:hAnsi="Aptos" w:eastAsia="宋体"/>
                <w:b/>
                <w:color w:val="FFFFFF"/>
                <w:sz w:val="17"/>
              </w:rPr>
              <w:t>主要职责</w:t>
            </w:r>
          </w:p>
        </w:tc>
        <w:tc>
          <w:tcPr>
            <w:tcW w:w="2590"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661E1AA0" w14:textId="77777777" w:rsidR="00CE1A64" w:rsidRDefault="00000000">
            <w:pPr>
              <w:spacing w:after="0" w:line="269" w:lineRule="auto"/>
              <w:ind w:firstLine="0" w:left="0"/>
              <w:jc w:val="center"/>
              <w:rPr>
                <w:rFonts w:hint="eastAsia"/>
              </w:rPr>
            </w:pPr>
            <w:r>
              <w:rPr>
                <w:rFonts w:ascii="Aptos" w:hAnsi="Aptos" w:eastAsia="宋体"/>
                <w:b/>
                <w:color w:val="FFFFFF"/>
                <w:sz w:val="17"/>
              </w:rPr>
              <w:t>过程证据</w:t>
            </w:r>
          </w:p>
        </w:tc>
      </w:tr>
      <w:tr w:rsidR="00CE1A64" w14:paraId="3BC3AFB8" w14:textId="77777777">
        <w:trPr>
          <w:cantSplit/>
          <w:trHeight w:hRule="atLeast"/>
          <w:jc w:val="center"/>
        </w:trPr>
        <w:tc>
          <w:tcPr>
            <w:tcW w:w="150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3DC40EDE" w14:textId="77777777" w:rsidR="00CE1A64" w:rsidRDefault="00000000">
            <w:pPr>
              <w:spacing w:after="0" w:line="269" w:lineRule="auto"/>
              <w:ind w:firstLine="0" w:left="0"/>
              <w:jc w:val="center"/>
              <w:rPr>
                <w:rFonts w:hint="eastAsia"/>
              </w:rPr>
            </w:pPr>
            <w:r>
              <w:rPr>
                <w:rFonts w:ascii="Aptos" w:hAnsi="Aptos" w:eastAsia="宋体"/>
                <w:b/>
                <w:color w:val="2C3339"/>
                <w:sz w:val="17"/>
              </w:rPr>
              <w:t>杨俊熙</w:t>
            </w:r>
          </w:p>
        </w:tc>
        <w:tc>
          <w:tcPr>
            <w:tcW w:w="1807"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57B1EE9" w14:textId="77777777" w:rsidR="00CE1A64" w:rsidRDefault="00000000">
            <w:pPr>
              <w:spacing w:after="0" w:line="269" w:lineRule="auto"/>
              <w:ind w:firstLine="0" w:left="0"/>
              <w:jc w:val="center"/>
              <w:rPr>
                <w:rFonts w:hint="eastAsia"/>
              </w:rPr>
            </w:pPr>
            <w:r>
              <w:rPr>
                <w:rFonts w:ascii="Aptos" w:hAnsi="Aptos" w:eastAsia="宋体"/>
                <w:b w:val="0"/>
                <w:color w:val="2C3339"/>
                <w:sz w:val="17"/>
              </w:rPr>
              <w:t>项目负责人</w:t>
            </w:r>
          </w:p>
        </w:tc>
        <w:tc>
          <w:tcPr>
            <w:tcW w:w="3735"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F5D965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项目统筹、产品设计、架构协调与资源整合</w:t>
            </w:r>
          </w:p>
        </w:tc>
        <w:tc>
          <w:tcPr>
            <w:tcW w:w="259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45CEB82"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需求文档、设计决策、版本里程碑</w:t>
            </w:r>
          </w:p>
        </w:tc>
      </w:tr>
      <w:tr w:rsidR="00CE1A64" w14:paraId="372EBBE9" w14:textId="77777777">
        <w:trPr>
          <w:cantSplit/>
          <w:trHeight w:hRule="atLeast"/>
          <w:jc w:val="center"/>
        </w:trPr>
        <w:tc>
          <w:tcPr>
            <w:tcW w:w="150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5D390959" w14:textId="77777777" w:rsidR="00CE1A64" w:rsidRDefault="00000000">
            <w:pPr>
              <w:spacing w:after="0" w:line="269" w:lineRule="auto"/>
              <w:ind w:firstLine="0" w:left="0"/>
              <w:jc w:val="center"/>
              <w:rPr>
                <w:rFonts w:hint="eastAsia"/>
              </w:rPr>
            </w:pPr>
            <w:r>
              <w:rPr>
                <w:rFonts w:ascii="Aptos" w:hAnsi="Aptos" w:eastAsia="宋体"/>
                <w:b/>
                <w:color w:val="2C3339"/>
                <w:sz w:val="17"/>
              </w:rPr>
              <w:t>张子豪</w:t>
            </w:r>
          </w:p>
        </w:tc>
        <w:tc>
          <w:tcPr>
            <w:tcW w:w="1807"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0287D8F" w14:textId="77777777" w:rsidR="00CE1A64" w:rsidRDefault="00000000">
            <w:pPr>
              <w:spacing w:after="0" w:line="269" w:lineRule="auto"/>
              <w:ind w:firstLine="0" w:left="0"/>
              <w:jc w:val="center"/>
              <w:rPr>
                <w:rFonts w:hint="eastAsia"/>
              </w:rPr>
            </w:pPr>
            <w:r>
              <w:rPr>
                <w:rFonts w:ascii="Aptos" w:hAnsi="Aptos" w:eastAsia="宋体"/>
                <w:b w:val="0"/>
                <w:color w:val="2C3339"/>
                <w:sz w:val="17"/>
              </w:rPr>
              <w:t>智能体工程与评测</w:t>
            </w:r>
          </w:p>
        </w:tc>
        <w:tc>
          <w:tcPr>
            <w:tcW w:w="3735"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C65DC2C" w14:textId="77777777" w:rsidR="00CE1A64" w:rsidRDefault="00000000">
            <w:pPr>
              <w:spacing w:after="0" w:line="269" w:lineRule="auto"/>
              <w:ind w:firstLine="0" w:left="0"/>
              <w:jc w:val="left"/>
              <w:rPr>
                <w:rFonts w:hint="eastAsia"/>
              </w:rPr>
            </w:pPr>
            <w:r>
              <w:rPr>
                <w:rFonts w:ascii="Aptos" w:hAnsi="Aptos" w:eastAsia="宋体"/>
                <w:b w:val="0"/>
                <w:color w:val="2C3339"/>
                <w:sz w:val="17"/>
              </w:rPr>
              <w:t>Agent Runtime、工具接入、评测与故障恢复</w:t>
            </w:r>
          </w:p>
        </w:tc>
        <w:tc>
          <w:tcPr>
            <w:tcW w:w="259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ABC5C53"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代码提交、测试记录、评测报告</w:t>
            </w:r>
          </w:p>
        </w:tc>
      </w:tr>
      <w:tr w:rsidR="00CE1A64" w14:paraId="49767EA2" w14:textId="77777777">
        <w:trPr>
          <w:cantSplit/>
          <w:trHeight w:hRule="atLeast"/>
          <w:jc w:val="center"/>
        </w:trPr>
        <w:tc>
          <w:tcPr>
            <w:tcW w:w="1506"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6EBB8BB" w14:textId="77777777" w:rsidR="00CE1A64" w:rsidRDefault="00000000">
            <w:pPr>
              <w:spacing w:after="0" w:line="269" w:lineRule="auto"/>
              <w:ind w:firstLine="0" w:left="0"/>
              <w:jc w:val="center"/>
              <w:rPr>
                <w:rFonts w:hint="eastAsia"/>
              </w:rPr>
            </w:pPr>
            <w:r>
              <w:rPr>
                <w:rFonts w:ascii="Aptos" w:hAnsi="Aptos" w:eastAsia="宋体"/>
                <w:b/>
                <w:color w:val="2C3339"/>
                <w:sz w:val="17"/>
              </w:rPr>
              <w:lastRenderedPageBreak/>
              <w:t>吴栩彪</w:t>
            </w:r>
          </w:p>
        </w:tc>
        <w:tc>
          <w:tcPr>
            <w:tcW w:w="1807"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C1AA4AA" w14:textId="77777777" w:rsidR="00CE1A64" w:rsidRDefault="00000000">
            <w:pPr>
              <w:spacing w:after="0" w:line="269" w:lineRule="auto"/>
              <w:ind w:firstLine="0" w:left="0"/>
              <w:jc w:val="center"/>
              <w:rPr>
                <w:rFonts w:hint="eastAsia"/>
              </w:rPr>
            </w:pPr>
            <w:r>
              <w:rPr>
                <w:rFonts w:ascii="Aptos" w:hAnsi="Aptos" w:eastAsia="宋体"/>
                <w:b w:val="0"/>
                <w:color w:val="2C3339"/>
                <w:sz w:val="17"/>
              </w:rPr>
              <w:t>用户研究与运营</w:t>
            </w:r>
          </w:p>
        </w:tc>
        <w:tc>
          <w:tcPr>
            <w:tcW w:w="3735"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52BF99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用户研究、交互验证、内容与商业试点</w:t>
            </w:r>
          </w:p>
        </w:tc>
        <w:tc>
          <w:tcPr>
            <w:tcW w:w="2590"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3128B4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访谈记录、原型反馈、试点材料</w:t>
            </w:r>
          </w:p>
        </w:tc>
      </w:tr>
      <w:tr w:rsidR="00CE1A64" w14:paraId="0A4941A9" w14:textId="77777777">
        <w:trPr>
          <w:cantSplit/>
          <w:trHeight w:hRule="atLeast"/>
          <w:jc w:val="center"/>
        </w:trPr>
        <w:tc>
          <w:tcPr>
            <w:tcW w:w="1506"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1E4E424" w14:textId="77777777" w:rsidR="00CE1A64" w:rsidRDefault="00000000">
            <w:pPr>
              <w:spacing w:after="0" w:line="269" w:lineRule="auto"/>
              <w:ind w:firstLine="0" w:left="0"/>
              <w:jc w:val="center"/>
              <w:rPr>
                <w:rFonts w:hint="eastAsia"/>
              </w:rPr>
            </w:pPr>
            <w:r>
              <w:rPr>
                <w:rFonts w:ascii="Aptos" w:hAnsi="Aptos" w:eastAsia="宋体"/>
                <w:b/>
                <w:color w:val="2C3339"/>
                <w:sz w:val="17"/>
              </w:rPr>
              <w:t>谈世钊</w:t>
            </w:r>
          </w:p>
        </w:tc>
        <w:tc>
          <w:tcPr>
            <w:tcW w:w="1807"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5112A5F" w14:textId="77777777" w:rsidR="00CE1A64" w:rsidRDefault="00000000">
            <w:pPr>
              <w:spacing w:after="0" w:line="269" w:lineRule="auto"/>
              <w:ind w:firstLine="0" w:left="0"/>
              <w:jc w:val="center"/>
              <w:rPr>
                <w:rFonts w:hint="eastAsia"/>
              </w:rPr>
            </w:pPr>
            <w:r>
              <w:rPr>
                <w:rFonts w:ascii="Aptos" w:hAnsi="Aptos" w:eastAsia="宋体"/>
                <w:b w:val="0"/>
                <w:color w:val="2C3339"/>
                <w:sz w:val="17"/>
              </w:rPr>
              <w:t>智能体开发</w:t>
            </w:r>
          </w:p>
        </w:tc>
        <w:tc>
          <w:tcPr>
            <w:tcW w:w="3735"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E934A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执行链路开发、桌面接口适配、集成与回归测试</w:t>
            </w:r>
          </w:p>
        </w:tc>
        <w:tc>
          <w:tcPr>
            <w:tcW w:w="2590"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3A05E2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代码提交、接口文档、回归测试记录</w:t>
            </w:r>
          </w:p>
        </w:tc>
      </w:tr>
    </w:tbl>
    <w:p w14:paraId="3768A00D" w14:textId="77777777" w:rsidR="00CE1A64" w:rsidRDefault="00000000">
      <w:pPr>
        <w:pStyle w:val="31"/>
        <w:ind w:firstLine="0"/>
        <w:jc w:val="left"/>
        <w:rPr>
          <w:rFonts w:hint="eastAsia"/>
          <w:lang w:eastAsia="zh-CN"/>
        </w:rPr>
      </w:pPr>
      <w:r>
        <w:rPr>
          <w:rFonts w:ascii="Aptos" w:hAnsi="Aptos" w:eastAsia="微软雅黑"/>
          <w:b/>
          <w:color w:val="087A7D"/>
          <w:sz w:val="22"/>
          <w:lang w:eastAsia="zh-CN"/>
        </w:rPr>
        <w:t>指导教师与指导职责</w:t>
      </w:r>
    </w:p>
    <w:p w14:paraId="43D0DA4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指导教师赵恒军负责研究方法、安全合规与阶段评审三方面工作：在立项与方法环节指导学生完成问题定义、研究设计与实验方案；在安全与合规环节审核数据处理边界、隐私保护措施与发布门槛；在阶段评审环节参与里程碑决策，对是否进入下一阶段提出意见。</w:t>
      </w:r>
    </w:p>
    <w:p w14:paraId="3E52C18A" w14:textId="77777777" w:rsidR="00CE1A64" w:rsidRDefault="00CE1A64">
      <w:pPr>
        <w:spacing w:after="20"/>
        <w:rPr>
          <w:rFonts w:hint="eastAsia"/>
          <w:lang w:eastAsia="zh-CN"/>
        </w:rPr>
      </w:pPr>
    </w:p>
    <w:p w14:paraId="07D7AC9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9.2 成员能力成长</w:t>
      </w:r>
    </w:p>
    <w:p w14:paraId="7805E8E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成员能力在真实的研发与验证过程中形成。项目启动阶段完成用户调研与需求分析，训练的是把模糊需求转化为可检验问题的能力；原型阶段完成系统设计、交互设计与权限方案，团队由此建立起对安全边界与工程约束的判断。进入实验与评测阶段后，成员独立完成实验设计、数据分析、对照消融与红队故障注入，并输出可复现的评测报告；这一环节的产出直接进入产品迭代，而不是停留在文档层面。在市场与成果转化方面，成员通过场景试点、报价谈判与合作复盘了解真实商业约束，并完成软件著作权、专利交底与论文写作。全部成果以任务、代码、文档、测试与运营记录归档，贡献归属与数据授权同步明确。</w:t>
      </w:r>
    </w:p>
    <w:p w14:paraId="15C61A3A" w14:textId="77777777" w:rsidR="00CE1A64" w:rsidRDefault="00CE1A64">
      <w:pPr>
        <w:spacing w:after="20"/>
        <w:rPr>
          <w:rFonts w:hint="eastAsia"/>
          <w:lang w:eastAsia="zh-CN"/>
        </w:rPr>
      </w:pPr>
    </w:p>
    <w:p w14:paraId="6BE8F138"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t>9.3 协作与质量机制</w:t>
      </w:r>
    </w:p>
    <w:p w14:paraId="627ADC7D"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每周研发站会检查目标、阻塞、风险和下一项可验收任务。</w:t>
      </w:r>
    </w:p>
    <w:p w14:paraId="1E699E06"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每两周产品评审由用户价值、技术可行性、安全边界和证据质量四项共同决定优先级。</w:t>
      </w:r>
    </w:p>
    <w:p w14:paraId="54E01442"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重大范围、数据、外部合作和财务事项由项目负责人、相关成员和指导教师共同审查。</w:t>
      </w:r>
    </w:p>
    <w:p w14:paraId="33761E24"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公开材料由技术负责人、用户研究负责人和指导教师交叉复核，确保能力、数据与成员贡献真实。</w:t>
      </w:r>
    </w:p>
    <w:p w14:paraId="556F0FB6" w14:textId="77777777" w:rsidR="00CE1A64" w:rsidRDefault="00000000">
      <w:pPr>
        <w:pStyle w:val="a0"/>
        <w:widowControl/>
        <w:spacing w:line="341" w:lineRule="auto" w:after="80"/>
        <w:ind w:firstLine="420"/>
        <w:jc w:val="both"/>
        <w:rPr>
          <w:rFonts w:hint="eastAsia"/>
          <w:lang w:eastAsia="zh-CN"/>
        </w:rPr>
      </w:pPr>
      <w:r>
        <w:rPr>
          <w:rFonts w:ascii="Aptos" w:hAnsi="Aptos" w:eastAsia="宋体"/>
          <w:color w:val="2C3339"/>
          <w:sz w:val="21"/>
          <w:lang w:eastAsia="zh-CN"/>
        </w:rPr>
        <w:t>成员贡献以任务、代码、文档、测试和运营证据归档，不以署名顺序替代实际投入。</w:t>
      </w:r>
    </w:p>
    <w:p w14:paraId="20BAA1A5"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第十章 财务规划与资源配置</w:t>
      </w:r>
    </w:p>
    <w:p w14:paraId="32D7F954"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10.1 财务假设与测算基础</w:t>
      </w:r>
    </w:p>
    <w:p w14:paraId="2284E2CF"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收入增长主要由个人用户新增、团队转化和开发者渠道三部分构成。个人用户新增来自内容与模板传播，以及试点场景向同类组织复制；团队转化来自个人用户在团队内部扩散后形成的组织采购；开发者渠道来自技能模板与开源组件的复用者在真实工作中产生的订阅。第二年增长主要来自前两项，第三年增长主要来自开发者渠道与团队客户的续订扩容。</w:t>
      </w:r>
    </w:p>
    <w:p w14:paraId="5EFDEA20"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财务测算采用个人订阅、团队许可和私有部署三类收入，不代表项目已经取得收入、融资或用户规模。个人订阅收入按年度平均在付用户数乘年费 240 元测算：年均在付由上年在付规模的 60% 续订、当年新增按半年加权估算；团队许可按 4 万元每团队每年计价，自第二年起计入；私有部署按 18 万元每项目、以验收确认。本轮预测仅计入基础订阅、团队许可与私有部署收入，超额智能体调用收入及其对应的推理成本暂不计入。三种情景分别设定用户与客户数量，按同一单价假设计算收入；第一年的规模由第六章的验证容量约束，个人付费用户不超过 200 人，三种情景分别按 80、120 与 180 人测算。全部单价与转化率均属待验证假设，验证方式与门槛见表 7。</w:t>
      </w:r>
    </w:p>
    <w:p w14:paraId="4E0BC00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价格假设的验证优先于规模预测。前三个月完成三项最低限度的价格证据：一是 20 份定价访谈，对象为高频 PC 知识工作者，覆盖运营、项目、咨询、研究、行政与开发岗位，用于确认年费 240 元与团队许可 4 万元每团队每年的可接受区间；二是 3 份试点意向，用于确认团队许可的采购流程与预算归属；三是首份报价反馈，记录真实客户对报价范围的异议与调整意见。在证据取得之前，本章全部数字按情景假设处理。</w:t>
      </w:r>
    </w:p>
    <w:p w14:paraId="33D3277C" w14:textId="77777777" w:rsidR="00CE1A64" w:rsidRDefault="00000000">
      <w:pPr>
        <w:pStyle w:val="21"/>
        <w:ind w:left="159" w:firstLine="0"/>
        <w:jc w:val="left"/>
        <w:rPr>
          <w:rFonts w:hint="eastAsia"/>
        </w:rPr>
        <w:pBdr>
          <w:left w:val="single" w:sz="14" w:space="7" w:color="087A7D"/>
        </w:pBdr>
      </w:pPr>
      <w:r>
        <w:rPr>
          <w:rFonts w:ascii="Aptos" w:hAnsi="Aptos" w:eastAsia="微软雅黑"/>
          <w:b/>
          <w:color w:val="242C33"/>
          <w:sz w:val="25"/>
        </w:rPr>
        <w:lastRenderedPageBreak/>
        <w:t>10.2 三年经营预测</w:t>
      </w:r>
    </w:p>
    <w:p w14:paraId="469E9072" w14:textId="77777777" w:rsidR="00CE1A64" w:rsidRDefault="00000000">
      <w:pPr>
        <w:keepNext/>
        <w:spacing w:before="80" w:after="40"/>
        <w:ind w:left="0" w:firstLine="0"/>
        <w:jc w:val="center"/>
        <w:rPr>
          <w:rFonts w:hint="eastAsia"/>
        </w:rPr>
      </w:pPr>
      <w:r>
        <w:rPr>
          <w:noProof/>
        </w:rPr>
        <w:drawing>
          <wp:inline distT="0" distB="0" distL="0" distR="0" wp14:anchorId="1DB863C2" wp14:editId="45D7D0E2">
            <wp:extent cx="5742432" cy="2935020"/>
            <wp:effectExtent l="0" t="0" r="0" b="0"/>
            <wp:docPr id="12" name="Picture 12" descr="图 11 Cuttle 三年收入与成本规划情景" title="Cuttle 图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financial-plan.png"/>
                    <pic:cNvPicPr/>
                  </pic:nvPicPr>
                  <pic:blipFill>
                    <a:blip r:embed="rId19"/>
                    <a:stretch>
                      <a:fillRect/>
                    </a:stretch>
                  </pic:blipFill>
                  <pic:spPr>
                    <a:xfrm>
                      <a:off x="0" y="0"/>
                      <a:ext cx="5742432" cy="2935020"/>
                    </a:xfrm>
                    <a:prstGeom prst="rect">
                      <a:avLst/>
                    </a:prstGeom>
                  </pic:spPr>
                </pic:pic>
              </a:graphicData>
            </a:graphic>
          </wp:inline>
        </w:drawing>
      </w:r>
    </w:p>
    <w:p w14:paraId="4C183B6E" w14:textId="77777777" w:rsidR="00CE1A64" w:rsidRDefault="00000000">
      <w:pPr>
        <w:keepNext w:val="0"/>
        <w:spacing w:after="120" w:before="60"/>
        <w:ind w:left="0" w:firstLine="0"/>
        <w:jc w:val="center"/>
        <w:rPr>
          <w:rFonts w:hint="eastAsia"/>
          <w:lang w:eastAsia="zh-CN"/>
        </w:rPr>
      </w:pPr>
      <w:r>
        <w:rPr>
          <w:rFonts w:ascii="Aptos" w:hAnsi="Aptos" w:eastAsia="微软雅黑"/>
          <w:b/>
          <w:color w:val="087A7D"/>
          <w:sz w:val="18"/>
        </w:rPr>
        <w:t>图11</w:t>
      </w:r>
      <w:r>
        <w:rPr>
          <w:rFonts w:ascii="Aptos" w:hAnsi="Aptos" w:eastAsia="宋体"/>
          <w:color w:val="2C3339"/>
          <w:sz w:val="18"/>
        </w:rPr>
        <w:t xml:space="preserve">  Cuttle 三年经营测算（第一年付费用户上限 200 人）</w:t>
      </w:r>
    </w:p>
    <w:p w14:paraId="58ACD8E1" w14:textId="77777777" w:rsidR="00CE1A64" w:rsidRDefault="00000000">
      <w:pPr>
        <w:keepNext/>
        <w:spacing w:before="60" w:after="120"/>
        <w:ind w:left="0" w:firstLine="0"/>
        <w:jc w:val="center"/>
        <w:rPr>
          <w:rFonts w:hint="eastAsia"/>
        </w:rPr>
      </w:pPr>
      <w:r>
        <w:rPr>
          <w:rFonts w:ascii="Aptos" w:hAnsi="Aptos" w:eastAsia="微软雅黑"/>
          <w:b/>
          <w:color w:val="B98A2F"/>
          <w:sz w:val="18"/>
        </w:rPr>
        <w:t>表9</w:t>
      </w:r>
      <w:r>
        <w:rPr>
          <w:rFonts w:ascii="Aptos" w:hAnsi="Aptos" w:eastAsia="宋体"/>
          <w:color w:val="2C3339"/>
          <w:sz w:val="18"/>
        </w:rPr>
        <w:t xml:space="preserve">  三年经营预测</w:t>
      </w:r>
    </w:p>
    <w:tbl>
      <w:tblPr>
        <w:tblW w:w="9638" w:type="dxa"/>
        <w:jc w:val="center"/>
        <w:tblLayout w:type="autofit"/>
        <w:tblLook w:val="04A0" w:firstRow="1" w:lastRow="0" w:firstColumn="1" w:lastColumn="0" w:noHBand="0" w:noVBand="1"/>
      </w:tblPr>
      <w:tblGrid>
        <w:gridCol w:w="1928"/>
        <w:gridCol w:w="1928"/>
        <w:gridCol w:w="1928"/>
        <w:gridCol w:w="1928"/>
        <w:gridCol w:w="1926"/>
      </w:tblGrid>
      <w:tr w:rsidR="00CE1A64" w14:paraId="2C1F49DD" w14:textId="77777777">
        <w:trPr>
          <w:cantSplit/>
          <w:trHeight w:hRule="atLeast"/>
          <w:tblHeader w:val="true"/>
          <w:jc w:val="center"/>
        </w:trPr>
        <w:tc>
          <w:tcPr>
            <w:tcW w:w="1928"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7A091B7B" w14:textId="77777777" w:rsidR="00CE1A64" w:rsidRDefault="00000000">
            <w:pPr>
              <w:spacing w:after="0" w:line="269" w:lineRule="auto"/>
              <w:ind w:firstLine="0" w:left="0"/>
              <w:jc w:val="center"/>
              <w:rPr>
                <w:rFonts w:hint="eastAsia"/>
              </w:rPr>
            </w:pPr>
            <w:r>
              <w:rPr>
                <w:rFonts w:ascii="Aptos" w:hAnsi="Aptos" w:eastAsia="宋体"/>
                <w:b/>
                <w:color w:val="FFFFFF"/>
                <w:sz w:val="16"/>
              </w:rPr>
              <w:t>指标</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4A704587" w14:textId="77777777" w:rsidR="00CE1A64" w:rsidRDefault="00000000">
            <w:pPr>
              <w:spacing w:after="0" w:line="269" w:lineRule="auto"/>
              <w:ind w:firstLine="0" w:left="0"/>
              <w:jc w:val="center"/>
              <w:rPr>
                <w:rFonts w:hint="eastAsia"/>
              </w:rPr>
            </w:pPr>
            <w:r>
              <w:rPr>
                <w:rFonts w:ascii="Aptos" w:hAnsi="Aptos" w:eastAsia="宋体"/>
                <w:b/>
                <w:color w:val="FFFFFF"/>
                <w:sz w:val="16"/>
              </w:rPr>
              <w:t>第一年</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0283205" w14:textId="77777777" w:rsidR="00CE1A64" w:rsidRDefault="00000000">
            <w:pPr>
              <w:spacing w:after="0" w:line="269" w:lineRule="auto"/>
              <w:ind w:firstLine="0" w:left="0"/>
              <w:jc w:val="center"/>
              <w:rPr>
                <w:rFonts w:hint="eastAsia"/>
              </w:rPr>
            </w:pPr>
            <w:r>
              <w:rPr>
                <w:rFonts w:ascii="Aptos" w:hAnsi="Aptos" w:eastAsia="宋体"/>
                <w:b/>
                <w:color w:val="FFFFFF"/>
                <w:sz w:val="16"/>
              </w:rPr>
              <w:t>第二年</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3113CBD3" w14:textId="77777777" w:rsidR="00CE1A64" w:rsidRDefault="00000000">
            <w:pPr>
              <w:spacing w:after="0" w:line="269" w:lineRule="auto"/>
              <w:ind w:firstLine="0" w:left="0"/>
              <w:jc w:val="center"/>
              <w:rPr>
                <w:rFonts w:hint="eastAsia"/>
              </w:rPr>
            </w:pPr>
            <w:r>
              <w:rPr>
                <w:rFonts w:ascii="Aptos" w:hAnsi="Aptos" w:eastAsia="宋体"/>
                <w:b/>
                <w:color w:val="FFFFFF"/>
                <w:sz w:val="16"/>
              </w:rPr>
              <w:t>第三年</w:t>
            </w:r>
          </w:p>
        </w:tc>
        <w:tc>
          <w:tcPr>
            <w:tcW w:w="1926"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110" w:type="dxa"/>
              <w:bottom w:w="55" w:type="dxa"/>
              <w:right w:w="110" w:type="dxa"/>
              <w:start w:w="78" w:type="dxa"/>
              <w:end w:w="78" w:type="dxa"/>
            </w:tcMar>
            <w:vAlign w:val="center"/>
          </w:tcPr>
          <w:p w14:paraId="5F7F279B" w14:textId="77777777" w:rsidR="00CE1A64" w:rsidRDefault="00000000">
            <w:pPr>
              <w:spacing w:after="0" w:line="269" w:lineRule="auto"/>
              <w:ind w:firstLine="0" w:left="0"/>
              <w:jc w:val="center"/>
              <w:rPr>
                <w:rFonts w:hint="eastAsia"/>
              </w:rPr>
            </w:pPr>
            <w:r>
              <w:rPr>
                <w:rFonts w:ascii="Aptos" w:hAnsi="Aptos" w:eastAsia="宋体"/>
                <w:b/>
                <w:color w:val="FFFFFF"/>
                <w:sz w:val="16"/>
              </w:rPr>
              <w:t>口径与依据</w:t>
            </w:r>
          </w:p>
        </w:tc>
      </w:tr>
      <w:tr w:rsidR="00CE1A64" w14:paraId="373C3568"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76173FC"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6"/>
                <w:lang w:eastAsia="zh-CN"/>
              </w:rPr>
              <w:t>个人专业版 付费个人（年末在付）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0AB5614" w14:textId="77777777" w:rsidR="00CE1A64" w:rsidRDefault="00000000">
            <w:pPr>
              <w:spacing w:after="0" w:line="269" w:lineRule="auto"/>
              <w:ind w:firstLine="0" w:left="0"/>
              <w:jc w:val="center"/>
              <w:rPr>
                <w:rFonts w:hint="eastAsia"/>
              </w:rPr>
            </w:pPr>
            <w:r>
              <w:rPr>
                <w:rFonts w:ascii="Aptos" w:hAnsi="Aptos" w:eastAsia="宋体"/>
                <w:b w:val="0"/>
                <w:color w:val="2C3339"/>
                <w:sz w:val="16"/>
              </w:rPr>
              <w:t>80 / 120 / 180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811F456" w14:textId="77777777" w:rsidR="00CE1A64" w:rsidRDefault="00000000">
            <w:pPr>
              <w:spacing w:after="0" w:line="269" w:lineRule="auto"/>
              <w:ind w:firstLine="0" w:left="0"/>
              <w:jc w:val="center"/>
              <w:rPr>
                <w:rFonts w:hint="eastAsia"/>
              </w:rPr>
            </w:pPr>
            <w:r>
              <w:rPr>
                <w:rFonts w:ascii="Aptos" w:hAnsi="Aptos" w:eastAsia="宋体"/>
                <w:b w:val="0"/>
                <w:color w:val="2C3339"/>
                <w:sz w:val="16"/>
              </w:rPr>
              <w:t>600 / 1200 / 2000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3D7747C" w14:textId="77777777" w:rsidR="00CE1A64" w:rsidRDefault="00000000">
            <w:pPr>
              <w:spacing w:after="0" w:line="269" w:lineRule="auto"/>
              <w:ind w:firstLine="0" w:left="0"/>
              <w:jc w:val="center"/>
              <w:rPr>
                <w:rFonts w:hint="eastAsia"/>
              </w:rPr>
            </w:pPr>
            <w:r>
              <w:rPr>
                <w:rFonts w:ascii="Aptos" w:hAnsi="Aptos" w:eastAsia="宋体"/>
                <w:b w:val="0"/>
                <w:color w:val="2C3339"/>
                <w:sz w:val="16"/>
              </w:rPr>
              <w:t>1300 / 2800 / 5000</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B9CBE45"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保守 / 基准 / 进取；年费 240 元，本行用于描述用户规模</w:t>
            </w:r>
          </w:p>
        </w:tc>
      </w:tr>
      <w:tr w:rsidR="00CE1A64" w14:paraId="4639E1F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1BD9B68B"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6"/>
                <w:lang w:eastAsia="zh-CN"/>
              </w:rPr>
              <w:t>个人专业版 年均在付（测算基数）</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A3CAB38" w14:textId="77777777" w:rsidR="00CE1A64" w:rsidRDefault="00000000">
            <w:pPr>
              <w:spacing w:after="0" w:line="269" w:lineRule="auto"/>
              <w:ind w:firstLine="0" w:left="0"/>
              <w:jc w:val="center"/>
              <w:rPr>
                <w:rFonts w:hint="eastAsia"/>
              </w:rPr>
            </w:pPr>
            <w:r>
              <w:rPr>
                <w:rFonts w:ascii="Aptos" w:hAnsi="Aptos" w:eastAsia="宋体"/>
                <w:b w:val="0"/>
                <w:color w:val="2C3339"/>
                <w:sz w:val="16"/>
              </w:rPr>
              <w:t>40 / 60 / 90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4814A13" w14:textId="77777777" w:rsidR="00CE1A64" w:rsidRDefault="00000000">
            <w:pPr>
              <w:spacing w:after="0" w:line="269" w:lineRule="auto"/>
              <w:ind w:firstLine="0" w:left="0"/>
              <w:jc w:val="center"/>
              <w:rPr>
                <w:rFonts w:hint="eastAsia"/>
              </w:rPr>
            </w:pPr>
            <w:r>
              <w:rPr>
                <w:rFonts w:ascii="Aptos" w:hAnsi="Aptos" w:eastAsia="宋体"/>
                <w:b w:val="0"/>
                <w:color w:val="2C3339"/>
                <w:sz w:val="16"/>
              </w:rPr>
              <w:t>395 / 855 / 1435</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F03A6B8" w14:textId="77777777" w:rsidR="00CE1A64" w:rsidRDefault="00000000">
            <w:pPr>
              <w:spacing w:after="0" w:line="269" w:lineRule="auto"/>
              <w:ind w:firstLine="0" w:left="0"/>
              <w:jc w:val="center"/>
              <w:rPr>
                <w:rFonts w:hint="eastAsia"/>
              </w:rPr>
            </w:pPr>
            <w:r>
              <w:rPr>
                <w:rFonts w:ascii="Aptos" w:hAnsi="Aptos" w:eastAsia="宋体"/>
                <w:b w:val="0"/>
                <w:color w:val="2C3339"/>
                <w:sz w:val="16"/>
              </w:rPr>
              <w:t>860 / 1850 / 3300</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A1FEFA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按上年末规模 60% 续订，当年新增按半年加权估算</w:t>
            </w:r>
          </w:p>
        </w:tc>
      </w:tr>
      <w:tr w:rsidR="00CE1A64" w14:paraId="5A1A8FB4"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359E83B8" w14:textId="77777777" w:rsidR="00CE1A64" w:rsidRDefault="00000000">
            <w:pPr>
              <w:spacing w:after="0" w:line="269" w:lineRule="auto"/>
              <w:ind w:firstLine="0" w:left="0"/>
              <w:jc w:val="center"/>
              <w:rPr>
                <w:rFonts w:hint="eastAsia"/>
              </w:rPr>
            </w:pPr>
            <w:r>
              <w:rPr>
                <w:rFonts w:ascii="Aptos" w:hAnsi="Aptos" w:eastAsia="宋体"/>
                <w:b/>
                <w:color w:val="2C3339"/>
                <w:sz w:val="16"/>
              </w:rPr>
              <w:t>团队许可（个）</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D2FEC28"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0 / 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2838ADB" w14:textId="77777777" w:rsidR="00CE1A64" w:rsidRDefault="00000000">
            <w:pPr>
              <w:spacing w:after="0" w:line="269" w:lineRule="auto"/>
              <w:ind w:firstLine="0" w:left="0"/>
              <w:jc w:val="center"/>
              <w:rPr>
                <w:rFonts w:hint="eastAsia"/>
              </w:rPr>
            </w:pPr>
            <w:r>
              <w:rPr>
                <w:rFonts w:ascii="Aptos" w:hAnsi="Aptos" w:eastAsia="宋体"/>
                <w:b w:val="0"/>
                <w:color w:val="2C3339"/>
                <w:sz w:val="16"/>
              </w:rPr>
              <w:t>3 / 5 / 10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B72C29C" w14:textId="77777777" w:rsidR="00CE1A64" w:rsidRDefault="00000000">
            <w:pPr>
              <w:spacing w:after="0" w:line="269" w:lineRule="auto"/>
              <w:ind w:firstLine="0" w:left="0"/>
              <w:jc w:val="center"/>
              <w:rPr>
                <w:rFonts w:hint="eastAsia"/>
              </w:rPr>
            </w:pPr>
            <w:r>
              <w:rPr>
                <w:rFonts w:ascii="Aptos" w:hAnsi="Aptos" w:eastAsia="宋体"/>
                <w:b w:val="0"/>
                <w:color w:val="2C3339"/>
                <w:sz w:val="16"/>
              </w:rPr>
              <w:t>8 / 24 / 40</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CA0A65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4 万元每团队每年；自第二年起计入</w:t>
            </w:r>
          </w:p>
        </w:tc>
      </w:tr>
      <w:tr w:rsidR="00CE1A64" w14:paraId="794D9277"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807D165" w14:textId="77777777" w:rsidR="00CE1A64" w:rsidRDefault="00000000">
            <w:pPr>
              <w:spacing w:after="0" w:line="269" w:lineRule="auto"/>
              <w:ind w:firstLine="0" w:left="0"/>
              <w:jc w:val="center"/>
              <w:rPr>
                <w:rFonts w:hint="eastAsia"/>
              </w:rPr>
            </w:pPr>
            <w:r>
              <w:rPr>
                <w:rFonts w:ascii="Aptos" w:hAnsi="Aptos" w:eastAsia="宋体"/>
                <w:b/>
                <w:color w:val="2C3339"/>
                <w:sz w:val="16"/>
              </w:rPr>
              <w:t>私有部署（个）</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EF8E3D5"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0 / 0</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D4961E8"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0 / 1</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33DE11D" w14:textId="77777777" w:rsidR="00CE1A64" w:rsidRDefault="00000000">
            <w:pPr>
              <w:spacing w:after="0" w:line="269" w:lineRule="auto"/>
              <w:ind w:firstLine="0" w:left="0"/>
              <w:jc w:val="center"/>
              <w:rPr>
                <w:rFonts w:hint="eastAsia"/>
              </w:rPr>
            </w:pPr>
            <w:r>
              <w:rPr>
                <w:rFonts w:ascii="Aptos" w:hAnsi="Aptos" w:eastAsia="宋体"/>
                <w:b w:val="0"/>
                <w:color w:val="2C3339"/>
                <w:sz w:val="16"/>
              </w:rPr>
              <w:t>0 / 2 / 4</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7F1FB96"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18 万元每项目，按验收确认</w:t>
            </w:r>
          </w:p>
        </w:tc>
      </w:tr>
      <w:tr w:rsidR="00CE1A64" w14:paraId="712F5E8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FF8CB6E" w14:textId="77777777" w:rsidR="00CE1A64" w:rsidRDefault="00000000">
            <w:pPr>
              <w:spacing w:after="0" w:line="269" w:lineRule="auto"/>
              <w:ind w:firstLine="0" w:left="0"/>
              <w:jc w:val="center"/>
              <w:rPr>
                <w:rFonts w:hint="eastAsia"/>
              </w:rPr>
            </w:pPr>
            <w:r>
              <w:rPr>
                <w:rFonts w:ascii="Aptos" w:hAnsi="Aptos" w:eastAsia="宋体"/>
                <w:b/>
                <w:color w:val="2C3339"/>
                <w:sz w:val="16"/>
              </w:rPr>
              <w:t>第一年付费用户约束</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A0F986" w14:textId="77777777" w:rsidR="00CE1A64" w:rsidRDefault="00000000">
            <w:pPr>
              <w:spacing w:after="0" w:line="269" w:lineRule="auto"/>
              <w:ind w:firstLine="0" w:left="0"/>
              <w:jc w:val="center"/>
              <w:rPr>
                <w:rFonts w:hint="eastAsia"/>
              </w:rPr>
            </w:pPr>
            <w:r>
              <w:rPr>
                <w:rFonts w:ascii="Aptos" w:hAnsi="Aptos" w:eastAsia="宋体"/>
                <w:b w:val="0"/>
                <w:color w:val="2C3339"/>
                <w:sz w:val="16"/>
              </w:rPr>
              <w:t>不超过 200 人</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8917D39" w14:textId="77777777" w:rsidR="00CE1A64" w:rsidRDefault="00000000">
            <w:pPr>
              <w:spacing w:after="0" w:line="269" w:lineRule="auto"/>
              <w:ind w:firstLine="0" w:left="0"/>
              <w:jc w:val="center"/>
              <w:rPr>
                <w:rFonts w:hint="eastAsia"/>
              </w:rPr>
            </w:pPr>
            <w:r>
              <w:rPr>
                <w:rFonts w:ascii="Aptos" w:hAnsi="Aptos" w:eastAsia="宋体"/>
                <w:b w:val="0"/>
                <w:color w:val="2C3339"/>
                <w:sz w:val="16"/>
              </w:rPr>
              <w:t>—</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07DAAC8" w14:textId="77777777" w:rsidR="00CE1A64" w:rsidRDefault="00000000">
            <w:pPr>
              <w:spacing w:after="0" w:line="269" w:lineRule="auto"/>
              <w:ind w:firstLine="0" w:left="0"/>
              <w:jc w:val="center"/>
              <w:rPr>
                <w:rFonts w:hint="eastAsia"/>
              </w:rPr>
            </w:pPr>
            <w:r>
              <w:rPr>
                <w:rFonts w:ascii="Aptos" w:hAnsi="Aptos" w:eastAsia="宋体"/>
                <w:b w:val="0"/>
                <w:color w:val="2C3339"/>
                <w:sz w:val="16"/>
              </w:rPr>
              <w:t>—</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00D818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来自首年验证容量；本表按 80 / 120 / 180 人测算</w:t>
            </w:r>
          </w:p>
        </w:tc>
      </w:tr>
      <w:tr w:rsidR="00CE1A64" w14:paraId="43E2A747"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14A4140" w14:textId="77777777" w:rsidR="00CE1A64" w:rsidRDefault="00000000">
            <w:pPr>
              <w:spacing w:after="0" w:line="269" w:lineRule="auto"/>
              <w:ind w:firstLine="0" w:left="0"/>
              <w:jc w:val="center"/>
              <w:rPr>
                <w:rFonts w:hint="eastAsia"/>
              </w:rPr>
            </w:pPr>
            <w:r>
              <w:rPr>
                <w:rFonts w:ascii="Aptos" w:hAnsi="Aptos" w:eastAsia="宋体"/>
                <w:b/>
                <w:color w:val="2C3339"/>
                <w:sz w:val="16"/>
              </w:rPr>
              <w:lastRenderedPageBreak/>
              <w:t>营业收入 保守</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8B616C8" w14:textId="77777777" w:rsidR="00CE1A64" w:rsidRDefault="00000000">
            <w:pPr>
              <w:spacing w:after="0" w:line="269" w:lineRule="auto"/>
              <w:ind w:firstLine="0" w:left="0"/>
              <w:jc w:val="center"/>
              <w:rPr>
                <w:rFonts w:hint="eastAsia"/>
              </w:rPr>
            </w:pPr>
            <w:r>
              <w:rPr>
                <w:rFonts w:ascii="Aptos" w:hAnsi="Aptos" w:eastAsia="宋体"/>
                <w:b w:val="0"/>
                <w:color w:val="2C3339"/>
                <w:sz w:val="16"/>
              </w:rPr>
              <w:t>1.0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C94CB06" w14:textId="77777777" w:rsidR="00CE1A64" w:rsidRDefault="00000000">
            <w:pPr>
              <w:spacing w:after="0" w:line="269" w:lineRule="auto"/>
              <w:ind w:firstLine="0" w:left="0"/>
              <w:jc w:val="center"/>
              <w:rPr>
                <w:rFonts w:hint="eastAsia"/>
              </w:rPr>
            </w:pPr>
            <w:r>
              <w:rPr>
                <w:rFonts w:ascii="Aptos" w:hAnsi="Aptos" w:eastAsia="宋体"/>
                <w:b w:val="0"/>
                <w:color w:val="2C3339"/>
                <w:sz w:val="16"/>
              </w:rPr>
              <w:t>21.5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33D9340" w14:textId="77777777" w:rsidR="00CE1A64" w:rsidRDefault="00000000">
            <w:pPr>
              <w:spacing w:after="0" w:line="269" w:lineRule="auto"/>
              <w:ind w:firstLine="0" w:left="0"/>
              <w:jc w:val="center"/>
              <w:rPr>
                <w:rFonts w:hint="eastAsia"/>
              </w:rPr>
            </w:pPr>
            <w:r>
              <w:rPr>
                <w:rFonts w:ascii="Aptos" w:hAnsi="Aptos" w:eastAsia="宋体"/>
                <w:b w:val="0"/>
                <w:color w:val="2C3339"/>
                <w:sz w:val="16"/>
              </w:rPr>
              <w:t>52.6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C46D19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年均在付 40 / 395 / 860 人 × 240 元；团队 0 / 12 / 32 万元；无私有部署</w:t>
            </w:r>
          </w:p>
        </w:tc>
      </w:tr>
      <w:tr w:rsidR="00CE1A64" w14:paraId="69017EE3"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69383584" w14:textId="77777777" w:rsidR="00CE1A64" w:rsidRDefault="00000000">
            <w:pPr>
              <w:spacing w:after="0" w:line="269" w:lineRule="auto"/>
              <w:ind w:firstLine="0" w:left="0"/>
              <w:jc w:val="center"/>
              <w:rPr>
                <w:rFonts w:hint="eastAsia"/>
              </w:rPr>
            </w:pPr>
            <w:r>
              <w:rPr>
                <w:rFonts w:ascii="Aptos" w:hAnsi="Aptos" w:eastAsia="宋体"/>
                <w:b/>
                <w:color w:val="2C3339"/>
                <w:sz w:val="16"/>
              </w:rPr>
              <w:t>营业收入 基准</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C6A0A48" w14:textId="77777777" w:rsidR="00CE1A64" w:rsidRDefault="00000000">
            <w:pPr>
              <w:spacing w:after="0" w:line="269" w:lineRule="auto"/>
              <w:ind w:firstLine="0" w:left="0"/>
              <w:jc w:val="center"/>
              <w:rPr>
                <w:rFonts w:hint="eastAsia"/>
              </w:rPr>
            </w:pPr>
            <w:r>
              <w:rPr>
                <w:rFonts w:ascii="Aptos" w:hAnsi="Aptos" w:eastAsia="宋体"/>
                <w:b w:val="0"/>
                <w:color w:val="2C3339"/>
                <w:sz w:val="16"/>
              </w:rPr>
              <w:t>1.4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193343" w14:textId="77777777" w:rsidR="00CE1A64" w:rsidRDefault="00000000">
            <w:pPr>
              <w:spacing w:after="0" w:line="269" w:lineRule="auto"/>
              <w:ind w:firstLine="0" w:left="0"/>
              <w:jc w:val="center"/>
              <w:rPr>
                <w:rFonts w:hint="eastAsia"/>
              </w:rPr>
            </w:pPr>
            <w:r>
              <w:rPr>
                <w:rFonts w:ascii="Aptos" w:hAnsi="Aptos" w:eastAsia="宋体"/>
                <w:b w:val="0"/>
                <w:color w:val="2C3339"/>
                <w:sz w:val="16"/>
              </w:rPr>
              <w:t>40.5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0D079A5" w14:textId="77777777" w:rsidR="00CE1A64" w:rsidRDefault="00000000">
            <w:pPr>
              <w:spacing w:after="0" w:line="269" w:lineRule="auto"/>
              <w:ind w:firstLine="0" w:left="0"/>
              <w:jc w:val="center"/>
              <w:rPr>
                <w:rFonts w:hint="eastAsia"/>
              </w:rPr>
            </w:pPr>
            <w:r>
              <w:rPr>
                <w:rFonts w:ascii="Aptos" w:hAnsi="Aptos" w:eastAsia="宋体"/>
                <w:b w:val="0"/>
                <w:color w:val="2C3339"/>
                <w:sz w:val="16"/>
              </w:rPr>
              <w:t>176.4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8D75C6D"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年均在付 60 / 855 / 1850 人 × 240 元；团队 0 / 20 / 96 万元；私有部署 0 / 0 / 36 万元</w:t>
            </w:r>
          </w:p>
        </w:tc>
      </w:tr>
      <w:tr w:rsidR="00CE1A64" w14:paraId="104D7786"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796DBAA1" w14:textId="77777777" w:rsidR="00CE1A64" w:rsidRDefault="00000000">
            <w:pPr>
              <w:spacing w:after="0" w:line="269" w:lineRule="auto"/>
              <w:ind w:firstLine="0" w:left="0"/>
              <w:jc w:val="center"/>
              <w:rPr>
                <w:rFonts w:hint="eastAsia"/>
              </w:rPr>
            </w:pPr>
            <w:r>
              <w:rPr>
                <w:rFonts w:ascii="Aptos" w:hAnsi="Aptos" w:eastAsia="宋体"/>
                <w:b/>
                <w:color w:val="2C3339"/>
                <w:sz w:val="16"/>
              </w:rPr>
              <w:t>营业收入 进取</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19DAF79" w14:textId="77777777" w:rsidR="00CE1A64" w:rsidRDefault="00000000">
            <w:pPr>
              <w:spacing w:after="0" w:line="269" w:lineRule="auto"/>
              <w:ind w:firstLine="0" w:left="0"/>
              <w:jc w:val="center"/>
              <w:rPr>
                <w:rFonts w:hint="eastAsia"/>
              </w:rPr>
            </w:pPr>
            <w:r>
              <w:rPr>
                <w:rFonts w:ascii="Aptos" w:hAnsi="Aptos" w:eastAsia="宋体"/>
                <w:b w:val="0"/>
                <w:color w:val="2C3339"/>
                <w:sz w:val="16"/>
              </w:rPr>
              <w:t>2.2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9616789" w14:textId="77777777" w:rsidR="00CE1A64" w:rsidRDefault="00000000">
            <w:pPr>
              <w:spacing w:after="0" w:line="269" w:lineRule="auto"/>
              <w:ind w:firstLine="0" w:left="0"/>
              <w:jc w:val="center"/>
              <w:rPr>
                <w:rFonts w:hint="eastAsia"/>
              </w:rPr>
            </w:pPr>
            <w:r>
              <w:rPr>
                <w:rFonts w:ascii="Aptos" w:hAnsi="Aptos" w:eastAsia="宋体"/>
                <w:b w:val="0"/>
                <w:color w:val="2C3339"/>
                <w:sz w:val="16"/>
              </w:rPr>
              <w:t>92.4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8CDBD8D" w14:textId="77777777" w:rsidR="00CE1A64" w:rsidRDefault="00000000">
            <w:pPr>
              <w:spacing w:after="0" w:line="269" w:lineRule="auto"/>
              <w:ind w:firstLine="0" w:left="0"/>
              <w:jc w:val="center"/>
              <w:rPr>
                <w:rFonts w:hint="eastAsia"/>
              </w:rPr>
            </w:pPr>
            <w:r>
              <w:rPr>
                <w:rFonts w:ascii="Aptos" w:hAnsi="Aptos" w:eastAsia="宋体"/>
                <w:b w:val="0"/>
                <w:color w:val="2C3339"/>
                <w:sz w:val="16"/>
              </w:rPr>
              <w:t>311.2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7ED93D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年均在付 90 / 1435 / 3300 人 × 240 元；团队 0 / 40 / 160 万元；私有部署 0 / 18 / 72 万元</w:t>
            </w:r>
          </w:p>
        </w:tc>
      </w:tr>
      <w:tr w:rsidR="00CE1A64" w14:paraId="40D834F2"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06EF100C" w14:textId="77777777" w:rsidR="00CE1A64" w:rsidRDefault="00000000">
            <w:pPr>
              <w:spacing w:after="0" w:line="269" w:lineRule="auto"/>
              <w:ind w:firstLine="0" w:left="0"/>
              <w:jc w:val="left"/>
              <w:rPr>
                <w:rFonts w:hint="eastAsia"/>
                <w:lang w:eastAsia="zh-CN"/>
              </w:rPr>
            </w:pPr>
            <w:r>
              <w:rPr>
                <w:rFonts w:ascii="Aptos" w:hAnsi="Aptos" w:eastAsia="宋体"/>
                <w:b/>
                <w:color w:val="2C3339"/>
                <w:sz w:val="16"/>
                <w:lang w:eastAsia="zh-CN"/>
              </w:rPr>
              <w:t>经营成本 保守 / 基准 / 进取</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C4750F6" w14:textId="77777777" w:rsidR="00CE1A64" w:rsidRDefault="00000000">
            <w:pPr>
              <w:spacing w:after="0" w:line="269" w:lineRule="auto"/>
              <w:ind w:firstLine="0" w:left="0"/>
              <w:jc w:val="center"/>
              <w:rPr>
                <w:rFonts w:hint="eastAsia"/>
              </w:rPr>
            </w:pPr>
            <w:r>
              <w:rPr>
                <w:rFonts w:ascii="Aptos" w:hAnsi="Aptos" w:eastAsia="宋体"/>
                <w:b w:val="0"/>
                <w:color w:val="2C3339"/>
                <w:sz w:val="16"/>
              </w:rPr>
              <w:t>40 / 50 / 65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6F9B479" w14:textId="77777777" w:rsidR="00CE1A64" w:rsidRDefault="00000000">
            <w:pPr>
              <w:spacing w:after="0" w:line="269" w:lineRule="auto"/>
              <w:ind w:firstLine="0" w:left="0"/>
              <w:jc w:val="center"/>
              <w:rPr>
                <w:rFonts w:hint="eastAsia"/>
              </w:rPr>
            </w:pPr>
            <w:r>
              <w:rPr>
                <w:rFonts w:ascii="Aptos" w:hAnsi="Aptos" w:eastAsia="宋体"/>
                <w:b w:val="0"/>
                <w:color w:val="2C3339"/>
                <w:sz w:val="16"/>
              </w:rPr>
              <w:t>55 / 105 / 190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48D6E41" w14:textId="77777777" w:rsidR="00CE1A64" w:rsidRDefault="00000000">
            <w:pPr>
              <w:spacing w:after="0" w:line="269" w:lineRule="auto"/>
              <w:ind w:firstLine="0" w:left="0"/>
              <w:jc w:val="center"/>
              <w:rPr>
                <w:rFonts w:hint="eastAsia"/>
              </w:rPr>
            </w:pPr>
            <w:r>
              <w:rPr>
                <w:rFonts w:ascii="Aptos" w:hAnsi="Aptos" w:eastAsia="宋体"/>
                <w:b w:val="0"/>
                <w:color w:val="2C3339"/>
                <w:sz w:val="16"/>
              </w:rPr>
              <w:t>80 / 190 / 260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0CBADD3"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6"/>
                <w:lang w:eastAsia="zh-CN"/>
              </w:rPr>
              <w:t>研发、模型、市场与交付</w:t>
            </w:r>
          </w:p>
        </w:tc>
      </w:tr>
      <w:tr w:rsidR="00CE1A64" w14:paraId="53BD62C7"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4173F1B8" w14:textId="77777777" w:rsidR="00CE1A64" w:rsidRDefault="00000000">
            <w:pPr>
              <w:spacing w:after="0" w:line="269" w:lineRule="auto"/>
              <w:ind w:firstLine="0" w:left="0"/>
              <w:jc w:val="center"/>
              <w:rPr>
                <w:rFonts w:hint="eastAsia"/>
              </w:rPr>
            </w:pPr>
            <w:r>
              <w:rPr>
                <w:rFonts w:ascii="Aptos" w:hAnsi="Aptos" w:eastAsia="宋体"/>
                <w:b/>
                <w:color w:val="2C3339"/>
                <w:sz w:val="16"/>
              </w:rPr>
              <w:t>经营结果 保守</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80CF677"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39.0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4457E5CF"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33.5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B1800F9"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27.4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2EA5B4C"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三年均未转正，用于观察下限</w:t>
            </w:r>
          </w:p>
        </w:tc>
      </w:tr>
      <w:tr w:rsidR="00CE1A64" w14:paraId="25E07170"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38342EA" w14:textId="77777777" w:rsidR="00CE1A64" w:rsidRDefault="00000000">
            <w:pPr>
              <w:spacing w:after="0" w:line="269" w:lineRule="auto"/>
              <w:ind w:firstLine="0" w:left="0"/>
              <w:jc w:val="center"/>
              <w:rPr>
                <w:rFonts w:hint="eastAsia"/>
              </w:rPr>
            </w:pPr>
            <w:r>
              <w:rPr>
                <w:rFonts w:ascii="Aptos" w:hAnsi="Aptos" w:eastAsia="宋体"/>
                <w:b/>
                <w:color w:val="2C3339"/>
                <w:sz w:val="16"/>
              </w:rPr>
              <w:t>经营结果 基准</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7DAABD95"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48.6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A37EE46"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64.5 万元</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6EBCB1B1"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13.6 万元</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57F9D15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6"/>
                <w:lang w:eastAsia="zh-CN"/>
              </w:rPr>
              <w:t>第三年接近平衡，仍为负值</w:t>
            </w:r>
          </w:p>
        </w:tc>
      </w:tr>
      <w:tr w:rsidR="00CE1A64" w14:paraId="08963F88" w14:textId="77777777">
        <w:trPr>
          <w:cantSplit/>
          <w:trHeight w:hRule="atLeast"/>
          <w:jc w:val="center"/>
        </w:trPr>
        <w:tc>
          <w:tcPr>
            <w:tcW w:w="1928"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115" w:type="dxa"/>
              <w:bottom w:w="55" w:type="dxa"/>
              <w:right w:w="115" w:type="dxa"/>
              <w:start w:w="78" w:type="dxa"/>
              <w:end w:w="78" w:type="dxa"/>
            </w:tcMar>
            <w:vAlign w:val="center"/>
          </w:tcPr>
          <w:p w14:paraId="2E6C9B13" w14:textId="77777777" w:rsidR="00CE1A64" w:rsidRDefault="00000000">
            <w:pPr>
              <w:spacing w:after="0" w:line="269" w:lineRule="auto"/>
              <w:ind w:firstLine="0" w:left="0"/>
              <w:jc w:val="center"/>
              <w:rPr>
                <w:rFonts w:hint="eastAsia"/>
              </w:rPr>
            </w:pPr>
            <w:r>
              <w:rPr>
                <w:rFonts w:ascii="Aptos" w:hAnsi="Aptos" w:eastAsia="宋体"/>
                <w:b/>
                <w:color w:val="2C3339"/>
                <w:sz w:val="16"/>
              </w:rPr>
              <w:t>经营结果 进取</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1785E306"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62.8 万元</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6631CB9" w14:textId="77777777" w:rsidR="00CE1A64" w:rsidRDefault="00000000">
            <w:pPr>
              <w:spacing w:after="0" w:line="269" w:lineRule="auto"/>
              <w:ind w:firstLine="0" w:left="0"/>
              <w:jc w:val="center"/>
              <w:rPr>
                <w:rFonts w:hint="eastAsia"/>
              </w:rPr>
            </w:pPr>
            <w:r>
              <w:rPr>
                <w:rFonts w:ascii="Aptos" w:hAnsi="Aptos" w:eastAsia="宋体"/>
                <w:b w:val="0"/>
                <w:color w:val="2C3339"/>
                <w:sz w:val="16"/>
              </w:rPr>
              <w:t>负 97.6 万元</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235199E2" w14:textId="77777777" w:rsidR="00CE1A64" w:rsidRDefault="00000000">
            <w:pPr>
              <w:spacing w:after="0" w:line="269" w:lineRule="auto"/>
              <w:ind w:firstLine="0" w:left="0"/>
              <w:jc w:val="center"/>
              <w:rPr>
                <w:rFonts w:hint="eastAsia"/>
              </w:rPr>
            </w:pPr>
            <w:r>
              <w:rPr>
                <w:rFonts w:ascii="Aptos" w:hAnsi="Aptos" w:eastAsia="宋体"/>
                <w:b w:val="0"/>
                <w:color w:val="2C3339"/>
                <w:sz w:val="16"/>
              </w:rPr>
              <w:t>正 51.2 万元</w:t>
            </w:r>
          </w:p>
        </w:tc>
        <w:tc>
          <w:tcPr>
            <w:tcW w:w="1926"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115" w:type="dxa"/>
              <w:bottom w:w="55" w:type="dxa"/>
              <w:right w:w="115" w:type="dxa"/>
              <w:start w:w="78" w:type="dxa"/>
              <w:end w:w="78" w:type="dxa"/>
            </w:tcMar>
            <w:vAlign w:val="center"/>
          </w:tcPr>
          <w:p w14:paraId="0C89412E" w14:textId="77777777" w:rsidR="00CE1A64" w:rsidRDefault="00000000">
            <w:pPr>
              <w:spacing w:after="0" w:line="269" w:lineRule="auto"/>
              <w:ind w:firstLine="0" w:left="0"/>
              <w:jc w:val="center"/>
              <w:rPr>
                <w:rFonts w:hint="eastAsia"/>
              </w:rPr>
            </w:pPr>
            <w:r>
              <w:rPr>
                <w:rFonts w:ascii="Aptos" w:hAnsi="Aptos" w:eastAsia="宋体"/>
                <w:b w:val="0"/>
                <w:color w:val="2C3339"/>
                <w:sz w:val="16"/>
              </w:rPr>
              <w:t>第三年转正</w:t>
            </w:r>
          </w:p>
        </w:tc>
      </w:tr>
    </w:tbl>
    <w:p w14:paraId="070FF24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收入行口径为：付费个人数乘年费标价，加校园团队数乘 4 万元，加私有部署项目数乘 18 万元。第一年基准情景为 600 × 240 元 + 6 × 4 万元 + 1 × 18 万元，合计 53.4 万元；上一版表格中的 47.4 万元属于口径不一致造成的计算错误，本版已重算。第一年经营成本 120 万元与 10.3 节资源需求一致，因此第一年缺口约 66.6 万元，由首轮新增资源覆盖。</w:t>
      </w:r>
    </w:p>
    <w:p w14:paraId="09CDD47A"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对创意组项目而言，比三年营收总额更能说明问题的是四项单位经济指标：单任务模型成本（按任务类型分别统计并给出上四分位值）、单用户年成本（模型、支持与运维合计）、毛利率成立时间点，</w:t>
      </w:r>
      <w:r>
        <w:rPr>
          <w:rFonts w:ascii="Aptos" w:hAnsi="Aptos" w:eastAsia="宋体"/>
          <w:color w:val="2C3339"/>
          <w:sz w:val="21"/>
          <w:lang w:eastAsia="zh-CN"/>
        </w:rPr>
        <w:lastRenderedPageBreak/>
        <w:t>以及校园团队单团队交付成本（含适配、培训与支持工时）。本版测算不追求规模数字的漂亮，而是让任意一行数字都能回答“它是怎么算出来的”。</w:t>
      </w:r>
    </w:p>
    <w:p w14:paraId="385D0185" w14:textId="77777777" w:rsidR="00CE1A64" w:rsidRDefault="00CE1A64">
      <w:pPr>
        <w:spacing w:after="20"/>
        <w:rPr>
          <w:rFonts w:hint="eastAsia"/>
          <w:lang w:eastAsia="zh-CN"/>
        </w:rPr>
      </w:pPr>
    </w:p>
    <w:p w14:paraId="631023C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10.3 资源需求与首轮配置</w:t>
      </w:r>
    </w:p>
    <w:p w14:paraId="7D3A8387"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项目已有资源包括学校实验室与实验工位、团队成员个人设备、指导教师的方法与安全指导、开源模型与本地推理能力，这些不计入现金需求。项目未来两年预计新增资金需求 160 万元，其中第一年 50 万元、第二年 110 万元。资金来源以学校及竞赛创新基金、团队自筹与外部产业合作为主，具体比例随阶段融资落实情况调整。第一年资金用于把原型推进到可验证的试点闭环，并完成对照、消融与红队测试；第二年资金用于场景复制、团队版交付、兼容矩阵扩展与支持运维。资金按决策门分两批释放，任一批未达标即暂停后续投入。基准情景下前两年累计亏损约 113 万元，该额度可覆盖其所需并保留安全边际。</w:t>
      </w:r>
    </w:p>
    <w:p w14:paraId="48D4CF3F" w14:textId="77777777" w:rsidR="00CE1A64" w:rsidRDefault="00CE1A64">
      <w:pPr>
        <w:spacing w:after="20"/>
        <w:rPr>
          <w:rFonts w:hint="eastAsia"/>
          <w:lang w:eastAsia="zh-CN"/>
        </w:rPr>
      </w:pPr>
    </w:p>
    <w:p w14:paraId="271F91CF"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第十一章 风险管理</w:t>
      </w:r>
    </w:p>
    <w:p w14:paraId="0129779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11.1 关键风险与应对</w:t>
      </w:r>
    </w:p>
    <w:p w14:paraId="2EDD709D" w14:textId="77777777" w:rsidR="00CE1A64" w:rsidRDefault="00000000">
      <w:pPr>
        <w:keepNext/>
        <w:spacing w:before="60" w:after="120"/>
        <w:ind w:left="0" w:firstLine="0"/>
        <w:jc w:val="center"/>
        <w:rPr>
          <w:rFonts w:hint="eastAsia"/>
        </w:rPr>
      </w:pPr>
      <w:r>
        <w:rPr>
          <w:rFonts w:ascii="Aptos" w:hAnsi="Aptos" w:eastAsia="微软雅黑"/>
          <w:b/>
          <w:color w:val="B98A2F"/>
          <w:sz w:val="18"/>
        </w:rPr>
        <w:t>表10</w:t>
      </w:r>
      <w:r>
        <w:rPr>
          <w:rFonts w:ascii="Aptos" w:hAnsi="Aptos" w:eastAsia="宋体"/>
          <w:color w:val="2C3339"/>
          <w:sz w:val="18"/>
        </w:rPr>
        <w:t xml:space="preserve">  项目风险登记表</w:t>
      </w:r>
    </w:p>
    <w:tbl>
      <w:tblPr>
        <w:tblW w:w="9638" w:type="dxa"/>
        <w:jc w:val="center"/>
        <w:tblLayout w:type="autofit"/>
        <w:tblLook w:val="04A0" w:firstRow="1" w:lastRow="0" w:firstColumn="1" w:lastColumn="0" w:noHBand="0" w:noVBand="1"/>
      </w:tblPr>
      <w:tblGrid>
        <w:gridCol w:w="1928"/>
        <w:gridCol w:w="1928"/>
        <w:gridCol w:w="1928"/>
        <w:gridCol w:w="1928"/>
        <w:gridCol w:w="1926"/>
      </w:tblGrid>
      <w:tr w:rsidR="00CE1A64" w14:paraId="0618E65F" w14:textId="77777777">
        <w:trPr>
          <w:cantSplit/>
          <w:trHeight w:hRule="atLeast"/>
          <w:tblHeader w:val="true"/>
          <w:jc w:val="center"/>
        </w:trPr>
        <w:tc>
          <w:tcPr>
            <w:tcW w:w="1928" w:type="dxa"/>
            <w:tcBorders>
              <w:top w:val="single" w:sz="10" w:space="0" w:color="242C33"/>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0035F694" w14:textId="77777777" w:rsidR="00CE1A64" w:rsidRDefault="00000000">
            <w:pPr>
              <w:spacing w:after="0" w:line="269" w:lineRule="auto"/>
              <w:ind w:firstLine="0" w:left="0"/>
              <w:jc w:val="center"/>
              <w:rPr>
                <w:rFonts w:hint="eastAsia"/>
              </w:rPr>
            </w:pPr>
            <w:r>
              <w:rPr>
                <w:rFonts w:ascii="Aptos" w:hAnsi="Aptos" w:eastAsia="宋体"/>
                <w:b/>
                <w:color w:val="FFFFFF"/>
                <w:sz w:val="17"/>
              </w:rPr>
              <w:t>风险</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31414BF1" w14:textId="77777777" w:rsidR="00CE1A64" w:rsidRDefault="00000000">
            <w:pPr>
              <w:spacing w:after="0" w:line="269" w:lineRule="auto"/>
              <w:ind w:firstLine="0" w:left="0"/>
              <w:jc w:val="center"/>
              <w:rPr>
                <w:rFonts w:hint="eastAsia"/>
              </w:rPr>
            </w:pPr>
            <w:r>
              <w:rPr>
                <w:rFonts w:ascii="Aptos" w:hAnsi="Aptos" w:eastAsia="宋体"/>
                <w:b/>
                <w:color w:val="FFFFFF"/>
                <w:sz w:val="17"/>
              </w:rPr>
              <w:t>概率</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310B3947" w14:textId="77777777" w:rsidR="00CE1A64" w:rsidRDefault="00000000">
            <w:pPr>
              <w:spacing w:after="0" w:line="269" w:lineRule="auto"/>
              <w:ind w:firstLine="0" w:left="0"/>
              <w:jc w:val="center"/>
              <w:rPr>
                <w:rFonts w:hint="eastAsia"/>
              </w:rPr>
            </w:pPr>
            <w:r>
              <w:rPr>
                <w:rFonts w:ascii="Aptos" w:hAnsi="Aptos" w:eastAsia="宋体"/>
                <w:b/>
                <w:color w:val="FFFFFF"/>
                <w:sz w:val="17"/>
              </w:rPr>
              <w:t>影响</w:t>
            </w:r>
          </w:p>
        </w:tc>
        <w:tc>
          <w:tcPr>
            <w:tcW w:w="1928" w:type="dxa"/>
            <w:tcBorders>
              <w:top w:val="single" w:sz="10" w:space="0" w:color="242C33"/>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16A12569" w14:textId="77777777" w:rsidR="00CE1A64" w:rsidRDefault="00000000">
            <w:pPr>
              <w:spacing w:after="0" w:line="269" w:lineRule="auto"/>
              <w:ind w:firstLine="0" w:left="0"/>
              <w:jc w:val="center"/>
              <w:rPr>
                <w:rFonts w:hint="eastAsia"/>
              </w:rPr>
            </w:pPr>
            <w:r>
              <w:rPr>
                <w:rFonts w:ascii="Aptos" w:hAnsi="Aptos" w:eastAsia="宋体"/>
                <w:b/>
                <w:color w:val="FFFFFF"/>
                <w:sz w:val="17"/>
              </w:rPr>
              <w:t>预警信号</w:t>
            </w:r>
          </w:p>
        </w:tc>
        <w:tc>
          <w:tcPr>
            <w:tcW w:w="1926" w:type="dxa"/>
            <w:tcBorders>
              <w:top w:val="single" w:sz="10" w:space="0" w:color="242C33"/>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242C33"/>
            <w:tcMar>
              <w:top w:w="55" w:type="dxa"/>
              <w:left w:w="60" w:type="dxa"/>
              <w:bottom w:w="55" w:type="dxa"/>
              <w:right w:w="60" w:type="dxa"/>
              <w:start w:w="78" w:type="dxa"/>
              <w:end w:w="78" w:type="dxa"/>
            </w:tcMar>
            <w:vAlign w:val="center"/>
          </w:tcPr>
          <w:p w14:paraId="3F24E95A" w14:textId="77777777" w:rsidR="00CE1A64" w:rsidRDefault="00000000">
            <w:pPr>
              <w:spacing w:after="0" w:line="269" w:lineRule="auto"/>
              <w:ind w:firstLine="0" w:left="0"/>
              <w:jc w:val="center"/>
              <w:rPr>
                <w:rFonts w:hint="eastAsia"/>
              </w:rPr>
            </w:pPr>
            <w:r>
              <w:rPr>
                <w:rFonts w:ascii="Aptos" w:hAnsi="Aptos" w:eastAsia="宋体"/>
                <w:b/>
                <w:color w:val="FFFFFF"/>
                <w:sz w:val="17"/>
              </w:rPr>
              <w:t>应对措施</w:t>
            </w:r>
          </w:p>
        </w:tc>
      </w:tr>
      <w:tr w:rsidR="00CE1A64" w14:paraId="3C9CFE72"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044A7D04" w14:textId="77777777" w:rsidR="00CE1A64" w:rsidRDefault="00000000">
            <w:pPr>
              <w:spacing w:after="0" w:line="269" w:lineRule="auto"/>
              <w:ind w:firstLine="0" w:left="0"/>
              <w:jc w:val="center"/>
              <w:rPr>
                <w:rFonts w:hint="eastAsia"/>
              </w:rPr>
            </w:pPr>
            <w:r>
              <w:rPr>
                <w:rFonts w:ascii="Aptos" w:hAnsi="Aptos" w:eastAsia="宋体"/>
                <w:b/>
                <w:color w:val="2C3339"/>
                <w:sz w:val="17"/>
              </w:rPr>
              <w:t>输入法信任风险</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38AAC644"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0A84E0F1"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6B646E8"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用户担心输入内容被读取</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39CB0574"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默认最小读取，可逐应用关闭，独立审计</w:t>
            </w:r>
          </w:p>
        </w:tc>
      </w:tr>
      <w:tr w:rsidR="00CE1A64" w14:paraId="31AEEF12"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6DDA23F1" w14:textId="77777777" w:rsidR="00CE1A64" w:rsidRDefault="00000000">
            <w:pPr>
              <w:spacing w:after="0" w:line="269" w:lineRule="auto"/>
              <w:ind w:firstLine="0" w:left="0"/>
              <w:jc w:val="center"/>
              <w:rPr>
                <w:rFonts w:hint="eastAsia"/>
              </w:rPr>
            </w:pPr>
            <w:r>
              <w:rPr>
                <w:rFonts w:ascii="Aptos" w:hAnsi="Aptos" w:eastAsia="宋体"/>
                <w:b/>
                <w:color w:val="2C3339"/>
                <w:sz w:val="17"/>
              </w:rPr>
              <w:t>输入延迟风险</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4A1CE28"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E6ECD3E"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BC48EE6"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正常打字出现可感延迟</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EAB036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快慢路径分离，打字链路不调用模型，设延迟上限</w:t>
            </w:r>
          </w:p>
        </w:tc>
      </w:tr>
      <w:tr w:rsidR="00CE1A64" w14:paraId="7744B7BB"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1F165F3B" w14:textId="77777777" w:rsidR="00CE1A64" w:rsidRDefault="00000000">
            <w:pPr>
              <w:spacing w:after="0" w:line="269" w:lineRule="auto"/>
              <w:ind w:firstLine="0" w:left="0"/>
              <w:jc w:val="center"/>
              <w:rPr>
                <w:rFonts w:hint="eastAsia"/>
              </w:rPr>
            </w:pPr>
            <w:r>
              <w:rPr>
                <w:rFonts w:ascii="Aptos" w:hAnsi="Aptos" w:eastAsia="宋体"/>
                <w:b/>
                <w:color w:val="2C3339"/>
                <w:sz w:val="17"/>
              </w:rPr>
              <w:t>提示注入与情境污染</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38501E2B"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4A23940"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0E7B4018"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文档或网页内嵌指令影响授权范围</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956854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情境与指令隔离，来源标记，高风险二次确认</w:t>
            </w:r>
          </w:p>
        </w:tc>
      </w:tr>
      <w:tr w:rsidR="00CE1A64" w14:paraId="1B4BCDF4"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22497C31" w14:textId="77777777" w:rsidR="00CE1A64" w:rsidRDefault="00000000">
            <w:pPr>
              <w:spacing w:after="0" w:line="269" w:lineRule="auto"/>
              <w:ind w:firstLine="0" w:left="0"/>
              <w:jc w:val="center"/>
              <w:rPr>
                <w:rFonts w:hint="eastAsia"/>
              </w:rPr>
            </w:pPr>
            <w:r>
              <w:rPr>
                <w:rFonts w:ascii="Aptos" w:hAnsi="Aptos" w:eastAsia="宋体"/>
                <w:b/>
                <w:color w:val="2C3339"/>
                <w:sz w:val="17"/>
              </w:rPr>
              <w:t>情境误判与隐私</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82E35FE"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FDA5B72"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6F2D5CB"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敏感字段被读取，用户纠正上升</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D009B1E"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禁止字段硬屏蔽，最小读取，独立审计</w:t>
            </w:r>
          </w:p>
        </w:tc>
      </w:tr>
      <w:tr w:rsidR="00CE1A64" w14:paraId="0B6E0B63" w14:textId="77777777">
        <w:trPr>
          <w:cantSplit/>
          <w:trHeight w:hRule="atLeast"/>
          <w:jc w:val="center"/>
        </w:trPr>
        <w:tc>
          <w:tcPr>
            <w:tcW w:w="1928" w:type="dxa"/>
            <w:tcBorders>
              <w:top w:val="single" w:sz="4" w:space="0" w:color="D7D3CB"/>
              <w:left w:val="single" w:sz="6" w:space="0" w:color="D9D9D9"/>
              <w:bottom w:val="single" w:sz="4" w:space="0" w:color="D7D3CB"/>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4628CD73" w14:textId="77777777" w:rsidR="00CE1A64" w:rsidRDefault="00000000">
            <w:pPr>
              <w:spacing w:after="0" w:line="269" w:lineRule="auto"/>
              <w:ind w:firstLine="0" w:left="0"/>
              <w:jc w:val="center"/>
              <w:rPr>
                <w:rFonts w:hint="eastAsia"/>
              </w:rPr>
            </w:pPr>
            <w:r>
              <w:rPr>
                <w:rFonts w:ascii="Aptos" w:hAnsi="Aptos" w:eastAsia="宋体"/>
                <w:b/>
                <w:color w:val="2C3339"/>
                <w:sz w:val="17"/>
              </w:rPr>
              <w:t>执行误操作</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265E9D61"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6C85B99" w14:textId="77777777" w:rsidR="00CE1A64" w:rsidRDefault="00000000">
            <w:pPr>
              <w:spacing w:after="0" w:line="269" w:lineRule="auto"/>
              <w:ind w:firstLine="0" w:left="0"/>
              <w:jc w:val="center"/>
              <w:rPr>
                <w:rFonts w:hint="eastAsia"/>
              </w:rPr>
            </w:pPr>
            <w:r>
              <w:rPr>
                <w:rFonts w:ascii="Aptos" w:hAnsi="Aptos" w:eastAsia="宋体"/>
                <w:b w:val="0"/>
                <w:color w:val="2C3339"/>
                <w:sz w:val="17"/>
              </w:rPr>
              <w:t>极高</w:t>
            </w:r>
          </w:p>
        </w:tc>
        <w:tc>
          <w:tcPr>
            <w:tcW w:w="1928" w:type="dxa"/>
            <w:tcBorders>
              <w:top w:val="single" w:sz="4" w:space="0" w:color="D7D3CB"/>
              <w:left w:val="single" w:sz="6" w:space="0" w:color="D9D9D9"/>
              <w:bottom w:val="single" w:sz="4" w:space="0" w:color="D7D3CB"/>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1F6EA964" w14:textId="77777777" w:rsidR="00CE1A64" w:rsidRDefault="00000000">
            <w:pPr>
              <w:spacing w:after="0" w:line="269" w:lineRule="auto"/>
              <w:ind w:firstLine="0" w:left="0"/>
              <w:jc w:val="center"/>
              <w:rPr>
                <w:rFonts w:hint="eastAsia"/>
                <w:lang w:eastAsia="zh-CN"/>
              </w:rPr>
            </w:pPr>
            <w:r>
              <w:rPr>
                <w:rFonts w:ascii="Aptos" w:hAnsi="Aptos" w:eastAsia="宋体"/>
                <w:b w:val="0"/>
                <w:color w:val="2C3339"/>
                <w:sz w:val="17"/>
                <w:lang w:eastAsia="zh-CN"/>
              </w:rPr>
              <w:t>越权、外发或不可逆动作</w:t>
            </w:r>
          </w:p>
        </w:tc>
        <w:tc>
          <w:tcPr>
            <w:tcW w:w="1926" w:type="dxa"/>
            <w:tcBorders>
              <w:top w:val="single" w:sz="4" w:space="0" w:color="D7D3CB"/>
              <w:left w:val="single" w:sz="6" w:space="0" w:color="D9D9D9"/>
              <w:bottom w:val="single" w:sz="4" w:space="0" w:color="D7D3CB"/>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3652CA1"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最小权限，独立审批，预览，沙箱与回滚</w:t>
            </w:r>
          </w:p>
        </w:tc>
      </w:tr>
      <w:tr w:rsidR="00CE1A64" w14:paraId="1365ABBF" w14:textId="77777777">
        <w:trPr>
          <w:cantSplit/>
          <w:trHeight w:hRule="atLeast"/>
          <w:jc w:val="center"/>
        </w:trPr>
        <w:tc>
          <w:tcPr>
            <w:tcW w:w="1928" w:type="dxa"/>
            <w:tcBorders>
              <w:top w:val="single" w:sz="4" w:space="0" w:color="D7D3CB"/>
              <w:left w:val="single" w:sz="6" w:space="0" w:color="D9D9D9"/>
              <w:bottom w:val="single" w:sz="8" w:space="0" w:color="242C33"/>
              <w:right w:val="single" w:sz="6" w:space="0" w:color="D9D9D9"/>
              <w:start w:val="single" w:sz="8" w:color="242C33"/>
              <w:end w:val="single" w:sz="4" w:color="D7D3CB"/>
              <w:insideH w:val="single" w:sz="4" w:color="D7D3CB"/>
              <w:insideV w:val="single" w:sz="4" w:color="D7D3CB"/>
            </w:tcBorders>
            <w:shd w:val="clear" w:color="auto" w:fill="F1EFEA"/>
            <w:tcMar>
              <w:top w:w="55" w:type="dxa"/>
              <w:left w:w="60" w:type="dxa"/>
              <w:bottom w:w="55" w:type="dxa"/>
              <w:right w:w="60" w:type="dxa"/>
              <w:start w:w="78" w:type="dxa"/>
              <w:end w:w="78" w:type="dxa"/>
            </w:tcMar>
            <w:vAlign w:val="center"/>
          </w:tcPr>
          <w:p w14:paraId="17B781DA" w14:textId="77777777" w:rsidR="00CE1A64" w:rsidRDefault="00000000">
            <w:pPr>
              <w:spacing w:after="0" w:line="269" w:lineRule="auto"/>
              <w:ind w:firstLine="0" w:left="0"/>
              <w:jc w:val="center"/>
              <w:rPr>
                <w:rFonts w:hint="eastAsia"/>
                <w:lang w:eastAsia="zh-CN"/>
              </w:rPr>
            </w:pPr>
            <w:r>
              <w:rPr>
                <w:rFonts w:ascii="Aptos" w:hAnsi="Aptos" w:eastAsia="宋体"/>
                <w:b/>
                <w:color w:val="2C3339"/>
                <w:sz w:val="17"/>
                <w:lang w:eastAsia="zh-CN"/>
              </w:rPr>
              <w:t>平台厂商集成同类能力</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75FD341A" w14:textId="77777777" w:rsidR="00CE1A64" w:rsidRDefault="00000000">
            <w:pPr>
              <w:spacing w:after="0" w:line="269" w:lineRule="auto"/>
              <w:ind w:firstLine="0" w:left="0"/>
              <w:jc w:val="center"/>
              <w:rPr>
                <w:rFonts w:hint="eastAsia"/>
              </w:rPr>
            </w:pPr>
            <w:r>
              <w:rPr>
                <w:rFonts w:ascii="Aptos" w:hAnsi="Aptos" w:eastAsia="宋体"/>
                <w:b w:val="0"/>
                <w:color w:val="2C3339"/>
                <w:sz w:val="17"/>
              </w:rPr>
              <w:t>中</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0DC4B439" w14:textId="77777777" w:rsidR="00CE1A64" w:rsidRDefault="00000000">
            <w:pPr>
              <w:spacing w:after="0" w:line="269" w:lineRule="auto"/>
              <w:ind w:firstLine="0" w:left="0"/>
              <w:jc w:val="center"/>
              <w:rPr>
                <w:rFonts w:hint="eastAsia"/>
              </w:rPr>
            </w:pPr>
            <w:r>
              <w:rPr>
                <w:rFonts w:ascii="Aptos" w:hAnsi="Aptos" w:eastAsia="宋体"/>
                <w:b w:val="0"/>
                <w:color w:val="2C3339"/>
                <w:sz w:val="17"/>
              </w:rPr>
              <w:t>高</w:t>
            </w:r>
          </w:p>
        </w:tc>
        <w:tc>
          <w:tcPr>
            <w:tcW w:w="1928" w:type="dxa"/>
            <w:tcBorders>
              <w:top w:val="single" w:sz="4" w:space="0" w:color="D7D3CB"/>
              <w:left w:val="single" w:sz="6" w:space="0" w:color="D9D9D9"/>
              <w:bottom w:val="single" w:sz="8" w:space="0" w:color="242C33"/>
              <w:right w:val="single" w:sz="6" w:space="0" w:color="D9D9D9"/>
              <w:start w:val="single" w:sz="4" w:color="D7D3CB"/>
              <w:end w:val="single" w:sz="4" w:color="D7D3CB"/>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4E429C0A"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系统或头部输入法内置相似入口</w:t>
            </w:r>
          </w:p>
        </w:tc>
        <w:tc>
          <w:tcPr>
            <w:tcW w:w="1926" w:type="dxa"/>
            <w:tcBorders>
              <w:top w:val="single" w:sz="4" w:space="0" w:color="D7D3CB"/>
              <w:left w:val="single" w:sz="6" w:space="0" w:color="D9D9D9"/>
              <w:bottom w:val="single" w:sz="8" w:space="0" w:color="242C33"/>
              <w:right w:val="single" w:sz="6" w:space="0" w:color="D9D9D9"/>
              <w:start w:val="single" w:sz="4" w:color="D7D3CB"/>
              <w:end w:val="single" w:sz="8" w:color="242C33"/>
              <w:insideH w:val="single" w:sz="4" w:color="D7D3CB"/>
              <w:insideV w:val="single" w:sz="4" w:color="D7D3CB"/>
            </w:tcBorders>
            <w:shd w:val="clear" w:color="auto" w:fill="FCFBF8"/>
            <w:tcMar>
              <w:top w:w="55" w:type="dxa"/>
              <w:left w:w="60" w:type="dxa"/>
              <w:bottom w:w="55" w:type="dxa"/>
              <w:right w:w="60" w:type="dxa"/>
              <w:start w:w="78" w:type="dxa"/>
              <w:end w:w="78" w:type="dxa"/>
            </w:tcMar>
            <w:vAlign w:val="center"/>
          </w:tcPr>
          <w:p w14:paraId="6C690159" w14:textId="77777777" w:rsidR="00CE1A64" w:rsidRDefault="00000000">
            <w:pPr>
              <w:spacing w:after="0" w:line="269" w:lineRule="auto"/>
              <w:ind w:firstLine="0" w:left="0"/>
              <w:jc w:val="left"/>
              <w:rPr>
                <w:rFonts w:hint="eastAsia"/>
                <w:lang w:eastAsia="zh-CN"/>
              </w:rPr>
            </w:pPr>
            <w:r>
              <w:rPr>
                <w:rFonts w:ascii="Aptos" w:hAnsi="Aptos" w:eastAsia="宋体"/>
                <w:b w:val="0"/>
                <w:color w:val="2C3339"/>
                <w:sz w:val="17"/>
                <w:lang w:eastAsia="zh-CN"/>
              </w:rPr>
              <w:t>聚焦跨应用协议与可靠性，入口与模型可替换</w:t>
            </w:r>
          </w:p>
        </w:tc>
      </w:tr>
    </w:tbl>
    <w:p w14:paraId="3E7A6DF7" w14:textId="77777777" w:rsidR="00CE1A64" w:rsidRDefault="00CE1A64">
      <w:pPr>
        <w:spacing w:after="20"/>
        <w:rPr>
          <w:rFonts w:hint="eastAsia"/>
          <w:lang w:eastAsia="zh-CN"/>
        </w:rPr>
      </w:pPr>
    </w:p>
    <w:p w14:paraId="79D983AE"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11.2 阶段决策与调整机制</w:t>
      </w:r>
    </w:p>
    <w:p w14:paraId="289D9A1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在每一阶段设置明确的停止或转向条件。若用户在输入位置不愿授权情境读取，则改为主动选区与快捷指令；若三维决策相比固定策略没有可测收益，则退回固定档位并只在高风险动作加审批；若组队评分与实测收益长期不相关，则取消组队预测，改为按任务模板静态组队；若独立验证组的首用表现与纵向组差距过大，则优先修复新用户上手路径；若团队客户缺乏付费意愿，则先做个人订阅与开发者生态。</w:t>
      </w:r>
    </w:p>
    <w:p w14:paraId="412CD273"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按影响程度对风险分级治理。输入法信任、隐私泄露与执行误操作列为一级风险，由发布门槛控制，不达标即冻结发布；输入延迟与平台厂商集成同类能力列为二级风险，以性能降级与差异化能力建设应对。风险状态每两周随产品评审更新，达到预警条件时触发暂停、降级或转向决策，并在下一版本以回归测试固化整改结果。</w:t>
      </w:r>
    </w:p>
    <w:p w14:paraId="6F924FCE"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第十二章 社会价值与发展愿景</w:t>
      </w:r>
    </w:p>
    <w:p w14:paraId="5B0C7D5B"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12.1 知识工作的直接价值</w:t>
      </w:r>
    </w:p>
    <w:p w14:paraId="0931FF14"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计划把资料搬运、格式返工与重复提示交给受控工具，缩短知识工作的交付周期。通过来源、证据、修改与验收记录，项目鼓励用户对 AI 结果保持审阅责任，避免把生成内容直接当作结论。对于项目与科研材料，版本化成果有助于团队复盘过程、发现错误并积累可复用的方法。</w:t>
      </w:r>
    </w:p>
    <w:p w14:paraId="5E134EC6"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12.2 可信人工智能与数字包容</w:t>
      </w:r>
    </w:p>
    <w:p w14:paraId="25C1D7B9"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项目把权限、审批、数据最小化和失败恢复放在效率之前，使普通用户也能理解系统正在读取什么、准备做什么、完成了什么以及如何撤销。语音、自然语言和界面解释能够降低复杂 Agent 的使用门槛；本地优先和模型可替换架构则为高校、实验室和对数据敏感的机构提供更可控的应用路径。</w:t>
      </w:r>
    </w:p>
    <w:p w14:paraId="187DAD39" w14:textId="77777777" w:rsidR="00CE1A64" w:rsidRDefault="00000000">
      <w:pPr>
        <w:pStyle w:val="21"/>
        <w:ind w:left="159" w:firstLine="0"/>
        <w:jc w:val="left"/>
        <w:rPr>
          <w:rFonts w:hint="eastAsia"/>
          <w:lang w:eastAsia="zh-CN"/>
        </w:rPr>
        <w:pBdr>
          <w:left w:val="single" w:sz="14" w:space="7" w:color="087A7D"/>
        </w:pBdr>
      </w:pPr>
      <w:r>
        <w:rPr>
          <w:rFonts w:ascii="Aptos" w:hAnsi="Aptos" w:eastAsia="微软雅黑"/>
          <w:b/>
          <w:color w:val="242C33"/>
          <w:sz w:val="25"/>
          <w:lang w:eastAsia="zh-CN"/>
        </w:rPr>
        <w:t>12.3 发展愿景</w:t>
      </w:r>
    </w:p>
    <w:p w14:paraId="286B3575" w14:textId="77777777" w:rsidR="00CE1A64" w:rsidRDefault="00000000">
      <w:pPr>
        <w:widowControl/>
        <w:spacing w:line="341" w:lineRule="auto" w:after="80"/>
        <w:ind w:firstLine="420"/>
        <w:jc w:val="both"/>
        <w:rPr>
          <w:rFonts w:hint="eastAsia"/>
          <w:lang w:eastAsia="zh-CN"/>
        </w:rPr>
      </w:pPr>
      <w:r>
        <w:rPr>
          <w:rFonts w:ascii="Aptos" w:hAnsi="Aptos" w:eastAsia="宋体"/>
          <w:color w:val="2C3339"/>
          <w:sz w:val="21"/>
          <w:lang w:eastAsia="zh-CN"/>
        </w:rPr>
        <w:t>Cuttle 的长期目标是成为个人电脑上的意图层。用户在任何应用中表达需求时，系统以最小必要情境理解任务，以适当的工具或智能体完成工作，以清晰证据说明结果，并把成果送回用户原本工作的地方。项目以用户搬运减少、任务可靠性提升和权限保留程度作为主要衡量标准。</w:t>
      </w:r>
    </w:p>
    <w:p w14:paraId="33EE8380" w14:textId="77777777" w:rsidR="00CE1A64" w:rsidRDefault="00000000">
      <w:pPr>
        <w:pStyle w:val="1"/>
        <w:pageBreakBefore w:val="0"/>
        <w:ind w:left="0" w:firstLine="0"/>
        <w:jc w:val="left"/>
        <w:rPr>
          <w:rFonts w:hint="eastAsia"/>
          <w:lang w:eastAsia="zh-CN"/>
        </w:rPr>
        <w:pBdr>
          <w:bottom w:val="single" w:sz="7" w:space="4" w:color="B98A2F"/>
        </w:pBdr>
      </w:pPr>
      <w:r>
        <w:rPr>
          <w:rFonts w:ascii="Aptos" w:hAnsi="Aptos" w:eastAsia="微软雅黑"/>
          <w:b/>
          <w:color w:val="242C33"/>
          <w:sz w:val="33"/>
          <w:lang w:eastAsia="zh-CN"/>
        </w:rPr>
        <w:lastRenderedPageBreak/>
        <w:t>参考资料</w:t>
      </w:r>
    </w:p>
    <w:p w14:paraId="60378F9A"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[1] 教育部. 关于举办中国国际大学生创新大赛（2026）的通知[Z]. 2026.</w:t>
      </w:r>
    </w:p>
    <w:p w14:paraId="4E8CF96F"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[2] 中国国际大学生创新大赛组织委员会. 中国国际大学生创新大赛（2026）高教主赛道创意组评审规则[Z]. 2026.</w:t>
      </w:r>
    </w:p>
    <w:p w14:paraId="114A0625"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[3] 中国互联网络信息中心. 第 57 次中国互联网络发展状况统计报告[R]. 北京: 中国互联网络信息中心, 2026.</w:t>
      </w:r>
    </w:p>
    <w:p w14:paraId="5FDA85B7"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[4] 教育部. 2025 年全国教育事业发展统计公报[R]. 北京: 教育部, 2026.</w:t>
      </w:r>
    </w:p>
    <w:p w14:paraId="5D48BA3C"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[5] 工业和信息化部. 2025 年软件业运行情况[R]. 北京: 工业和信息化部, 2026.</w:t>
      </w:r>
    </w:p>
    <w:p w14:paraId="4A1D7A32" w14:textId="77777777" w:rsidR="00CE1A64" w:rsidRDefault="00000000">
      <w:pPr>
        <w:spacing w:after="16" w:line="240" w:lineRule="auto"/>
        <w:ind w:left="312" w:hanging="312"/>
        <w:jc w:val="left"/>
        <w:rPr>
          <w:rFonts w:hint="eastAsia"/>
        </w:rPr>
      </w:pPr>
      <w:r>
        <w:rPr>
          <w:color w:val="2C3339"/>
          <w:sz w:val="16"/>
          <w:u w:val="none"/>
          <w:rFonts w:eastAsia="宋体"/>
        </w:rPr>
        <w:t>[6] 搜狗输入法. 版本升级日志[EB/OL]. https://pinyin.sogou.com/changelog.php.</w:t>
      </w:r>
    </w:p>
    <w:p w14:paraId="67E5A74E" w14:textId="77777777" w:rsidR="00CE1A64" w:rsidRDefault="00000000">
      <w:pPr>
        <w:spacing w:after="16" w:line="240" w:lineRule="auto"/>
        <w:ind w:left="312" w:hanging="312"/>
        <w:jc w:val="left"/>
        <w:rPr>
          <w:rFonts w:hint="eastAsia"/>
        </w:rPr>
      </w:pPr>
      <w:r>
        <w:rPr>
          <w:color w:val="2C3339"/>
          <w:sz w:val="16"/>
          <w:u w:val="none"/>
          <w:rFonts w:eastAsia="宋体"/>
        </w:rPr>
        <w:t>[7] Wispr Flow. Context Awareness[EB/OL]. https://docs.wisprflow.ai/articles/4678293671-Context-Awareness.</w:t>
      </w:r>
    </w:p>
    <w:p w14:paraId="70503EB0" w14:textId="77777777" w:rsidR="00CE1A64" w:rsidRDefault="00000000">
      <w:pPr>
        <w:spacing w:after="16" w:line="240" w:lineRule="auto"/>
        <w:ind w:left="312" w:hanging="312"/>
        <w:jc w:val="left"/>
        <w:rPr>
          <w:rFonts w:hint="eastAsia"/>
        </w:rPr>
      </w:pPr>
      <w:r>
        <w:rPr>
          <w:color w:val="2C3339"/>
          <w:sz w:val="16"/>
          <w:u w:val="none"/>
          <w:rFonts w:eastAsia="宋体"/>
        </w:rPr>
        <w:t>[8] OpenAI. Introducing the Codex app[EB/OL]. https://openai.com/index/introducing-the-codex-app/.</w:t>
      </w:r>
    </w:p>
    <w:p w14:paraId="5181E098"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[9] 全国人民代表大会常务委员会. 中华人民共和国个人信息保护法[Z]. 2021.</w:t>
      </w:r>
    </w:p>
    <w:p w14:paraId="7E920E64"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[10] 全国人民代表大会常务委员会. 中华人民共和国数据安全法[Z]. 2021.</w:t>
      </w:r>
    </w:p>
    <w:p w14:paraId="443F171A" w14:textId="77777777" w:rsidR="00CE1A64" w:rsidRDefault="00000000">
      <w:pPr>
        <w:spacing w:after="16" w:line="240" w:lineRule="auto"/>
        <w:ind w:left="312" w:hanging="312"/>
        <w:jc w:val="left"/>
        <w:rPr>
          <w:rFonts w:hint="eastAsia"/>
          <w:lang w:eastAsia="zh-CN"/>
        </w:rPr>
      </w:pPr>
      <w:r>
        <w:rPr>
          <w:color w:val="2C3339"/>
          <w:sz w:val="16"/>
          <w:u w:val="none"/>
          <w:lang w:eastAsia="zh-CN"/>
          <w:rFonts w:eastAsia="宋体"/>
        </w:rPr>
        <w:t>[11] 国家互联网信息办公室等. 生成式人工智能服务管理暂行办法[Z]. 2023.</w:t>
      </w:r>
    </w:p>
    <w:p w14:paraId="43661530" w14:textId="77777777" w:rsidR="00CE1A64" w:rsidRDefault="00000000">
      <w:pPr>
        <w:spacing w:after="16" w:line="240" w:lineRule="auto"/>
        <w:ind w:left="312" w:hanging="312"/>
        <w:jc w:val="left"/>
        <w:rPr>
          <w:rFonts w:hint="eastAsia"/>
        </w:rPr>
      </w:pPr>
      <w:r>
        <w:rPr>
          <w:color w:val="2C3339"/>
          <w:sz w:val="16"/>
          <w:u w:val="none"/>
          <w:rFonts w:eastAsia="宋体"/>
        </w:rPr>
        <w:t>[12] Xiaomi. MiMo Desktop 产品文档[EB/OL]. https://mimo.mi.com/docs/en-US/news/latest/mimo-desktop.</w:t>
      </w:r>
    </w:p>
    <w:p w14:paraId="3E47BCFC" w14:textId="77777777" w:rsidR="00CE1A64" w:rsidRDefault="00000000">
      <w:pPr>
        <w:spacing w:after="16" w:line="240" w:lineRule="auto"/>
        <w:ind w:left="312" w:hanging="312"/>
        <w:jc w:val="left"/>
        <w:rPr>
          <w:rFonts w:hint="eastAsia"/>
        </w:rPr>
      </w:pPr>
      <w:r>
        <w:rPr>
          <w:color w:val="2C3339"/>
          <w:sz w:val="16"/>
          <w:u w:val="none"/>
          <w:rFonts w:eastAsia="宋体"/>
        </w:rPr>
        <w:t>[13] YAO S, ZHAO J, YU D, et al. ReAct: Synergizing Reasoning and Acting in Language Models[C]. ICLR, 2023.</w:t>
      </w:r>
    </w:p>
    <w:p w14:paraId="6129F4A0" w14:textId="77777777" w:rsidR="00CE1A64" w:rsidRDefault="00000000">
      <w:pPr>
        <w:spacing w:after="16" w:line="240" w:lineRule="auto"/>
        <w:ind w:left="312" w:hanging="312"/>
        <w:jc w:val="left"/>
        <w:rPr>
          <w:rFonts w:hint="eastAsia"/>
        </w:rPr>
      </w:pPr>
      <w:r>
        <w:rPr>
          <w:color w:val="2C3339"/>
          <w:sz w:val="16"/>
          <w:u w:val="none"/>
          <w:rFonts w:eastAsia="宋体"/>
        </w:rPr>
        <w:t>[14] SCHICK T, DWIVEDI-YU J, DESSI R, et al. Toolformer: Language Models Can Teach Themselves to Use Tools[C]. NeurIPS, 2023.</w:t>
      </w:r>
    </w:p>
    <w:p w14:paraId="219A793D" w14:textId="77777777" w:rsidR="00CE1A64" w:rsidRDefault="00000000">
      <w:pPr>
        <w:spacing w:after="16" w:line="240" w:lineRule="auto"/>
        <w:ind w:left="312" w:hanging="312"/>
        <w:jc w:val="left"/>
        <w:rPr>
          <w:rFonts w:hint="eastAsia"/>
        </w:rPr>
      </w:pPr>
      <w:r>
        <w:rPr>
          <w:color w:val="2C3339"/>
          <w:sz w:val="16"/>
          <w:u w:val="none"/>
          <w:rFonts w:eastAsia="宋体"/>
        </w:rPr>
        <w:t>[15] SHINN N, CASSANO F, GOPINATH A, et al. Reflexion: Language Agents with Verbal Reinforcement Learning[C]. NeurIPS, 2023.</w:t>
      </w:r>
    </w:p>
    <w:p w14:paraId="3E29EE34" w14:textId="77777777" w:rsidR="00CE1A64" w:rsidRDefault="00000000">
      <w:pPr>
        <w:spacing w:after="16" w:line="240" w:lineRule="auto"/>
        <w:ind w:left="312" w:hanging="312"/>
        <w:jc w:val="left"/>
        <w:rPr>
          <w:rFonts w:hint="eastAsia"/>
        </w:rPr>
      </w:pPr>
      <w:r>
        <w:rPr>
          <w:color w:val="2C3339"/>
          <w:sz w:val="16"/>
          <w:u w:val="none"/>
          <w:rFonts w:eastAsia="宋体"/>
        </w:rPr>
        <w:t>[16] WU Q, BANSAL G, ZHANG J, et al. AutoGen: Enabling Next-Gen LLM Applications via Multi-Agent Conversation[R]. arXiv:2308.08155, 2023.</w:t>
      </w:r>
    </w:p>
    <w:p w14:paraId="69A420F2" w14:textId="77777777" w:rsidR="00CE1A64" w:rsidRDefault="00000000">
      <w:pPr>
        <w:spacing w:after="16" w:line="240" w:lineRule="auto"/>
        <w:ind w:left="312" w:hanging="312"/>
        <w:jc w:val="left"/>
        <w:rPr>
          <w:rFonts w:hint="eastAsia"/>
        </w:rPr>
      </w:pPr>
      <w:r>
        <w:rPr>
          <w:color w:val="2C3339"/>
          <w:sz w:val="16"/>
          <w:u w:val="none"/>
          <w:rFonts w:eastAsia="宋体"/>
        </w:rPr>
        <w:t>[17] HONG S, ZHUGE M, CHEN J, et al. MetaGPT: Meta Programming for a Multi-Agent Collaborative Framework[C]. ICLR, 2024.</w:t>
      </w:r>
    </w:p>
    <w:p w14:paraId="5890DEDF" w14:textId="77777777" w:rsidR="00CE1A64" w:rsidRDefault="00000000">
      <w:pPr>
        <w:spacing w:after="16" w:line="240" w:lineRule="auto"/>
        <w:ind w:left="312" w:hanging="312"/>
        <w:jc w:val="left"/>
        <w:rPr>
          <w:rFonts w:hint="eastAsia"/>
        </w:rPr>
      </w:pPr>
      <w:r>
        <w:rPr>
          <w:color w:val="2C3339"/>
          <w:sz w:val="16"/>
          <w:u w:val="none"/>
          <w:rFonts w:eastAsia="宋体"/>
        </w:rPr>
        <w:t>[18] JIMENEZ C E, YANG J, WETTIG A, et al. SWE-bench: Can Language Models Resolve Real-World GitHub Issues?[C]. ICLR, 2024.</w:t>
      </w:r>
    </w:p>
    <w:p w14:paraId="48C2ED9F" w14:textId="77777777" w:rsidR="00CE1A64" w:rsidRDefault="00000000">
      <w:pPr>
        <w:spacing w:after="16" w:line="240" w:lineRule="auto"/>
        <w:ind w:left="312" w:hanging="312"/>
        <w:jc w:val="left"/>
        <w:rPr>
          <w:rFonts w:hint="eastAsia"/>
        </w:rPr>
      </w:pPr>
      <w:r>
        <w:rPr>
          <w:color w:val="2C3339"/>
          <w:sz w:val="16"/>
          <w:u w:val="none"/>
          <w:rFonts w:eastAsia="宋体"/>
        </w:rPr>
        <w:t>[19] ZHOU S, XU F F, ZHU H, et al. WebArena: A Realistic Web Environment for Building Autonomous Agents[C]. ICLR, 2024.</w:t>
      </w:r>
    </w:p>
    <w:p w14:paraId="7922DA14" w14:textId="77777777" w:rsidR="00CE1A64" w:rsidRDefault="00000000">
      <w:pPr>
        <w:spacing w:after="16" w:line="240" w:lineRule="auto"/>
        <w:ind w:left="312" w:hanging="312"/>
        <w:jc w:val="left"/>
        <w:rPr>
          <w:rFonts w:hint="eastAsia"/>
        </w:rPr>
      </w:pPr>
      <w:r>
        <w:rPr>
          <w:color w:val="2C3339"/>
          <w:sz w:val="16"/>
          <w:u w:val="none"/>
          <w:rFonts w:eastAsia="宋体"/>
        </w:rPr>
        <w:lastRenderedPageBreak/>
        <w:t>[20] XIE T, ZHANG D, CHEN J, et al. OSWorld: Benchmarking Multimodal Agents for Open-Ended Tasks in Real Computer Environments[C]. NeurIPS, 2024.</w:t>
      </w:r>
    </w:p>
    <w:p w14:paraId="491531FE" w14:textId="77777777" w:rsidR="00CE1A64" w:rsidRDefault="00000000">
      <w:pPr>
        <w:spacing w:after="16" w:line="240" w:lineRule="auto"/>
        <w:ind w:left="312" w:hanging="312"/>
        <w:jc w:val="left"/>
        <w:rPr>
          <w:rFonts w:hint="eastAsia"/>
        </w:rPr>
      </w:pPr>
      <w:r>
        <w:rPr>
          <w:color w:val="2C3339"/>
          <w:sz w:val="16"/>
          <w:u w:val="none"/>
          <w:rFonts w:eastAsia="宋体"/>
        </w:rPr>
        <w:t>[21] DOURISH P. What We Talk About When We Talk About Context[J]. Personal and Ubiquitous Computing, 2004, 8(1): 19-30.</w:t>
      </w:r>
    </w:p>
    <w:p w14:paraId="4D2BB982" w14:textId="77777777" w:rsidR="00CE1A64" w:rsidRDefault="00000000">
      <w:pPr>
        <w:spacing w:after="16" w:line="240" w:lineRule="auto"/>
        <w:ind w:left="312" w:hanging="312"/>
        <w:jc w:val="left"/>
        <w:rPr>
          <w:rFonts w:hint="eastAsia"/>
        </w:rPr>
      </w:pPr>
      <w:r>
        <w:rPr>
          <w:color w:val="2C3339"/>
          <w:sz w:val="16"/>
          <w:u w:val="none"/>
          <w:rFonts w:eastAsia="宋体"/>
        </w:rPr>
        <w:t>[22] DEY A K. Understanding and Using Context[J]. Personal and Ubiquitous Computing, 2001, 5(1): 4-7.</w:t>
      </w:r>
    </w:p>
    <w:p w14:paraId="2178A112" w14:textId="77777777" w:rsidR="00CE1A64" w:rsidRDefault="00000000">
      <w:pPr>
        <w:spacing w:after="16" w:line="240" w:lineRule="auto"/>
        <w:ind w:left="312" w:hanging="312"/>
        <w:jc w:val="left"/>
        <w:rPr>
          <w:rFonts w:hint="eastAsia"/>
        </w:rPr>
      </w:pPr>
      <w:r>
        <w:rPr>
          <w:color w:val="2C3339"/>
          <w:sz w:val="16"/>
          <w:u w:val="none"/>
          <w:rFonts w:eastAsia="宋体"/>
        </w:rPr>
        <w:t>[23] HORVITZ E. Principles of Mixed-Initiative User Interfaces[C]. Proceedings of CHI, 1999: 159-166.</w:t>
      </w:r>
    </w:p>
    <w:p w14:paraId="2BC7F825" w14:textId="77777777" w:rsidR="00CE1A64" w:rsidRDefault="00000000">
      <w:pPr>
        <w:spacing w:after="16" w:line="240" w:lineRule="auto"/>
        <w:ind w:left="312" w:hanging="312"/>
        <w:jc w:val="left"/>
        <w:rPr>
          <w:rFonts w:hint="eastAsia"/>
        </w:rPr>
      </w:pPr>
      <w:r>
        <w:rPr>
          <w:color w:val="2C3339"/>
          <w:sz w:val="16"/>
          <w:u w:val="none"/>
          <w:rFonts w:eastAsia="宋体"/>
        </w:rPr>
        <w:t>[24] AMERSHI S, WELD D, VORVOREANU M, et al. Guidelines for Human-AI Interaction[C]. Proceedings of CHI, 2019: 1-13.</w:t>
      </w:r>
    </w:p>
    <w:p w14:paraId="31877DA8" w14:textId="77777777" w:rsidR="00CE1A64" w:rsidRDefault="00000000">
      <w:pPr>
        <w:spacing w:after="16" w:line="240" w:lineRule="auto"/>
        <w:ind w:left="312" w:hanging="312"/>
        <w:jc w:val="left"/>
        <w:rPr>
          <w:rFonts w:hint="eastAsia"/>
        </w:rPr>
      </w:pPr>
      <w:r>
        <w:rPr>
          <w:color w:val="2C3339"/>
          <w:sz w:val="16"/>
          <w:u w:val="none"/>
          <w:rFonts w:eastAsia="宋体"/>
        </w:rPr>
        <w:t>[25] LEE J D, SEE K A. Trust in Automation: Designing for Appropriate Reliance[J]. Human Factors, 2004, 46(1): 50-80.</w:t>
      </w:r>
    </w:p>
    <w:p w14:paraId="35EC642F" w14:textId="77777777" w:rsidR="00CE1A64" w:rsidRDefault="00000000">
      <w:pPr>
        <w:spacing w:after="16" w:line="240" w:lineRule="auto"/>
        <w:ind w:left="312" w:hanging="312"/>
        <w:jc w:val="left"/>
        <w:rPr>
          <w:rFonts w:hint="eastAsia"/>
        </w:rPr>
      </w:pPr>
      <w:r>
        <w:rPr>
          <w:color w:val="2C3339"/>
          <w:sz w:val="16"/>
          <w:u w:val="none"/>
          <w:rFonts w:eastAsia="宋体"/>
        </w:rPr>
        <w:t>[26] PARASURAMAN R, RILEY V. Humans and Automation: Use, Misuse, Disuse, Abuse[J]. Human Factors, 1997, 39(2): 230-253.</w:t>
      </w:r>
    </w:p>
    <w:p w14:paraId="48CC23DC" w14:textId="77777777" w:rsidR="00CE1A64" w:rsidRDefault="00000000">
      <w:pPr>
        <w:spacing w:after="16" w:line="240" w:lineRule="auto"/>
        <w:ind w:left="312" w:hanging="312"/>
        <w:jc w:val="left"/>
        <w:rPr>
          <w:rFonts w:hint="eastAsia"/>
        </w:rPr>
      </w:pPr>
      <w:r>
        <w:rPr>
          <w:color w:val="2C3339"/>
          <w:sz w:val="16"/>
          <w:u w:val="none"/>
          <w:rFonts w:eastAsia="宋体"/>
        </w:rPr>
        <w:t>[27] Microsoft. Text Services Framework 与 UI Automation 架构文档[EB/OL]. Microsoft Learn, 2025.</w:t>
      </w:r>
    </w:p>
    <w:p w14:paraId="5A887F05" w14:textId="77777777" w:rsidR="00CE1A64" w:rsidRDefault="00000000">
      <w:pPr>
        <w:spacing w:after="16" w:line="240" w:lineRule="auto"/>
        <w:ind w:left="312" w:hanging="312"/>
        <w:jc w:val="left"/>
        <w:rPr>
          <w:rFonts w:hint="eastAsia"/>
        </w:rPr>
      </w:pPr>
      <w:r>
        <w:rPr>
          <w:color w:val="2C3339"/>
          <w:sz w:val="16"/>
          <w:u w:val="none"/>
          <w:rFonts w:eastAsia="宋体"/>
        </w:rPr>
        <w:t>[28] NIST. Artificial Intelligence Risk Management Framework (AI RMF 1.0)[R]. NIST AI 100-1, 2023.</w:t>
      </w:r>
    </w:p>
    <w:p w14:paraId="417DC353" w14:textId="77777777" w:rsidR="00CE1A64" w:rsidRDefault="00000000">
      <w:pPr>
        <w:spacing w:after="16" w:line="240" w:lineRule="auto"/>
        <w:ind w:left="312" w:hanging="312"/>
        <w:jc w:val="left"/>
        <w:rPr>
          <w:rFonts w:hint="eastAsia"/>
        </w:rPr>
      </w:pPr>
      <w:r>
        <w:rPr>
          <w:color w:val="2C3339"/>
          <w:sz w:val="16"/>
          <w:u w:val="none"/>
          <w:rFonts w:eastAsia="宋体"/>
        </w:rPr>
        <w:t>[29] ISO/IEC. 25010:2011 Systems and Software Quality Requirements and Evaluation (SQuaRE)[S]. Geneva: ISO, 2011.</w:t>
      </w:r>
    </w:p>
    <w:p w14:paraId="10BB1F32" w14:textId="77777777" w:rsidR="00CE1A64" w:rsidRDefault="00000000">
      <w:pPr>
        <w:spacing w:after="16" w:line="240" w:lineRule="auto"/>
        <w:ind w:left="312" w:hanging="312"/>
        <w:jc w:val="left"/>
        <w:rPr>
          <w:rFonts w:hint="eastAsia"/>
        </w:rPr>
      </w:pPr>
      <w:r>
        <w:rPr>
          <w:color w:val="2C3339"/>
          <w:sz w:val="16"/>
          <w:u w:val="none"/>
          <w:rFonts w:eastAsia="宋体"/>
        </w:rPr>
        <w:t>[30] SHNEIDERMAN B. Human-Centered AI[M]. Oxford: Oxford University Press, 2022.</w:t>
      </w:r>
    </w:p>
    <w:sectPr w:rsidR="00CE1A64" w:rsidSect="00034616">
      <w:headerReference w:type="default" r:id="rId20"/>
      <w:footerReference w:type="default" r:id="rId21"/>
      <w:headerReference w:type="first" r:id="rId24"/>
      <w:footerReference w:type="first" r:id="rId25"/>
      <w:pgSz w:w="11906" w:h="16838"/>
      <w:pgMar w:top="1077" w:right="1162" w:bottom="992" w:left="1162" w:header="42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7993" w14:textId="77777777" w:rsidR="006B2C43" w:rsidRDefault="006B2C43">
      <w:pPr>
        <w:spacing w:after="0" w:line="240" w:lineRule="auto"/>
        <w:rPr>
          <w:rFonts w:hint="eastAsia"/>
        </w:rPr>
      </w:pPr>
      <w:r>
        <w:separator/>
      </w:r>
    </w:p>
  </w:endnote>
  <w:endnote w:type="continuationSeparator" w:id="0">
    <w:p w14:paraId="7AA4B3B0" w14:textId="77777777" w:rsidR="006B2C43" w:rsidRDefault="006B2C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1F89" w14:textId="77777777" w:rsidR="00CE1A64" w:rsidRDefault="00000000">
    <w:pPr>
      <w:pStyle w:val="a7"/>
      <w:spacing w:before="0"/>
      <w:jc w:val="center"/>
      <w:rPr>
        <w:rFonts w:hint="eastAsia"/>
      </w:rPr>
    </w:pPr>
    <w:r>
      <w:rPr>
        <w:rFonts w:ascii="Aptos" w:hAnsi="Aptos" w:eastAsia="Aptos"/>
        <w:color w:val="666D73"/>
        <w:sz w:val="17"/>
      </w:rPr>
      <w:fldChar w:fldCharType="begin"/>
      <w:instrText xml:space="preserve"> PAGE </w:instrText>
      <w:fldChar w:fldCharType="separate"/>
      <w:t>2</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24BFA" w14:textId="77777777" w:rsidR="006B2C43" w:rsidRDefault="006B2C43">
      <w:pPr>
        <w:spacing w:after="0" w:line="240" w:lineRule="auto"/>
        <w:rPr>
          <w:rFonts w:hint="eastAsia"/>
        </w:rPr>
      </w:pPr>
      <w:r>
        <w:separator/>
      </w:r>
    </w:p>
  </w:footnote>
  <w:footnote w:type="continuationSeparator" w:id="0">
    <w:p w14:paraId="29802796" w14:textId="77777777" w:rsidR="006B2C43" w:rsidRDefault="006B2C4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FD03" w14:textId="77777777" w:rsidR="00CE1A64" w:rsidRDefault="00000000">
    <w:pPr>
      <w:pStyle w:val="a5"/>
      <w:spacing w:after="0"/>
      <w:jc w:val="left"/>
      <w:rPr>
        <w:rFonts w:hint="eastAsia"/>
      </w:rPr>
      <w:pBdr>
        <w:bottom w:val="single" w:sz="5" w:space="3" w:color="D7D3CB"/>
      </w:pBdr>
    </w:pPr>
    <w:r>
      <w:rPr>
        <w:rFonts w:ascii="Aptos" w:hAnsi="Aptos" w:eastAsia="Aptos"/>
        <w:b/>
        <w:color w:val="242C33"/>
        <w:sz w:val="17"/>
      </w:rPr>
      <w:t>CUTTLE</w:t>
    </w:r>
    <w:r>
      <w:rPr>
        <w:rFonts w:ascii="Aptos" w:hAnsi="Aptos" w:eastAsia="宋体"/>
        <w:color w:val="666D73"/>
        <w:sz w:val="16"/>
      </w:rPr>
      <w:t xml:space="preserve">   情境原生智能输入系统  ·  参赛商业计划书</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32356">
    <w:abstractNumId w:val="8"/>
  </w:num>
  <w:num w:numId="2" w16cid:durableId="1601792780">
    <w:abstractNumId w:val="6"/>
  </w:num>
  <w:num w:numId="3" w16cid:durableId="1403676057">
    <w:abstractNumId w:val="5"/>
  </w:num>
  <w:num w:numId="4" w16cid:durableId="1180390052">
    <w:abstractNumId w:val="4"/>
  </w:num>
  <w:num w:numId="5" w16cid:durableId="2079669596">
    <w:abstractNumId w:val="7"/>
  </w:num>
  <w:num w:numId="6" w16cid:durableId="1402479667">
    <w:abstractNumId w:val="3"/>
  </w:num>
  <w:num w:numId="7" w16cid:durableId="102574243">
    <w:abstractNumId w:val="2"/>
  </w:num>
  <w:num w:numId="8" w16cid:durableId="1553882092">
    <w:abstractNumId w:val="1"/>
  </w:num>
  <w:num w:numId="9" w16cid:durableId="155415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F61"/>
    <w:rsid w:val="00636982"/>
    <w:rsid w:val="006B2C43"/>
    <w:rsid w:val="009B2F3C"/>
    <w:rsid w:val="00AA1D8D"/>
    <w:rsid w:val="00B47730"/>
    <w:rsid w:val="00CB0664"/>
    <w:rsid w:val="00CE1A64"/>
    <w:rsid w:val="00CF55C1"/>
    <w:rsid w:val="00D20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20D43F"/>
  <w14:defaultImageDpi w14:val="300"/>
  <w15:docId w15:val="{DEE6090D-7A2C-4F28-B6BD-E07B80D768F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41" w:lineRule="auto"/>
      <w:ind w:firstLine="420"/>
    </w:pPr>
    <w:rPr>
      <w:rFonts w:ascii="宋体" w:hAnsi="宋体" w:eastAsia="宋体"/>
      <w:color w:val="2C3339"/>
      <w:sz w:val="21"/>
    </w:rPr>
  </w:style>
  <w:style w:type="paragraph" w:styleId="1">
    <w:name w:val="heading 1"/>
    <w:basedOn w:val="a1"/>
    <w:next w:val="a1"/>
    <w:link w:val="10"/>
    <w:uiPriority w:val="9"/>
    <w:qFormat/>
    <w:rsid w:val="00FC693F"/>
    <w:pPr>
      <w:keepNext/>
      <w:keepLines/>
      <w:spacing w:before="260" w:after="160"/>
      <w:outlineLvl w:val="0"/>
    </w:pPr>
    <w:rPr>
      <w:rFonts w:ascii="微软雅黑" w:hAnsi="微软雅黑" w:eastAsia="微软雅黑"/>
      <w:b/>
      <w:bCs/>
      <w:color w:val="242C33"/>
      <w:sz w:val="33"/>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微软雅黑" w:hAnsi="微软雅黑" w:eastAsia="微软雅黑"/>
      <w:b/>
      <w:bCs/>
      <w:color w:val="242C33"/>
      <w:sz w:val="25"/>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微软雅黑" w:hAnsi="微软雅黑" w:eastAsia="微软雅黑"/>
      <w:b/>
      <w:bCs/>
      <w:color w:val="087A7D"/>
      <w:sz w:val="22"/>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微软雅黑" w:eastAsia="微软雅黑" w:hAnsi="微软雅黑" w:cs="微软雅黑"/>
      <w:b/>
      <w:bCs/>
      <w:color w:val="365F91" w:themeColor="accent1" w:themeShade="BF"/>
      <w:sz w:val="28"/>
      <w:szCs w:val="28"/>
    </w:rPr>
  </w:style>
  <w:style w:type="character" w:customStyle="1" w:styleId="22">
    <w:name w:val="标题 2 字符"/>
    <w:basedOn w:val="a2"/>
    <w:link w:val="21"/>
    <w:uiPriority w:val="9"/>
    <w:rsid w:val="00FC693F"/>
    <w:rPr>
      <w:rFonts w:ascii="微软雅黑" w:eastAsia="微软雅黑" w:hAnsi="微软雅黑" w:cs="微软雅黑"/>
      <w:b/>
      <w:bCs/>
      <w:color w:val="4F81BD" w:themeColor="accent1"/>
      <w:sz w:val="26"/>
      <w:szCs w:val="26"/>
    </w:rPr>
  </w:style>
  <w:style w:type="character" w:customStyle="1" w:styleId="32">
    <w:name w:val="标题 3 字符"/>
    <w:basedOn w:val="a2"/>
    <w:link w:val="31"/>
    <w:uiPriority w:val="9"/>
    <w:rsid w:val="00FC693F"/>
    <w:rPr>
      <w:rFonts w:ascii="微软雅黑" w:eastAsia="微软雅黑" w:hAnsi="微软雅黑" w:cs="微软雅黑"/>
      <w:b/>
      <w:bCs/>
      <w:color w:val="4F81BD" w:themeColor="accent1"/>
    </w:rPr>
  </w:style>
  <w:style w:type="paragraph" w:styleId="aa">
    <w:name w:val="Title"/>
    <w:basedOn w:val="a1"/>
    <w:next w:val="a1"/>
    <w:link w:val="ab"/>
    <w:uiPriority w:val="10"/>
    <w:qFormat/>
    <w:rsid w:val="00FC693F"/>
    <w:pPr>
      <w:spacing w:after="200" w:line="240" w:lineRule="auto"/>
      <w:contextualSpacing/>
    </w:pPr>
    <w:rPr>
      <w:rFonts w:ascii="微软雅黑" w:hAnsi="微软雅黑" w:eastAsia="微软雅黑"/>
      <w:b/>
      <w:color w:val="242C33"/>
      <w:spacing w:val="5"/>
      <w:kern w:val="28"/>
      <w:sz w:val="58"/>
      <w:szCs w:val="52"/>
    </w:rPr>
  </w:style>
  <w:style w:type="character" w:customStyle="1" w:styleId="ab">
    <w:name w:val="标题 字符"/>
    <w:basedOn w:val="a2"/>
    <w:link w:val="aa"/>
    <w:uiPriority w:val="10"/>
    <w:rsid w:val="00FC693F"/>
    <w:rPr>
      <w:rFonts w:ascii="微软雅黑" w:eastAsia="微软雅黑" w:hAnsi="微软雅黑" w:cs="微软雅黑"/>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i/>
      <w:iCs/>
      <w:color w:val="4F81BD" w:themeColor="accent1"/>
      <w:spacing w:val="15"/>
      <w:sz w:val="24"/>
      <w:szCs w:val="24"/>
    </w:rPr>
  </w:style>
  <w:style w:type="character" w:customStyle="1" w:styleId="ad">
    <w:name w:val="副标题 字符"/>
    <w:basedOn w:val="a2"/>
    <w:link w:val="ac"/>
    <w:uiPriority w:val="11"/>
    <w:rsid w:val="00FC693F"/>
    <w:rPr>
      <w:rFonts w:ascii="微软雅黑" w:eastAsia="微软雅黑" w:hAnsi="微软雅黑" w:cs="微软雅黑"/>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425" w:hanging="198"/>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eastAsia="微软雅黑" w:hAnsi="Courier" w:cs="微软雅黑"/>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微软雅黑" w:eastAsia="微软雅黑" w:hAnsi="微软雅黑" w:cs="微软雅黑"/>
      <w:b/>
      <w:bCs/>
      <w:i/>
      <w:iCs/>
      <w:color w:val="4F81BD" w:themeColor="accent1"/>
    </w:rPr>
  </w:style>
  <w:style w:type="character" w:customStyle="1" w:styleId="50">
    <w:name w:val="标题 5 字符"/>
    <w:basedOn w:val="a2"/>
    <w:link w:val="5"/>
    <w:uiPriority w:val="9"/>
    <w:semiHidden/>
    <w:rsid w:val="00FC693F"/>
    <w:rPr>
      <w:rFonts w:ascii="微软雅黑" w:eastAsia="微软雅黑" w:hAnsi="微软雅黑" w:cs="微软雅黑"/>
      <w:color w:val="243F60" w:themeColor="accent1" w:themeShade="7F"/>
    </w:rPr>
  </w:style>
  <w:style w:type="character" w:customStyle="1" w:styleId="60">
    <w:name w:val="标题 6 字符"/>
    <w:basedOn w:val="a2"/>
    <w:link w:val="6"/>
    <w:uiPriority w:val="9"/>
    <w:semiHidden/>
    <w:rsid w:val="00FC693F"/>
    <w:rPr>
      <w:rFonts w:ascii="微软雅黑" w:eastAsia="微软雅黑" w:hAnsi="微软雅黑" w:cs="微软雅黑"/>
      <w:i/>
      <w:iCs/>
      <w:color w:val="243F60" w:themeColor="accent1" w:themeShade="7F"/>
    </w:rPr>
  </w:style>
  <w:style w:type="character" w:customStyle="1" w:styleId="70">
    <w:name w:val="标题 7 字符"/>
    <w:basedOn w:val="a2"/>
    <w:link w:val="7"/>
    <w:uiPriority w:val="9"/>
    <w:semiHidden/>
    <w:rsid w:val="00FC693F"/>
    <w:rPr>
      <w:rFonts w:ascii="微软雅黑" w:eastAsia="微软雅黑" w:hAnsi="微软雅黑" w:cs="微软雅黑"/>
      <w:i/>
      <w:iCs/>
      <w:color w:val="404040" w:themeColor="text1" w:themeTint="BF"/>
    </w:rPr>
  </w:style>
  <w:style w:type="character" w:customStyle="1" w:styleId="80">
    <w:name w:val="标题 8 字符"/>
    <w:basedOn w:val="a2"/>
    <w:link w:val="8"/>
    <w:uiPriority w:val="9"/>
    <w:semiHidden/>
    <w:rsid w:val="00FC693F"/>
    <w:rPr>
      <w:rFonts w:ascii="微软雅黑" w:eastAsia="微软雅黑" w:hAnsi="微软雅黑" w:cs="微软雅黑"/>
      <w:color w:val="4F81BD" w:themeColor="accent1"/>
      <w:sz w:val="20"/>
      <w:szCs w:val="20"/>
    </w:rPr>
  </w:style>
  <w:style w:type="character" w:customStyle="1" w:styleId="90">
    <w:name w:val="标题 9 字符"/>
    <w:basedOn w:val="a2"/>
    <w:link w:val="9"/>
    <w:uiPriority w:val="9"/>
    <w:semiHidden/>
    <w:rsid w:val="00FC693F"/>
    <w:rPr>
      <w:rFonts w:ascii="微软雅黑" w:eastAsia="微软雅黑" w:hAnsi="微软雅黑" w:cs="微软雅黑"/>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微软雅黑" w:eastAsia="微软雅黑" w:hAnsi="微软雅黑" w:cs="微软雅黑"/>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微软雅黑" w:eastAsia="微软雅黑" w:hAnsi="微软雅黑" w:cs="微软雅黑"/>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微软雅黑" w:eastAsia="微软雅黑" w:hAnsi="微软雅黑" w:cs="微软雅黑"/>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微软雅黑" w:eastAsia="微软雅黑" w:hAnsi="微软雅黑" w:cs="微软雅黑"/>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微软雅黑" w:eastAsia="微软雅黑" w:hAnsi="微软雅黑" w:cs="微软雅黑"/>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微软雅黑" w:eastAsia="微软雅黑" w:hAnsi="微软雅黑" w:cs="微软雅黑"/>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微软雅黑" w:eastAsia="微软雅黑" w:hAnsi="微软雅黑" w:cs="微软雅黑"/>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微软雅黑" w:eastAsia="微软雅黑" w:hAnsi="微软雅黑" w:cs="微软雅黑"/>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微软雅黑" w:eastAsia="微软雅黑" w:hAnsi="微软雅黑" w:cs="微软雅黑"/>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微软雅黑" w:eastAsia="微软雅黑" w:hAnsi="微软雅黑" w:cs="微软雅黑"/>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微软雅黑" w:eastAsia="微软雅黑" w:hAnsi="微软雅黑" w:cs="微软雅黑"/>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微软雅黑" w:eastAsia="微软雅黑" w:hAnsi="微软雅黑" w:cs="微软雅黑"/>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微软雅黑" w:eastAsia="微软雅黑" w:hAnsi="微软雅黑" w:cs="微软雅黑"/>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微软雅黑" w:eastAsia="微软雅黑" w:hAnsi="微软雅黑" w:cs="微软雅黑"/>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微软雅黑" w:eastAsia="微软雅黑" w:hAnsi="微软雅黑" w:cs="微软雅黑"/>
        <w:b/>
        <w:bCs/>
      </w:rPr>
    </w:tblStylePr>
    <w:tblStylePr w:type="lastCol">
      <w:rPr>
        <w:rFonts w:ascii="微软雅黑" w:eastAsia="微软雅黑" w:hAnsi="微软雅黑" w:cs="微软雅黑"/>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微软雅黑" w:eastAsia="微软雅黑" w:hAnsi="微软雅黑" w:cs="微软雅黑"/>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微软雅黑" w:eastAsia="微软雅黑" w:hAnsi="微软雅黑" w:cs="微软雅黑"/>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微软雅黑" w:eastAsia="微软雅黑" w:hAnsi="微软雅黑" w:cs="微软雅黑"/>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微软雅黑" w:eastAsia="微软雅黑" w:hAnsi="微软雅黑" w:cs="微软雅黑"/>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微软雅黑" w:eastAsia="微软雅黑" w:hAnsi="微软雅黑" w:cs="微软雅黑"/>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微软雅黑" w:eastAsia="微软雅黑" w:hAnsi="微软雅黑" w:cs="微软雅黑"/>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微软雅黑" w:eastAsia="微软雅黑" w:hAnsi="微软雅黑" w:cs="微软雅黑"/>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11830</Words>
  <Characters>13723</Characters>
  <Application>Microsoft Office Word</Application>
  <DocSecurity>0</DocSecurity>
  <Lines>653</Lines>
  <Paragraphs>655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Cuttle 情境原生智能输入系统参赛商业计划书</dc:title>
  <dc:subject>中国国际大学生创新大赛 2026 高教主赛道本科生创意组</dc:subject>
  <dc:creator>Cuttle 项目团队</dc:creator>
  <cp:keywords>Cuttle, 情境原生智能输入, AI Agent, 商业计划书</cp:keywords>
  <dc:description/>
  <cp:lastModifiedBy>a68059</cp:lastModifiedBy>
  <cp:revision>3</cp:revision>
  <dcterms:created xsi:type="dcterms:W3CDTF">2013-12-23T23:15:00Z</dcterms:created>
  <dcterms:modified xsi:type="dcterms:W3CDTF">2026-09-12T08:34:00Z</dcterms:modified>
  <cp:category/>
</cp:coreProperties>
</file>