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  <w:jc w:val="center"/>
      </w:pPr>
      <w:r>
        <w:rPr>
          <w:rFonts w:ascii="Microsoft YaHei" w:hAnsi="Microsoft YaHei" w:eastAsia="Microsoft YaHei" w:cs="Microsoft YaHei"/>
          <w:b/>
          <w:color w:val="163B65"/>
          <w:sz w:val="30"/>
        </w:rPr>
        <w:t>中国国际大学生创新大赛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 title="Cuttle 品牌标识" descr="Cuttle 章鱼形品牌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ttl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00"/>
        <w:jc w:val="center"/>
      </w:pPr>
      <w:r>
        <w:t>Cuttle 情境原生智能输入系统</w:t>
      </w:r>
    </w:p>
    <w:p>
      <w:pPr>
        <w:spacing w:after="360"/>
        <w:jc w:val="center"/>
      </w:pPr>
      <w:r>
        <w:rPr>
          <w:rFonts w:ascii="Microsoft YaHei" w:hAnsi="Microsoft YaHei" w:eastAsia="Microsoft YaHei" w:cs="Microsoft YaHei"/>
          <w:b/>
          <w:color w:val="1C9AA5"/>
          <w:sz w:val="28"/>
        </w:rPr>
        <w:t>面向 AI Agent 时代的新一代智能输入法</w:t>
      </w:r>
    </w:p>
    <w:p>
      <w:pPr>
        <w:spacing w:after="720"/>
        <w:ind w:left="1134" w:right="1134"/>
        <w:jc w:val="center"/>
      </w:pPr>
      <w:r>
        <w:rPr>
          <w:rFonts w:ascii="Microsoft YaHei" w:hAnsi="Microsoft YaHei" w:eastAsia="Microsoft YaHei" w:cs="Microsoft YaHei"/>
          <w:color w:val="1D2733"/>
          <w:sz w:val="23"/>
        </w:rPr>
        <w:t>把用户在任意输入框中的自然语言连续升级为可验证的智能体行动 并将结果返回原工作位置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参赛组别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高教主赛道  本科生创意组</w:t>
            </w:r>
          </w:p>
        </w:tc>
      </w:tr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项目类型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人工智能+  新工科</w:t>
            </w:r>
          </w:p>
        </w:tc>
      </w:tr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参赛学校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西南大学</w:t>
            </w:r>
          </w:p>
        </w:tc>
      </w:tr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项目负责人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杨俊熙</w:t>
            </w:r>
          </w:p>
        </w:tc>
      </w:tr>
      <w:tr>
        <w:tc>
          <w:tcPr>
            <w:tcW w:type="dxa" w:w="1332000"/>
            <w:shd w:fill="EAF3F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指导教师</w:t>
            </w:r>
          </w:p>
        </w:tc>
        <w:tc>
          <w:tcPr>
            <w:tcW w:type="dxa" w:w="29880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赵恒军</w:t>
            </w:r>
          </w:p>
        </w:tc>
      </w:tr>
    </w:tbl>
    <w:p>
      <w:r>
        <w:br w:type="page"/>
      </w:r>
    </w:p>
    <w:p>
      <w:pPr>
        <w:pStyle w:val="Heading1"/>
        <w:pageBreakBefore w:val="0"/>
        <w:spacing w:after="280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项目摘要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3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第一章  真实问题与项目机会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4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第二章  用户需求与验证设计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6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第三章  产品方案与体验闭环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8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第四章  核心技术与创新机制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10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第五章  安全伦理与数据治理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13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第六章  市场空间与竞争定位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14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第七章  商业模式与市场进入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17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第八章  研发验证与实施路径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19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第九章  团队协作与人才培养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21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第十章  财务规划与资源配置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22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第十一章  风险管理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24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 w:val="0"/>
                <w:color w:val="1D2733"/>
                <w:sz w:val="21"/>
              </w:rPr>
              <w:t>第十二章  社会价值与发展愿景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AF3F7"/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25</w:t>
            </w:r>
          </w:p>
        </w:tc>
      </w:tr>
      <w:tr>
        <w:tc>
          <w:tcPr>
            <w:tcW w:type="dxa" w:w="5040000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</w:pPr>
            <w:r>
              <w:rPr>
                <w:rFonts w:ascii="Microsoft YaHei" w:hAnsi="Microsoft YaHei" w:eastAsia="Microsoft YaHei" w:cs="Microsoft YaHei"/>
                <w:b/>
                <w:color w:val="163B65"/>
                <w:sz w:val="21"/>
              </w:rPr>
              <w:t>参考资料</w:t>
            </w:r>
          </w:p>
        </w:tc>
        <w:tc>
          <w:tcPr>
            <w:tcW w:type="dxa" w:w="503999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ind w:firstLine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C9AA5"/>
                <w:sz w:val="21"/>
              </w:rPr>
              <w:t>26</w:t>
            </w:r>
          </w:p>
        </w:tc>
      </w:tr>
    </w:tbl>
    <w:p>
      <w:pPr>
        <w:spacing w:before="24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66717E"/>
          <w:sz w:val="19"/>
        </w:rPr>
        <w:t>问题牵引  机制创新  证据验证  产业闭环  成长育人</w:t>
      </w:r>
    </w:p>
    <w:p>
      <w:r>
        <w:br w:type="page"/>
      </w:r>
    </w:p>
    <w:p>
      <w:pPr>
        <w:pStyle w:val="Heading1"/>
        <w:pageBreakBefore w:val="0"/>
      </w:pPr>
      <w:r>
        <w:t>项目摘要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拟构建一套情境原生智能输入系统。用户在 Word、浏览器、聊天软件、开发工具等任意输入焦点表达需求时，系统读取完成当前任务所需的最小情境，形成带来源、有效期、置信度和权限边界的意图胶囊，再将请求路由为直接表达、工具调用、单智能体任务或多智能体协作。执行过程保留计划、审批、证据、差异和验收结果，最终把可验证成果返回需求产生的应用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项目抓住了 AI Agent 能力快速增强之后仍未解决的入口问题。现有 AI 助手多以独立对话框或工作台承接任务，用户仍需离开当前工作、重新描述背景并搬运结果；现有 AI 输入法已经具备改写、续写、翻译和场景化表达，但任务通常停留在文本生成。Cuttle 选择二者之间尚未贯通的位置，把输入法从字符工具升级为个人电脑的意图入口。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核心创新包括可纠正和可过期的情境胶囊、按复杂度与风险连续升级的意图协议、基于收益成本风险判断是否组队的自适应多智能体机制，以及基于版本化成果和任务契约的接力与返回机制。首个市场聚焦高校学生、教师与科研团队的报告、文献、代码和项目材料任务，通过校园试点形成可复现案例，再向开发者团队和机构私有部署扩展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按照创意组从问题调研、机制验证、产品试制到市场验证的逻辑推进。关键验收指标覆盖情境识别、任务成功、人工干预、敏感操作拦截、失败恢复、时间节省、连续留存和付费意愿。所有市场规模、用户增长与财务数据均作为规划情景，并在每一阶段由真实任务日志、用户研究和合同证据校准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 项目评审证据链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项目要素</w:t>
            </w:r>
          </w:p>
        </w:tc>
        <w:tc>
          <w:tcPr>
            <w:tcW w:type="dxa" w:w="223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237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评委可判断的证据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真实问题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AI 入口 情境 行动和结果彼此割裂</w:t>
            </w:r>
          </w:p>
        </w:tc>
        <w:tc>
          <w:tcPr>
            <w:tcW w:type="dxa" w:w="23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访谈 任务日记 跨应用流程观察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项目方案</w:t>
            </w:r>
          </w:p>
        </w:tc>
        <w:tc>
          <w:tcPr>
            <w:tcW w:type="dxa" w:w="22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输入时刻理解情境并升级为受控行动</w:t>
            </w:r>
          </w:p>
        </w:tc>
        <w:tc>
          <w:tcPr>
            <w:tcW w:type="dxa" w:w="23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交互原型 演示闭环 任务日志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技术创新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情境胶囊 意图升级 自适应协同 成果接力</w:t>
            </w:r>
          </w:p>
        </w:tc>
        <w:tc>
          <w:tcPr>
            <w:tcW w:type="dxa" w:w="23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对照实验 消融实验 安全测试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产业路径</w:t>
            </w:r>
          </w:p>
        </w:tc>
        <w:tc>
          <w:tcPr>
            <w:tcW w:type="dxa" w:w="22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校园任务切入 团队许可 私有部署</w:t>
            </w:r>
          </w:p>
        </w:tc>
        <w:tc>
          <w:tcPr>
            <w:tcW w:type="dxa" w:w="23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试点 留存 付费验证 合作材料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人才培养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学生主导调研 研发 测试 运营和复盘</w:t>
            </w:r>
          </w:p>
        </w:tc>
        <w:tc>
          <w:tcPr>
            <w:tcW w:type="dxa" w:w="23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过程记录 版本贡献 成果归属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第一章 真实问题与项目机会</w:t>
      </w:r>
    </w:p>
    <w:p>
      <w:pPr>
        <w:pStyle w:val="Heading2"/>
      </w:pPr>
      <w:r>
        <w:t>1.1 一个发生在输入时刻的真实矛盾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一名学生在 Word 中写课程报告时，需要核对资料、提炼证据、生成图表并修改表达。今天的典型做法是打开浏览器或 AI 对话框，复制题目和正文，重新解释格式要求，等待生成，再把结果粘回 Word。任务越复杂，背景搬运越多；应用一切换，AI 对当前对象、关系和进度的理解就被打断。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Agent 产品正在提升规划、工具调用和多智能体协作能力，输入法产品也在进入大模型时代，但二者大多从不同入口服务用户。工作台擅长执行已经表达清楚的任务，输入法接近意图产生的现场，却主要负责文字生成。用户因此承担了上下文整理、任务升级、风险判断和结果回填四项额外工作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01600"/>
            <wp:docPr id="2" name="Picture 2" title="图 1 现有 AI 工作流的断点与 Cuttle 的项目机会" descr="图 1 现有 AI 工作流的断点与 Cuttle 的项目机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opportun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1 现有 AI 工作流的断点与 Cuttle 的项目机会</w:t>
      </w:r>
    </w:p>
    <w:p>
      <w:pPr>
        <w:pStyle w:val="Heading2"/>
      </w:pPr>
      <w:r>
        <w:t>1.2 项目洞察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将输入时刻定义为 AI 协作的起点。用户无需先决定应该打开哪个模型、哪个 Agent 或哪个工作台，只需在当前输入焦点表达意图。系统先识别所处应用、当前对象和任务边界，再判断这次请求应该停留在文本层，还是升级为工具、Agent、Swarm 或跨设备任务。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该思路把产品竞争从模型问答能力转向意图进入和任务交付能力。项目不与基础模型厂商争夺模型本身，而是在模型和桌面应用之间构建一层可控、可验证、可替换的意图基础设施。模型能力越强，Cuttle 可调度的执行能力越丰富；用户仍保有对情境、权限和最终结果的控制。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12000"/>
            <wp:docPr id="3" name="Picture 3" title="图 2 Cuttle 从输入到成果返回原处的完整闭环" descr="图 2 Cuttle 从输入到成果返回原处的完整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-closed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2 Cuttle 从输入到成果返回原处的完整闭环</w:t>
      </w:r>
    </w:p>
    <w:p>
      <w:pPr>
        <w:pStyle w:val="Heading2"/>
      </w:pPr>
      <w:r>
        <w:t>1.3 项目定义与价值主张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2 目标用户价值与验证口径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51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当前成本</w:t>
            </w:r>
          </w:p>
        </w:tc>
        <w:tc>
          <w:tcPr>
            <w:tcW w:type="dxa" w:w="19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Cuttle 的价值</w:t>
            </w:r>
          </w:p>
        </w:tc>
        <w:tc>
          <w:tcPr>
            <w:tcW w:type="dxa" w:w="126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验证指标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高校学生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资料搬运 重复提示 格式返工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在当前文档中完成检索 整理 写作和交付</w:t>
            </w:r>
          </w:p>
        </w:tc>
        <w:tc>
          <w:tcPr>
            <w:tcW w:type="dxa" w:w="126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完成时间 返工次数 四周留存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教师科研人员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文献 证据与版本分散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将来源 中间证据和成果绑定</w:t>
            </w:r>
          </w:p>
        </w:tc>
        <w:tc>
          <w:tcPr>
            <w:tcW w:type="dxa" w:w="126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引用准确率 审核时间 可追溯率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开发者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任务在 IDE 浏览器和终端间切换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把请求升级为受控代码任务并返回差异</w:t>
            </w:r>
          </w:p>
        </w:tc>
        <w:tc>
          <w:tcPr>
            <w:tcW w:type="dxa" w:w="126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任务成功率 回滚率 人工接管率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高校实验室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模型与工具分散 缺少权限治理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提供可替换模型 统一审批和审计</w:t>
            </w:r>
          </w:p>
        </w:tc>
        <w:tc>
          <w:tcPr>
            <w:tcW w:type="dxa" w:w="126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部署时间 越权拦截 维护成本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第二章 用户需求与验证设计</w:t>
      </w:r>
    </w:p>
    <w:p>
      <w:pPr>
        <w:pStyle w:val="Heading2"/>
      </w:pPr>
      <w:r>
        <w:t>2.1 首批用户与高频任务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采用窄场景切入。首批用户选择高频使用个人电脑、任务边界清晰、结果可以验收的高校学生、教师科研人员和学生开发者。首批任务集中在课程资料到报告、文献到综述、代码问题到可验证修复、会议记录到正式材料四类闭环。每类任务都能记录输入、过程、权限、结果和人工修订，适合形成比赛所需的真实证据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3 首批用户任务地图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7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高频任务</w:t>
            </w:r>
          </w:p>
        </w:tc>
        <w:tc>
          <w:tcPr>
            <w:tcW w:type="dxa" w:w="162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现有障碍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首个验证场景</w:t>
            </w:r>
          </w:p>
        </w:tc>
      </w:tr>
      <w:tr>
        <w:trPr>
          <w:cantSplit/>
        </w:trPr>
        <w:tc>
          <w:tcPr>
            <w:tcW w:type="dxa" w:w="97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本科生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课程报告 项目申报 文档整理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反复复制背景 不清楚工具边界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课程资料生成结构化报告</w:t>
            </w:r>
          </w:p>
        </w:tc>
      </w:tr>
      <w:tr>
        <w:trPr>
          <w:cantSplit/>
        </w:trPr>
        <w:tc>
          <w:tcPr>
            <w:tcW w:type="dxa" w:w="97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研究生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文献梳理 数据解释 论文材料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来源分散 证据难回溯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多来源研究任务与证据表</w:t>
            </w:r>
          </w:p>
        </w:tc>
      </w:tr>
      <w:tr>
        <w:trPr>
          <w:cantSplit/>
        </w:trPr>
        <w:tc>
          <w:tcPr>
            <w:tcW w:type="dxa" w:w="97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教师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教案 课程材料 项目管理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重复格式工作 审核链条长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教学材料规范化与审核</w:t>
            </w:r>
          </w:p>
        </w:tc>
      </w:tr>
      <w:tr>
        <w:trPr>
          <w:cantSplit/>
        </w:trPr>
        <w:tc>
          <w:tcPr>
            <w:tcW w:type="dxa" w:w="97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学生开发者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代码修复 测试 文档 发布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工具切换多 失败恢复难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代码差异 测试与回滚闭环</w:t>
            </w:r>
          </w:p>
        </w:tc>
      </w:tr>
    </w:tbl>
    <w:p>
      <w:pPr>
        <w:spacing w:after="20"/>
      </w:pPr>
    </w:p>
    <w:p>
      <w:pPr>
        <w:pStyle w:val="Heading2"/>
      </w:pPr>
      <w:r>
        <w:t>2.2 用户研究方法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用户研究分为发现、机制验证和价值验证三个阶段。团队先通过半结构化访谈、任务日记与情境观察识别最频繁的跨应用任务和最敏感的数据边界；随后使用可交互原型和 Wizard of Oz 方法验证用户是否理解意图升级、审批和结果返回；最后用真实版本开展四周连续试点，观察任务成功、留存、信任与付费意愿。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86000"/>
            <wp:docPr id="4" name="Picture 4" title="图 3 从问题发现到价值验证的研究路径" descr="图 3 从问题发现到价值验证的研究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-validation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3 从问题发现到价值验证的研究路径</w:t>
      </w:r>
    </w:p>
    <w:p>
      <w:pPr>
        <w:pStyle w:val="Heading2"/>
      </w:pPr>
      <w:r>
        <w:t>2.3 核心假设与证伪条件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4 核心商业与产品假设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1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假设</w:t>
            </w:r>
          </w:p>
        </w:tc>
        <w:tc>
          <w:tcPr>
            <w:tcW w:type="dxa" w:w="115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验证方法</w:t>
            </w:r>
          </w:p>
        </w:tc>
        <w:tc>
          <w:tcPr>
            <w:tcW w:type="dxa" w:w="151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通过门槛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证伪后的决策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输入时刻是更自然的 AI 入口</w:t>
            </w:r>
          </w:p>
        </w:tc>
        <w:tc>
          <w:tcPr>
            <w:tcW w:type="dxa" w:w="115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原型 A B 测试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70% 以上用户优先选择原地发起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缩小入口范围 保留快捷指令</w:t>
            </w:r>
          </w:p>
        </w:tc>
      </w:tr>
      <w:tr>
        <w:trPr>
          <w:cantSplit/>
        </w:trPr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情境胶囊减少重复说明</w:t>
            </w:r>
          </w:p>
        </w:tc>
        <w:tc>
          <w:tcPr>
            <w:tcW w:type="dxa" w:w="115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对照任务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上下文重复输入减少 30%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减少自动感知 增强手动选区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连续升级比独立工作台更高效</w:t>
            </w:r>
          </w:p>
        </w:tc>
        <w:tc>
          <w:tcPr>
            <w:tcW w:type="dxa" w:w="115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同任务计时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中位完成时间降低 25%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只保留高价值任务升级</w:t>
            </w:r>
          </w:p>
        </w:tc>
      </w:tr>
      <w:tr>
        <w:trPr>
          <w:cantSplit/>
        </w:trPr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可见审批能够建立信任</w:t>
            </w:r>
          </w:p>
        </w:tc>
        <w:tc>
          <w:tcPr>
            <w:tcW w:type="dxa" w:w="115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敏感任务可用性测试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误批准率低于 3%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增加解释与二次确认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校园团队愿意付费</w:t>
            </w:r>
          </w:p>
        </w:tc>
        <w:tc>
          <w:tcPr>
            <w:tcW w:type="dxa" w:w="115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试点与报价测试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至少 3 个付费意向或采购流程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转向个人订阅或开发者生态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第三章 产品方案与体验闭环</w:t>
      </w:r>
    </w:p>
    <w:p>
      <w:pPr>
        <w:pStyle w:val="Heading2"/>
      </w:pPr>
      <w:r>
        <w:t>3.1 产品总体形态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由一个统一入口和四个核心系统组成。统一入口承接键盘、拼音、自然语言、语音、选区和快捷指令；Context Engine 生成最小必要情境；Intent Router 决定任务层级；Agent Fabric 负责受控执行与协作；Verification and Return 绑定证据、验收成果并把结果返回原始应用。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02000"/>
            <wp:docPr id="5" name="Picture 5" title="图 4 Cuttle 一个入口与四个核心系统" descr="图 4 Cuttle 一个入口与四个核心系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-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4 Cuttle 一个入口与四个核心系统</w:t>
      </w:r>
    </w:p>
    <w:p>
      <w:pPr>
        <w:pStyle w:val="Heading2"/>
      </w:pPr>
      <w:r>
        <w:t>3.2 典型体验场景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5 典型场景的输入到交付闭环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3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475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用户输入</w:t>
            </w:r>
          </w:p>
        </w:tc>
        <w:tc>
          <w:tcPr>
            <w:tcW w:type="dxa" w:w="190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系统处理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最终交付</w:t>
            </w:r>
          </w:p>
        </w:tc>
      </w:tr>
      <w:tr>
        <w:trPr>
          <w:cantSplit/>
        </w:trPr>
        <w:tc>
          <w:tcPr>
            <w:tcW w:type="dxa" w:w="93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课程报告</w:t>
            </w:r>
          </w:p>
        </w:tc>
        <w:tc>
          <w:tcPr>
            <w:tcW w:type="dxa" w:w="147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在 Word 输入 根据这些资料完成报告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识别文档要求 调用资料检索与写作流程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带引用与修改痕迹的 Word 内容</w:t>
            </w:r>
          </w:p>
        </w:tc>
      </w:tr>
      <w:tr>
        <w:trPr>
          <w:cantSplit/>
        </w:trPr>
        <w:tc>
          <w:tcPr>
            <w:tcW w:type="dxa" w:w="93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科研综述</w:t>
            </w:r>
          </w:p>
        </w:tc>
        <w:tc>
          <w:tcPr>
            <w:tcW w:type="dxa" w:w="147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在文献管理页面输入 比较这些方法</w:t>
            </w:r>
          </w:p>
        </w:tc>
        <w:tc>
          <w:tcPr>
            <w:tcW w:type="dxa" w:w="190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读取选中文献 建立证据矩阵 并请求必要确认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论点 证据 来源与局限表</w:t>
            </w:r>
          </w:p>
        </w:tc>
      </w:tr>
      <w:tr>
        <w:trPr>
          <w:cantSplit/>
        </w:trPr>
        <w:tc>
          <w:tcPr>
            <w:tcW w:type="dxa" w:w="93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代码修复</w:t>
            </w:r>
          </w:p>
        </w:tc>
        <w:tc>
          <w:tcPr>
            <w:tcW w:type="dxa" w:w="147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在 IDE 输入 修复这个报错并测试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读取错误与相关文件 生成计划 执行测试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可审阅差异 测试结果与回滚点</w:t>
            </w:r>
          </w:p>
        </w:tc>
      </w:tr>
      <w:tr>
        <w:trPr>
          <w:cantSplit/>
        </w:trPr>
        <w:tc>
          <w:tcPr>
            <w:tcW w:type="dxa" w:w="93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沟通表达</w:t>
            </w:r>
          </w:p>
        </w:tc>
        <w:tc>
          <w:tcPr>
            <w:tcW w:type="dxa" w:w="147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在聊天框输入 礼貌拒绝并给替代时间</w:t>
            </w:r>
          </w:p>
        </w:tc>
        <w:tc>
          <w:tcPr>
            <w:tcW w:type="dxa" w:w="190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结合关系与语气生成候选 不直接发送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可编辑的回复候选</w:t>
            </w:r>
          </w:p>
        </w:tc>
      </w:tr>
    </w:tbl>
    <w:p>
      <w:pPr>
        <w:spacing w:after="20"/>
      </w:pPr>
    </w:p>
    <w:p>
      <w:pPr>
        <w:pStyle w:val="Heading2"/>
      </w:pPr>
      <w:r>
        <w:t>3.3 分级交互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产品保持四级渐进交互。L0 只生成可编辑文本；L1 调用范围明确、结果可预览的工具；L2 进入单 Agent 工作流并显示计划、权限和验收条件；L3 仅在并行收益明确或任务跨设备时启用 Swarm 或设备网格。层级越高，系统展示越多的计划、成本、风险和审批信息。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91200"/>
            <wp:docPr id="6" name="Picture 6" title="图 5 从直接表达至多智能体协作的意图升级阶梯" descr="图 5 从直接表达至多智能体协作的意图升级阶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-intent-esca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5 从直接表达至多智能体协作的意图升级阶梯</w:t>
      </w:r>
    </w:p>
    <w:p>
      <w:pPr>
        <w:pStyle w:val="Heading2"/>
      </w:pPr>
      <w:r>
        <w:t>3.4 返回原处机制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Return to Origin 是产品完成闭环的关键。Word 中产生的任务返回为可审阅段落、批注或文档副本；聊天中产生的任务返回为候选回复，发送权仍由用户掌握；IDE 中产生的任务返回为差异、测试结果和回滚点；手机发起的跨设备任务返回为带状态与证据的任务卡。结果格式由原始应用、任务契约和风险等级共同决定。</w:t>
      </w:r>
    </w:p>
    <w:p>
      <w:pPr>
        <w:pStyle w:val="Heading1"/>
        <w:pageBreakBefore/>
      </w:pPr>
      <w:r>
        <w:t>第四章 核心技术与创新机制</w:t>
      </w:r>
    </w:p>
    <w:p>
      <w:pPr>
        <w:pStyle w:val="Heading2"/>
      </w:pPr>
      <w:r>
        <w:t>4.1 创新一 面向输入时刻的情境胶囊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情境胶囊不是一段不可控的屏幕抓取，而是一组有结构、有作用域和有生命周期的最小状态。每条情境结论记录来源、观察时间、适用应用、对象版本、有效期、置信度和可能使其失效的事件。系统优先读取应用提供的结构化接口，其次使用可访问性树与界面语义，视觉证据只在必要时作为较弱信号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11671"/>
            <wp:docPr id="7" name="Picture 7" title="图 6 意图胶囊的数据结构与可信属性" descr="图 6 意图胶囊的数据结构与可信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-intent-caps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1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6 意图胶囊的数据结构与可信属性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6 情境胶囊关键字段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22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80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133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失效事件</w:t>
            </w:r>
          </w:p>
        </w:tc>
        <w:tc>
          <w:tcPr>
            <w:tcW w:type="dxa" w:w="140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用户控制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Application Focus</w:t>
            </w:r>
          </w:p>
        </w:tc>
        <w:tc>
          <w:tcPr>
            <w:tcW w:type="dxa" w:w="18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标识当前应用 窗口和输入焦点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切换应用 关闭窗口</w:t>
            </w:r>
          </w:p>
        </w:tc>
        <w:tc>
          <w:tcPr>
            <w:tcW w:type="dxa" w:w="140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查看 关闭感知</w:t>
            </w:r>
          </w:p>
        </w:tc>
      </w:tr>
      <w:tr>
        <w:trPr>
          <w:cantSplit/>
        </w:trPr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Task Object</w:t>
            </w:r>
          </w:p>
        </w:tc>
        <w:tc>
          <w:tcPr>
            <w:tcW w:type="dxa" w:w="18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标识正在处理的文档 选区或文件</w:t>
            </w:r>
          </w:p>
        </w:tc>
        <w:tc>
          <w:tcPr>
            <w:tcW w:type="dxa" w:w="13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对象修改 文件关闭</w:t>
            </w:r>
          </w:p>
        </w:tc>
        <w:tc>
          <w:tcPr>
            <w:tcW w:type="dxa" w:w="140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手动选择或排除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Relation Intent</w:t>
            </w:r>
          </w:p>
        </w:tc>
        <w:tc>
          <w:tcPr>
            <w:tcW w:type="dxa" w:w="18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记录用户目标和对象关系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用户纠正 任务结束</w:t>
            </w:r>
          </w:p>
        </w:tc>
        <w:tc>
          <w:tcPr>
            <w:tcW w:type="dxa" w:w="140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直接修改</w:t>
            </w:r>
          </w:p>
        </w:tc>
      </w:tr>
      <w:tr>
        <w:trPr>
          <w:cantSplit/>
        </w:trPr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Provenance TTL</w:t>
            </w:r>
          </w:p>
        </w:tc>
        <w:tc>
          <w:tcPr>
            <w:tcW w:type="dxa" w:w="18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记录来源 时间和有效期</w:t>
            </w:r>
          </w:p>
        </w:tc>
        <w:tc>
          <w:tcPr>
            <w:tcW w:type="dxa" w:w="13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超过期限 依赖变化</w:t>
            </w:r>
          </w:p>
        </w:tc>
        <w:tc>
          <w:tcPr>
            <w:tcW w:type="dxa" w:w="140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查看来源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Confidence Scope</w:t>
            </w:r>
          </w:p>
        </w:tc>
        <w:tc>
          <w:tcPr>
            <w:tcW w:type="dxa" w:w="18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决定是否可自动使用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置信度下降 权限变化</w:t>
            </w:r>
          </w:p>
        </w:tc>
        <w:tc>
          <w:tcPr>
            <w:tcW w:type="dxa" w:w="140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确认或拒绝</w:t>
            </w:r>
          </w:p>
        </w:tc>
      </w:tr>
    </w:tbl>
    <w:p>
      <w:pPr>
        <w:spacing w:after="20"/>
      </w:pPr>
    </w:p>
    <w:p>
      <w:pPr>
        <w:pStyle w:val="Heading2"/>
      </w:pPr>
      <w:r>
        <w:t>4.2 创新二 连续意图升级协议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系统根据任务复杂度、工具范围、数据敏感度、动作可逆性、预计收益与成本决定升级层级。普通补全不进入 Agent；需要读取文件但不修改外部状态的任务进入工具或单 Agent；涉及消息发送、文件覆盖、命令执行、支付或跨设备控制时，系统必须展示目标、影响范围与恢复方式，并由独立审批节点授权。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升级协议解决了输入法与 Agent 之间的责任断层。输入入口只负责理解和路由，不直接持有高风险工具；Agent Core 负责规划与执行，也不能为自己扩大权限。审批系统独立判断，最终验证器依据任务契约检查结果。</w:t>
      </w:r>
    </w:p>
    <w:p>
      <w:pPr>
        <w:pStyle w:val="Heading2"/>
      </w:pPr>
      <w:r>
        <w:t>4.3 创新三 自适应多智能体协同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不默认组建多 Agent。路由器先估计并行收益、协调成本、结果合并难度和风险暴露，只有当分工能够显著提高成功率或缩短关键路径时才启用协作。Coordinator 明确目标、预算和验收条件，Worker 只获得完成子任务所需的最小上下文与工具，Verifier 独立检查结果，Human 节点处理信息不足、冲突和高风险决策。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7 意图路由与协作形态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1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任务特征</w:t>
            </w:r>
          </w:p>
        </w:tc>
        <w:tc>
          <w:tcPr>
            <w:tcW w:type="dxa" w:w="115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优先形态</w:t>
            </w:r>
          </w:p>
        </w:tc>
        <w:tc>
          <w:tcPr>
            <w:tcW w:type="dxa" w:w="1655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验证指标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单步表达或低风险改写</w:t>
            </w:r>
          </w:p>
        </w:tc>
        <w:tc>
          <w:tcPr>
            <w:tcW w:type="dxa" w:w="115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L0 直接表达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无需执行系统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接受率 修改量</w:t>
            </w:r>
          </w:p>
        </w:tc>
      </w:tr>
      <w:tr>
        <w:trPr>
          <w:cantSplit/>
        </w:trPr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边界清晰的单工具任务</w:t>
            </w:r>
          </w:p>
        </w:tc>
        <w:tc>
          <w:tcPr>
            <w:tcW w:type="dxa" w:w="115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L1 工具</w:t>
            </w:r>
          </w:p>
        </w:tc>
        <w:tc>
          <w:tcPr>
            <w:tcW w:type="dxa" w:w="165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减少模型规划开销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成功率 时延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串行多步骤任务</w:t>
            </w:r>
          </w:p>
        </w:tc>
        <w:tc>
          <w:tcPr>
            <w:tcW w:type="dxa" w:w="115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L2 单 Agent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责任集中 易于恢复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完成率 接管率</w:t>
            </w:r>
          </w:p>
        </w:tc>
      </w:tr>
      <w:tr>
        <w:trPr>
          <w:cantSplit/>
        </w:trPr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可并行且成果可合并</w:t>
            </w:r>
          </w:p>
        </w:tc>
        <w:tc>
          <w:tcPr>
            <w:tcW w:type="dxa" w:w="115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L3 Swarm</w:t>
            </w:r>
          </w:p>
        </w:tc>
        <w:tc>
          <w:tcPr>
            <w:tcW w:type="dxa" w:w="165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缩短关键路径并交叉验证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净收益 冲突率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数据或能力分布在多设备</w:t>
            </w:r>
          </w:p>
        </w:tc>
        <w:tc>
          <w:tcPr>
            <w:tcW w:type="dxa" w:w="115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L3 Device Mesh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在数据所在处执行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传输量 成功率</w:t>
            </w:r>
          </w:p>
        </w:tc>
      </w:tr>
    </w:tbl>
    <w:p>
      <w:pPr>
        <w:spacing w:after="20"/>
      </w:pPr>
    </w:p>
    <w:p>
      <w:pPr>
        <w:pStyle w:val="Heading2"/>
      </w:pPr>
      <w:r>
        <w:t>4.4 创新四 版本化成果接力与返回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多 Agent 之间不以自由对话作为主要交接方式，而以版本化 Artifact 和任务契约接力。每个 Worker 的输出包含来源、修改、证据、验证、未解决问题和恢复点；下一个 Worker 只在契约满足后接收成果。最终交付物保留从原始对象、中间证据到最终结果的链路，并由 Return to Origin 适配器返回原应用。</w:t>
      </w:r>
    </w:p>
    <w:p>
      <w:pPr>
        <w:pStyle w:val="Heading2"/>
      </w:pPr>
      <w:r>
        <w:t>4.5 创新五 基于能力与信任的设备网格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跨设备能力作为第二阶段扩展。设备不只是远程控制终端，而是带能力、数据位置、可信等级和在线状态的执行节点。调度器优先让任务在数据所在设备执行，只传递完成任务所需的摘要或成果；高风险动作需要目标设备本地确认。该设计减少敏感数据跨设备流动，也让手机、个人电脑和实验室工作站能够按能力分工。</w:t>
      </w:r>
    </w:p>
    <w:p>
      <w:pPr>
        <w:pStyle w:val="Heading2"/>
      </w:pPr>
      <w:r>
        <w:t>4.6 创新评价与对照实验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8 核心创新的对照与消融设计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对照组</w:t>
            </w:r>
          </w:p>
        </w:tc>
        <w:tc>
          <w:tcPr>
            <w:tcW w:type="dxa" w:w="162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处理组</w:t>
            </w:r>
          </w:p>
        </w:tc>
        <w:tc>
          <w:tcPr>
            <w:tcW w:type="dxa" w:w="162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主指标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入口效率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独立 AI 对话框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Cuttle 输入入口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完成时间 上下文重复输入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情境贡献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无情境胶囊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完整情境胶囊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意图识别 F1 用户纠正率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路由贡献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所有任务单 Agent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自适应路由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成功率 成本 时延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协同贡献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固定 Swarm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自适应 Swarm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净收益 冲突率 合并失败率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验证贡献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无 Artifact 验证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版本化成果与验证器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正确率 恢复率 返工次数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安全贡献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Agent 自主授权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独立审批与最小权限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越权拦截率 误审批率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第五章 安全伦理与数据治理</w:t>
      </w:r>
    </w:p>
    <w:p>
      <w:pPr>
        <w:pStyle w:val="Heading2"/>
      </w:pPr>
      <w:r>
        <w:t>5.1 输入法场景的安全原则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输入法位于高频、全局且敏感的系统位置。Cuttle 将安全边界写入产品结构：默认关闭不必要的情境读取；敏感窗口和密码字段自动停用；数据处理遵循最小必要、本地优先和目的限定；高风险动作必须经过独立审批；所有外部动作保留审计与恢复信息。个人信息处理遵循告知同意、最小范围和影响最小的原则，并为用户提供查看、更正、删除和关闭能力。[9][10][11]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9 风险分级与控制策略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79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风险层级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835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默认策略</w:t>
            </w:r>
          </w:p>
        </w:tc>
        <w:tc>
          <w:tcPr>
            <w:tcW w:type="dxa" w:w="169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恢复与证据</w:t>
            </w:r>
          </w:p>
        </w:tc>
      </w:tr>
      <w:tr>
        <w:trPr>
          <w:cantSplit/>
        </w:trPr>
        <w:tc>
          <w:tcPr>
            <w:tcW w:type="dxa" w:w="79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低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补全 翻译 语气调整</w:t>
            </w:r>
          </w:p>
        </w:tc>
        <w:tc>
          <w:tcPr>
            <w:tcW w:type="dxa" w:w="183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本地候选 可忽略</w:t>
            </w:r>
          </w:p>
        </w:tc>
        <w:tc>
          <w:tcPr>
            <w:tcW w:type="dxa" w:w="169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保留用户修改量</w:t>
            </w:r>
          </w:p>
        </w:tc>
      </w:tr>
      <w:tr>
        <w:trPr>
          <w:cantSplit/>
        </w:trPr>
        <w:tc>
          <w:tcPr>
            <w:tcW w:type="dxa" w:w="79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中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读取选区 生成文档副本</w:t>
            </w:r>
          </w:p>
        </w:tc>
        <w:tc>
          <w:tcPr>
            <w:tcW w:type="dxa" w:w="183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显示范围 先预览</w:t>
            </w:r>
          </w:p>
        </w:tc>
        <w:tc>
          <w:tcPr>
            <w:tcW w:type="dxa" w:w="169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原件不覆盖 可撤销</w:t>
            </w:r>
          </w:p>
        </w:tc>
      </w:tr>
      <w:tr>
        <w:trPr>
          <w:cantSplit/>
        </w:trPr>
        <w:tc>
          <w:tcPr>
            <w:tcW w:type="dxa" w:w="79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写文件 执行命令 访问网络</w:t>
            </w:r>
          </w:p>
        </w:tc>
        <w:tc>
          <w:tcPr>
            <w:tcW w:type="dxa" w:w="183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独立审批 限定工具与路径</w:t>
            </w:r>
          </w:p>
        </w:tc>
        <w:tc>
          <w:tcPr>
            <w:tcW w:type="dxa" w:w="169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差异 日志 回滚点</w:t>
            </w:r>
          </w:p>
        </w:tc>
      </w:tr>
      <w:tr>
        <w:trPr>
          <w:cantSplit/>
        </w:trPr>
        <w:tc>
          <w:tcPr>
            <w:tcW w:type="dxa" w:w="79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极高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发送消息 删除 支付 敏感数据外发</w:t>
            </w:r>
          </w:p>
        </w:tc>
        <w:tc>
          <w:tcPr>
            <w:tcW w:type="dxa" w:w="183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默认拒绝 二次确认或禁止</w:t>
            </w:r>
          </w:p>
        </w:tc>
        <w:tc>
          <w:tcPr>
            <w:tcW w:type="dxa" w:w="169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完整审计 人工处置</w:t>
            </w:r>
          </w:p>
        </w:tc>
      </w:tr>
    </w:tbl>
    <w:p>
      <w:pPr>
        <w:spacing w:after="20"/>
      </w:pPr>
    </w:p>
    <w:p>
      <w:pPr>
        <w:pStyle w:val="Heading2"/>
      </w:pPr>
      <w:r>
        <w:t>5.2 数据生命周期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采集前说明对象、用途、范围和保留时间，用户可按应用、字段和任务类型关闭感知。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处理时优先在本地完成；确需云模型时，只发送完成任务所需的最小片段，并在发送前展示范围。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存储时区分临时情境、任务证据和长期技能，分别设置短时有效期、项目保留期和用户主动保存。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任务结束后自动让短时情境失效；用户可以导出、删除、清空和撤回授权。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训练与分析默认不使用个人内容；匿名化统计与改进计划需单独授权。</w:t>
      </w:r>
    </w:p>
    <w:p>
      <w:pPr>
        <w:pStyle w:val="Heading2"/>
      </w:pPr>
      <w:r>
        <w:t>5.3 安全验收门槛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10 安全发布门槛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1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安全目标</w:t>
            </w:r>
          </w:p>
        </w:tc>
        <w:tc>
          <w:tcPr>
            <w:tcW w:type="dxa" w:w="154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8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阶段门槛</w:t>
            </w:r>
          </w:p>
        </w:tc>
        <w:tc>
          <w:tcPr>
            <w:tcW w:type="dxa" w:w="190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不达标处理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未经授权不执行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高风险未授权动作数</w:t>
            </w:r>
          </w:p>
        </w:tc>
        <w:tc>
          <w:tcPr>
            <w:tcW w:type="dxa" w:w="118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必须为 0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冻结发布并复盘</w:t>
            </w:r>
          </w:p>
        </w:tc>
      </w:tr>
      <w:tr>
        <w:trPr>
          <w:cantSplit/>
        </w:trPr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敏感场景不感知</w:t>
            </w:r>
          </w:p>
        </w:tc>
        <w:tc>
          <w:tcPr>
            <w:tcW w:type="dxa" w:w="154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密码 支付 金融窗口误读取率</w:t>
            </w:r>
          </w:p>
        </w:tc>
        <w:tc>
          <w:tcPr>
            <w:tcW w:type="dxa" w:w="118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必须为 0</w:t>
            </w:r>
          </w:p>
        </w:tc>
        <w:tc>
          <w:tcPr>
            <w:tcW w:type="dxa" w:w="190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扩大黑名单与系统级屏蔽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审批可理解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用户能正确判断影响范围</w:t>
            </w:r>
          </w:p>
        </w:tc>
        <w:tc>
          <w:tcPr>
            <w:tcW w:type="dxa" w:w="118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正确率不低于 95%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重写说明与交互</w:t>
            </w:r>
          </w:p>
        </w:tc>
      </w:tr>
      <w:tr>
        <w:trPr>
          <w:cantSplit/>
        </w:trPr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失败可恢复</w:t>
            </w:r>
          </w:p>
        </w:tc>
        <w:tc>
          <w:tcPr>
            <w:tcW w:type="dxa" w:w="154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可逆任务恢复成功率</w:t>
            </w:r>
          </w:p>
        </w:tc>
        <w:tc>
          <w:tcPr>
            <w:tcW w:type="dxa" w:w="118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不低于 90%</w:t>
            </w:r>
          </w:p>
        </w:tc>
        <w:tc>
          <w:tcPr>
            <w:tcW w:type="dxa" w:w="190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限制能力并补偿测试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证据可追溯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外部动作带来源与审计记录</w:t>
            </w:r>
          </w:p>
        </w:tc>
        <w:tc>
          <w:tcPr>
            <w:tcW w:type="dxa" w:w="118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覆盖率 100%</w:t>
            </w:r>
          </w:p>
        </w:tc>
        <w:tc>
          <w:tcPr>
            <w:tcW w:type="dxa" w:w="190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阻止交付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第六章 市场空间与竞争定位</w:t>
      </w:r>
    </w:p>
    <w:p>
      <w:pPr>
        <w:pStyle w:val="Heading2"/>
      </w:pPr>
      <w:r>
        <w:t>6.1 市场环境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中国互联网络信息中心第 57 次报告显示，截至 2025 年 12 月，我国生成式人工智能用户达到 6.02 亿人，普及率 42.8%；全国网民规模达到 11.25 亿人。[3] 工业和信息化部数据显示，2025 年我国软件业务收入 15.48 万亿元，信息技术服务收入同比增长 14.7%。[5] 这些数据说明 AI 使用已进入大规模扩散阶段，市场问题正在从是否使用 AI 转向如何把 AI 安全地接入日常工作。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教育部 2025 年统计公报显示，全国各种形式高等教育在学总规模为 4872.57 万人。[4] 高校人群拥有集中、重复、可验收的文档、研究和代码任务，且校园试点便于持续观察，因此构成 Cuttle 的首个可服务市场。按其中 8% 至 12% 属于高频 PC 学习和知识工作用户的规划假设，重点细分人群约为 390 万至 585 万。该比例必须通过团队的用户研究逐步校准。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86000"/>
            <wp:docPr id="8" name="Picture 8" title="图 7 Cuttle 市场规模与三年目标漏斗" descr="图 7 Cuttle 市场规模与三年目标漏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-market-fun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7 Cuttle 市场规模与三年目标漏斗</w:t>
      </w:r>
    </w:p>
    <w:p>
      <w:pPr>
        <w:pStyle w:val="Heading2"/>
      </w:pPr>
      <w:r>
        <w:t>6.2 竞争格局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输入法产品正在增加续写、帮写、润色、翻译和窗口跟随能力。搜狗输入法 2026 年更新已提供 AI 光标助手和多项 AI 帮写服务。[6] Wispr Flow 的 Context Awareness 会读取光标附近文本与活动应用，按场景调整转写和风格。[7] 另一侧，Codex 和 MiMo Desktop 等工作台型产品已经提供长任务、多 Agent、技能和桌面执行能力。[8][12] Cuttle 的差异不在于单独拥有某一项能力，而在于把输入焦点、持续情境、分级执行、成果验证和返回原处组成一条系统链路。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9" name="Picture 9" title="图 8 主要产品的入口距离与任务闭环能力定位" descr="图 8 主要产品的入口距离与任务闭环能力定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-competition-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8 主要产品的入口距离与任务闭环能力定位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11 竞争类别与差异化策略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90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代表产品</w:t>
            </w:r>
          </w:p>
        </w:tc>
        <w:tc>
          <w:tcPr>
            <w:tcW w:type="dxa" w:w="133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强项</w:t>
            </w:r>
          </w:p>
        </w:tc>
        <w:tc>
          <w:tcPr>
            <w:tcW w:type="dxa" w:w="151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未覆盖的关键环节</w:t>
            </w:r>
          </w:p>
        </w:tc>
        <w:tc>
          <w:tcPr>
            <w:tcW w:type="dxa" w:w="1655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Cuttle 应对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AI 输入法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搜狗 讯飞 百度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高频入口 补全改写 语音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复杂任务执行与成果验证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把输入连续升级为受控任务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全局语音输入</w:t>
            </w:r>
          </w:p>
        </w:tc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Wispr Flow</w:t>
            </w:r>
          </w:p>
        </w:tc>
        <w:tc>
          <w:tcPr>
            <w:tcW w:type="dxa" w:w="13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跨应用输入 情境化表达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工具与 Agent 交付闭环</w:t>
            </w:r>
          </w:p>
        </w:tc>
        <w:tc>
          <w:tcPr>
            <w:tcW w:type="dxa" w:w="165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扩展至任务路由与返回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通用 AI 助手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ChatGPT Claude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模型能力与知识服务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需要用户显式搬运上下文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用情境胶囊减少重复说明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Agent 工作台</w:t>
            </w:r>
          </w:p>
        </w:tc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Codex MiMo Desktop</w:t>
            </w:r>
          </w:p>
        </w:tc>
        <w:tc>
          <w:tcPr>
            <w:tcW w:type="dxa" w:w="13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长任务 多 Agent 桌面执行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远离多数用户的输入时刻</w:t>
            </w:r>
          </w:p>
        </w:tc>
        <w:tc>
          <w:tcPr>
            <w:tcW w:type="dxa" w:w="165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作为所有 Agent 前的意图入口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自动化平台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RPA 工作流工具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确定性流程和企业集成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自然表达与开放任务适应性弱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自然语言路由与可验证执行</w:t>
            </w:r>
          </w:p>
        </w:tc>
      </w:tr>
    </w:tbl>
    <w:p>
      <w:pPr>
        <w:spacing w:after="20"/>
      </w:pPr>
    </w:p>
    <w:p>
      <w:pPr>
        <w:pStyle w:val="Heading2"/>
      </w:pPr>
      <w:r>
        <w:t>6.3 竞争壁垒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交互壁垒：围绕输入时刻形成跨应用的一致意图协议和返回适配器。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数据壁垒：在用户授权前提下积累匿名化的任务类型、路由效果和失败模式，不沉淀个人内容。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工程壁垒：把权限、审计、版本化成果、验证和恢复作为统一运行时能力。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生态壁垒：通过技能契约和模型可替换接口，让高校、开发者和行业伙伴复用流程。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信任壁垒：以最小权限、来源可见和失败可恢复建立长期使用习惯。</w:t>
      </w:r>
    </w:p>
    <w:p>
      <w:pPr>
        <w:pStyle w:val="Heading1"/>
        <w:pageBreakBefore w:val="0"/>
      </w:pPr>
      <w:r>
        <w:t>第七章 商业模式与市场进入</w:t>
      </w:r>
    </w:p>
    <w:p>
      <w:pPr>
        <w:pStyle w:val="Heading2"/>
      </w:pPr>
      <w:r>
        <w:t>7.1 商业模式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采用个人订阅、团队许可证、私有部署与技能生态四类收入。免费版承担体验和传播，只提供低风险表达与少量任务；个人专业版面向高频学生、研究者和开发者；团队版提供成员管理、共享技能、预算、审计和支持；私有部署面向有数据合规要求的高校实验室和机构。技能市场在核心产品稳定后开放，避免过早分散研发资源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12 产品版本与收入结构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122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目标用户</w:t>
            </w:r>
          </w:p>
        </w:tc>
        <w:tc>
          <w:tcPr>
            <w:tcW w:type="dxa" w:w="1655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核心权益</w:t>
            </w:r>
          </w:p>
        </w:tc>
        <w:tc>
          <w:tcPr>
            <w:tcW w:type="dxa" w:w="122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规划定价</w:t>
            </w:r>
          </w:p>
        </w:tc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收入方式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个人免费版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学生与轻度用户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基础表达 本地情境 少量任务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免费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获客与验证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个人专业版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研究者 开发者 高频用户</w:t>
            </w:r>
          </w:p>
        </w:tc>
        <w:tc>
          <w:tcPr>
            <w:tcW w:type="dxa" w:w="165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高额度任务 多模型 技能和恢复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29 元每月或 240 元每年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订阅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校园团队版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实验室 课程组 学生团队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成员 策略 审计 共享技能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4 万元每年起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许可证与服务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私有部署版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高校与机构</w:t>
            </w:r>
          </w:p>
        </w:tc>
        <w:tc>
          <w:tcPr>
            <w:tcW w:type="dxa" w:w="1655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内网模型 定制策略 运维支持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20 万元每项目起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实施与维护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技能生态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开发者与行业伙伴</w:t>
            </w:r>
          </w:p>
        </w:tc>
        <w:tc>
          <w:tcPr>
            <w:tcW w:type="dxa" w:w="1655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技能发布 交易 质量认证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交易分成 15%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平台服务</w:t>
            </w:r>
          </w:p>
        </w:tc>
      </w:tr>
    </w:tbl>
    <w:p>
      <w:pPr>
        <w:spacing w:after="20"/>
      </w:pPr>
    </w:p>
    <w:p>
      <w:pPr>
        <w:pStyle w:val="Heading2"/>
      </w:pPr>
      <w:r>
        <w:t>7.2 市场进入路径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01600"/>
            <wp:docPr id="10" name="Picture 10" title="图 9 Cuttle 从校园任务到机构服务的市场进入路径" descr="图 9 Cuttle 从校园任务到机构服务的市场进入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-go-to-mark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9 Cuttle 从校园任务到机构服务的市场进入路径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第一阶段选择三类可公开、可验收的校园任务形成样板：课程报告、科研资料与学生开发项目。每个试点围绕任务完成率、时间节省、安全理解和连续使用记录证据。第二阶段以开源 SDK、技能模板和开发者案例扩大高价值用户。第三阶段依据真实采购需求提供团队许可证和私有部署，合同范围绑定可交付能力、数据边界与支持成本。</w:t>
      </w:r>
    </w:p>
    <w:p>
      <w:pPr>
        <w:pStyle w:val="Heading2"/>
      </w:pPr>
      <w:r>
        <w:t>7.3 增长与留存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首用价值：用户在十分钟内完成一个低风险任务，理解系统能做什么和不能做什么。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习惯形成：任务结束后把验证过的流程沉淀为个人技能，减少下一次重复说明。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自然传播：只允许分享已脱敏的技能模板、方法和时间节省，不以用户内容换取奖励。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团队扩散：个人用户将稳定流程带入课程组、实验室和学生团队，形成团队许可证机会。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留存诊断：区分新鲜感流失、任务价值不足、信任不足和兼容性问题，分别调整产品。</w:t>
      </w:r>
    </w:p>
    <w:p>
      <w:pPr>
        <w:pStyle w:val="Heading2"/>
      </w:pPr>
      <w:r>
        <w:t>7.4 单位经济模型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13 单位经济模型的规划假设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收入单元</w:t>
            </w:r>
          </w:p>
        </w:tc>
        <w:tc>
          <w:tcPr>
            <w:tcW w:type="dxa" w:w="122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年均收入假设</w:t>
            </w:r>
          </w:p>
        </w:tc>
        <w:tc>
          <w:tcPr>
            <w:tcW w:type="dxa" w:w="136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直接成本假设</w:t>
            </w:r>
          </w:p>
        </w:tc>
        <w:tc>
          <w:tcPr>
            <w:tcW w:type="dxa" w:w="97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毛利率情景</w:t>
            </w:r>
          </w:p>
        </w:tc>
        <w:tc>
          <w:tcPr>
            <w:tcW w:type="dxa" w:w="111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个人专业版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240 元每人</w:t>
            </w:r>
          </w:p>
        </w:tc>
        <w:tc>
          <w:tcPr>
            <w:tcW w:type="dxa" w:w="136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60 元模型与支持</w:t>
            </w:r>
          </w:p>
        </w:tc>
        <w:tc>
          <w:tcPr>
            <w:tcW w:type="dxa" w:w="97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75%</w:t>
            </w:r>
          </w:p>
        </w:tc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付费留存 模型成本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校园团队版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4 万元每团队</w:t>
            </w:r>
          </w:p>
        </w:tc>
        <w:tc>
          <w:tcPr>
            <w:tcW w:type="dxa" w:w="136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1.2 万元交付支持</w:t>
            </w:r>
          </w:p>
        </w:tc>
        <w:tc>
          <w:tcPr>
            <w:tcW w:type="dxa" w:w="97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70%</w:t>
            </w:r>
          </w:p>
        </w:tc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使用深度 续约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私有部署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20 万元每项目</w:t>
            </w:r>
          </w:p>
        </w:tc>
        <w:tc>
          <w:tcPr>
            <w:tcW w:type="dxa" w:w="136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9 万元实施与维护</w:t>
            </w:r>
          </w:p>
        </w:tc>
        <w:tc>
          <w:tcPr>
            <w:tcW w:type="dxa" w:w="97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55%</w:t>
            </w:r>
          </w:p>
        </w:tc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交付周期 定制边界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技能生态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按交易额分成 15%</w:t>
            </w:r>
          </w:p>
        </w:tc>
        <w:tc>
          <w:tcPr>
            <w:tcW w:type="dxa" w:w="136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审核和结算成本</w:t>
            </w:r>
          </w:p>
        </w:tc>
        <w:tc>
          <w:tcPr>
            <w:tcW w:type="dxa" w:w="97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成熟后测算</w:t>
            </w:r>
          </w:p>
        </w:tc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供给质量与纠纷率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第八章 研发验证与实施路径</w:t>
      </w:r>
    </w:p>
    <w:p>
      <w:pPr>
        <w:pStyle w:val="Heading2"/>
      </w:pPr>
      <w:r>
        <w:t>8.1 研发原则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研发以可验证闭环为最小单位。每个版本必须同时交付输入入口、情境来源、权限策略、执行结果、验证证据和恢复路径，不以功能列表作为完成标准。产品先覆盖少数高频应用和固定任务，再根据试点数据扩大兼容性。模型层保持可替换，避免项目价值依赖单一模型。</w:t>
      </w:r>
    </w:p>
    <w:p>
      <w:pPr>
        <w:pStyle w:val="Heading2"/>
      </w:pPr>
      <w:r>
        <w:t>8.2 二十四个月路线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38400"/>
            <wp:docPr id="11" name="Picture 11" title="图 10 Cuttle 二十四个月产品与市场路线" descr="图 10 Cuttle 二十四个月产品与市场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-road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10 Cuttle 二十四个月产品与市场路线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14 分阶段研发与市场决策门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86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产品目标</w:t>
            </w:r>
          </w:p>
        </w:tc>
        <w:tc>
          <w:tcPr>
            <w:tcW w:type="dxa" w:w="133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研究目标</w:t>
            </w:r>
          </w:p>
        </w:tc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市场目标</w:t>
            </w:r>
          </w:p>
        </w:tc>
        <w:tc>
          <w:tcPr>
            <w:tcW w:type="dxa" w:w="111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进入下一阶段门槛</w:t>
            </w:r>
          </w:p>
        </w:tc>
      </w:tr>
      <w:tr>
        <w:trPr>
          <w:cantSplit/>
        </w:trPr>
        <w:tc>
          <w:tcPr>
            <w:tcW w:type="dxa" w:w="86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0 至 3 个月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交互原型与情境边界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完成访谈与任务日记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确定三个高频任务</w:t>
            </w:r>
          </w:p>
        </w:tc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需求重复出现且可验收</w:t>
            </w:r>
          </w:p>
        </w:tc>
      </w:tr>
      <w:tr>
        <w:trPr>
          <w:cantSplit/>
        </w:trPr>
        <w:tc>
          <w:tcPr>
            <w:tcW w:type="dxa" w:w="86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4 至 6 个月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输入 胶囊 单 Agent 返回闭环</w:t>
            </w:r>
          </w:p>
        </w:tc>
        <w:tc>
          <w:tcPr>
            <w:tcW w:type="dxa" w:w="13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完成可用性与安全测试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30 名深度用户</w:t>
            </w:r>
          </w:p>
        </w:tc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任务成功率达到 80%</w:t>
            </w:r>
          </w:p>
        </w:tc>
      </w:tr>
      <w:tr>
        <w:trPr>
          <w:cantSplit/>
        </w:trPr>
        <w:tc>
          <w:tcPr>
            <w:tcW w:type="dxa" w:w="86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7 至 12 个月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三至五个应用稳定演示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完成对照和消融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三个校园试点</w:t>
            </w:r>
          </w:p>
        </w:tc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连续四周留存和安全门槛</w:t>
            </w:r>
          </w:p>
        </w:tc>
      </w:tr>
      <w:tr>
        <w:trPr>
          <w:cantSplit/>
        </w:trPr>
        <w:tc>
          <w:tcPr>
            <w:tcW w:type="dxa" w:w="86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13 至 18 个月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团队版与技能契约</w:t>
            </w:r>
          </w:p>
        </w:tc>
        <w:tc>
          <w:tcPr>
            <w:tcW w:type="dxa" w:w="13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验证协同净收益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首批付费团队</w:t>
            </w:r>
          </w:p>
        </w:tc>
        <w:tc>
          <w:tcPr>
            <w:tcW w:type="dxa" w:w="111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续用意愿和可控交付成本</w:t>
            </w:r>
          </w:p>
        </w:tc>
      </w:tr>
      <w:tr>
        <w:trPr>
          <w:cantSplit/>
        </w:trPr>
        <w:tc>
          <w:tcPr>
            <w:tcW w:type="dxa" w:w="86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19 至 24 个月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私有部署与设备网格试验</w:t>
            </w:r>
          </w:p>
        </w:tc>
        <w:tc>
          <w:tcPr>
            <w:tcW w:type="dxa" w:w="13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验证跨设备最小数据原则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机构合作与复制</w:t>
            </w:r>
          </w:p>
        </w:tc>
        <w:tc>
          <w:tcPr>
            <w:tcW w:type="dxa" w:w="111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合同 回款 支持成本可控</w:t>
            </w:r>
          </w:p>
        </w:tc>
      </w:tr>
    </w:tbl>
    <w:p>
      <w:pPr>
        <w:spacing w:after="20"/>
      </w:pPr>
    </w:p>
    <w:p>
      <w:pPr>
        <w:pStyle w:val="Heading2"/>
      </w:pPr>
      <w:r>
        <w:t>8.3 关键指标体系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15 项目十二个月核心指标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0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51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主指标</w:t>
            </w:r>
          </w:p>
        </w:tc>
        <w:tc>
          <w:tcPr>
            <w:tcW w:type="dxa" w:w="172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十二个月目标</w:t>
            </w:r>
          </w:p>
        </w:tc>
        <w:tc>
          <w:tcPr>
            <w:tcW w:type="dxa" w:w="162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数据来源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需求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任务重复出现率 首用意愿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高频任务覆盖 70% 研究样本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访谈 日记 观察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情境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意图识别 F1 用户纠正率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F1 不低于 0.90 纠正率低于 10%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标注集与任务日志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执行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端到端任务成功率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不低于 85%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固定任务套件与真实任务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效率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完成时间 重复提示次数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时间降低 25% 提示减少 30%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对照实验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安全</w:t>
            </w:r>
          </w:p>
        </w:tc>
        <w:tc>
          <w:tcPr>
            <w:tcW w:type="dxa" w:w="151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未授权高风险动作 恢复率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未授权为 0 恢复不低于 90%</w:t>
            </w:r>
          </w:p>
        </w:tc>
        <w:tc>
          <w:tcPr>
            <w:tcW w:type="dxa" w:w="162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红队与故障注入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市场</w:t>
            </w:r>
          </w:p>
        </w:tc>
        <w:tc>
          <w:tcPr>
            <w:tcW w:type="dxa" w:w="151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四周留存 付费意愿 试点数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留存 40% 三个试点</w:t>
            </w:r>
          </w:p>
        </w:tc>
        <w:tc>
          <w:tcPr>
            <w:tcW w:type="dxa" w:w="162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产品分析 合作记录</w:t>
            </w:r>
          </w:p>
        </w:tc>
      </w:tr>
    </w:tbl>
    <w:p>
      <w:pPr>
        <w:spacing w:after="20"/>
      </w:pPr>
    </w:p>
    <w:p>
      <w:pPr>
        <w:pStyle w:val="Heading2"/>
      </w:pPr>
      <w:r>
        <w:t>8.4 知识产权与成果计划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知识产权围绕真正形成差异的机制布局。近期完成客户端与运行时软件著作权登记，沉淀意图胶囊和连续升级协议的发明交底，建立商标与开源依赖清单；中期依据新颖性检索和实验结果决定专利申请，形成用户研究报告、评测数据集、技术白皮书和论文。所有成果明确学生贡献、数据授权和第三方许可，不以申请数量替代创新质量。</w:t>
      </w:r>
    </w:p>
    <w:p>
      <w:pPr>
        <w:pStyle w:val="Heading1"/>
        <w:pageBreakBefore w:val="0"/>
      </w:pPr>
      <w:r>
        <w:t>第九章 团队协作与人才培养</w:t>
      </w:r>
    </w:p>
    <w:p>
      <w:pPr>
        <w:pStyle w:val="Heading2"/>
      </w:pPr>
      <w:r>
        <w:t>9.1 团队结构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采用学生主导、教师指导、用户共同验证的协作方式。团队成员分别负责产品与架构、智能体工程与评测、用户研究与商业验证，每个里程碑都保留任务单、版本记录、测试报告和用户证据。指导教师负责方法、伦理、安全和阶段评审，不代替学生完成核心研发与答辩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16 团队分工与贡献证据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0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32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154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过程证据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杨俊熙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项目负责人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项目定位 产品设计 架构统筹 赛事整合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需求文档 设计决策 版本里程碑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张子豪</w:t>
            </w:r>
          </w:p>
        </w:tc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技术研发</w:t>
            </w:r>
          </w:p>
        </w:tc>
        <w:tc>
          <w:tcPr>
            <w:tcW w:type="dxa" w:w="22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Agent Runtime 工具接入 评测与故障恢复</w:t>
            </w:r>
          </w:p>
        </w:tc>
        <w:tc>
          <w:tcPr>
            <w:tcW w:type="dxa" w:w="154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代码提交 测试记录 评测报告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吴柳彤</w:t>
            </w:r>
          </w:p>
        </w:tc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研究与运营</w:t>
            </w:r>
          </w:p>
        </w:tc>
        <w:tc>
          <w:tcPr>
            <w:tcW w:type="dxa" w:w="2232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用户研究 交互验证 内容与商业试点</w:t>
            </w:r>
          </w:p>
        </w:tc>
        <w:tc>
          <w:tcPr>
            <w:tcW w:type="dxa" w:w="154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访谈记录 原型反馈 试点材料</w:t>
            </w:r>
          </w:p>
        </w:tc>
      </w:tr>
      <w:tr>
        <w:trPr>
          <w:cantSplit/>
        </w:trPr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赵恒军</w:t>
            </w:r>
          </w:p>
        </w:tc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指导教师</w:t>
            </w:r>
          </w:p>
        </w:tc>
        <w:tc>
          <w:tcPr>
            <w:tcW w:type="dxa" w:w="2232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研究方法 安全边界 学术与赛事指导</w:t>
            </w:r>
          </w:p>
        </w:tc>
        <w:tc>
          <w:tcPr>
            <w:tcW w:type="dxa" w:w="154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评审意见 指导记录 资源协调</w:t>
            </w:r>
          </w:p>
        </w:tc>
      </w:tr>
    </w:tbl>
    <w:p>
      <w:pPr>
        <w:spacing w:after="20"/>
      </w:pPr>
    </w:p>
    <w:p>
      <w:pPr>
        <w:pStyle w:val="Heading2"/>
      </w:pPr>
      <w:r>
        <w:t>9.2 学生能力成长路径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17 项目驱动的人才培养路径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学习任务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实践任务</w:t>
            </w:r>
          </w:p>
        </w:tc>
        <w:tc>
          <w:tcPr>
            <w:tcW w:type="dxa" w:w="172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可核验成长成果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需求发现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用户研究 创新方法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访谈 观察 任务建模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问题定义与研究材料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产品试制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系统设计 交互与安全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原型 兼容性 权限设计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设计决策与版本记录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实验论证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实验设计 数据分析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对照 消融 红队 故障注入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评测报告与复现实验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市场验证</w:t>
            </w:r>
          </w:p>
        </w:tc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商业模式 财务与合规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校园试点 报价 合作复盘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意向 反馈与经营口径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成果传播</w:t>
            </w:r>
          </w:p>
        </w:tc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知识产权 科学表达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软著 专利交底 论文 路演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成果归属与公开材料</w:t>
            </w:r>
          </w:p>
        </w:tc>
      </w:tr>
    </w:tbl>
    <w:p>
      <w:pPr>
        <w:spacing w:after="20"/>
      </w:pPr>
    </w:p>
    <w:p>
      <w:pPr>
        <w:pStyle w:val="Heading2"/>
      </w:pPr>
      <w:r>
        <w:t>9.3 协作与质量机制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每周研发站会检查目标、阻塞、风险和下一项可验收任务。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每两周产品评审由用户价值、技术可行性、安全边界和证据质量四项共同决定优先级。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重大范围、数据、外部合作和财务事项由项目负责人、相关成员和指导教师共同审查。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公开材料由技术负责人、用户研究负责人和指导教师交叉复核，确保能力、数据与成员贡献真实。</w:t>
      </w:r>
    </w:p>
    <w:p>
      <w:pPr>
        <w:pStyle w:val="ListBullet"/>
        <w:ind w:hanging="198"/>
      </w:pPr>
      <w:r>
        <w:rPr>
          <w:rFonts w:ascii="Microsoft YaHei" w:hAnsi="Microsoft YaHei" w:eastAsia="Microsoft YaHei" w:cs="Microsoft YaHei"/>
          <w:color w:val="1D2733"/>
          <w:sz w:val="21"/>
        </w:rPr>
        <w:t>成员贡献以任务、代码、文档、测试和运营证据归档，不以署名顺序替代实际投入。</w:t>
      </w:r>
    </w:p>
    <w:p>
      <w:pPr>
        <w:pStyle w:val="Heading1"/>
        <w:pageBreakBefore w:val="0"/>
      </w:pPr>
      <w:r>
        <w:t>第十章 财务规划与资源配置</w:t>
      </w:r>
    </w:p>
    <w:p>
      <w:pPr>
        <w:pStyle w:val="Heading2"/>
      </w:pPr>
      <w:r>
        <w:t>10.1 财务测算边界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本章用于检验商业模型能否形成可持续经营，不代表项目已经取得收入、融资或用户规模。测算以个人年费 240 元、校园团队年费 4 万元、私有部署单项目 20 万元为基准，收入确认以实际付费和验收为前提；模型调用、支持、交付和合规成本随任务增长动态调整。</w:t>
      </w:r>
    </w:p>
    <w:p>
      <w:pPr>
        <w:pStyle w:val="Heading2"/>
      </w:pPr>
      <w:r>
        <w:t>10.2 三年经营情景</w:t>
      </w:r>
    </w:p>
    <w:p>
      <w:pPr>
        <w:keepNext/>
        <w:spacing w:before="14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07200"/>
            <wp:docPr id="12" name="Picture 12" title="图 11 Cuttle 三年收入与成本规划情景" descr="图 11 Cuttle 三年收入与成本规划情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financial-pl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8"/>
        </w:rPr>
        <w:t>图 11 Cuttle 三年收入与成本规划情景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18 三年经营情景测算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第一年</w:t>
            </w:r>
          </w:p>
        </w:tc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第二年</w:t>
            </w:r>
          </w:p>
        </w:tc>
        <w:tc>
          <w:tcPr>
            <w:tcW w:type="dxa" w:w="1007999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第三年</w:t>
            </w:r>
          </w:p>
        </w:tc>
        <w:tc>
          <w:tcPr>
            <w:tcW w:type="dxa" w:w="1728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主要假设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付费个人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600 人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7000 人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3.5 万人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年均收入 240 元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校园团队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6 个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30 个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100 个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平均 4 万至 5 万元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私有部署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 个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5 个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15 个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平均 15 万至 20 万元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营业收入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47.4 万元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403 万元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1740 万元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含技能生态收入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经营成本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120 万元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330 万元</w:t>
            </w:r>
          </w:p>
        </w:tc>
        <w:tc>
          <w:tcPr>
            <w:tcW w:type="dxa" w:w="100799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1080 万元</w:t>
            </w:r>
          </w:p>
        </w:tc>
        <w:tc>
          <w:tcPr>
            <w:tcW w:type="dxa" w:w="1728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研发 模型 市场与交付</w:t>
            </w:r>
          </w:p>
        </w:tc>
      </w:tr>
      <w:tr>
        <w:trPr>
          <w:cantSplit/>
        </w:trPr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经营结果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负 72.6 万元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73 万元</w:t>
            </w:r>
          </w:p>
        </w:tc>
        <w:tc>
          <w:tcPr>
            <w:tcW w:type="dxa" w:w="1007999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660 万元</w:t>
            </w:r>
          </w:p>
        </w:tc>
        <w:tc>
          <w:tcPr>
            <w:tcW w:type="dxa" w:w="1728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7"/>
              </w:rPr>
              <w:t>第二年进入盈亏平衡区间</w:t>
            </w:r>
          </w:p>
        </w:tc>
      </w:tr>
    </w:tbl>
    <w:p>
      <w:pPr>
        <w:spacing w:after="20"/>
      </w:pPr>
    </w:p>
    <w:p>
      <w:pPr>
        <w:pStyle w:val="Heading2"/>
      </w:pPr>
      <w:r>
        <w:t>10.3 首轮资源需求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首轮拟配置 120 万元资源，用于完成十二个月的产品、研究和市场验证。资金分三批释放：原型与研究通过后投入兼容性和安全测试；对照实验达到门槛后投入校园试点；留存和付费意愿达到门槛后扩大市场与交付。项目将优先使用高校实验室、开源模型和本地推理资源降低固定成本。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19 首轮资源配置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4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90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122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19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对应交付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产品与研发</w:t>
            </w:r>
          </w:p>
        </w:tc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42%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50.4 万元</w:t>
            </w:r>
          </w:p>
        </w:tc>
        <w:tc>
          <w:tcPr>
            <w:tcW w:type="dxa" w:w="219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输入入口 情境引擎 执行与验证</w:t>
            </w:r>
          </w:p>
        </w:tc>
      </w:tr>
      <w:tr>
        <w:trPr>
          <w:cantSplit/>
        </w:trPr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评测与安全</w:t>
            </w:r>
          </w:p>
        </w:tc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18%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21.6 万元</w:t>
            </w:r>
          </w:p>
        </w:tc>
        <w:tc>
          <w:tcPr>
            <w:tcW w:type="dxa" w:w="219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数据集 对照实验 红队与恢复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市场与试点</w:t>
            </w:r>
          </w:p>
        </w:tc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18%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21.6 万元</w:t>
            </w:r>
          </w:p>
        </w:tc>
        <w:tc>
          <w:tcPr>
            <w:tcW w:type="dxa" w:w="219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校园研究 试点与用户支持</w:t>
            </w:r>
          </w:p>
        </w:tc>
      </w:tr>
      <w:tr>
        <w:trPr>
          <w:cantSplit/>
        </w:trPr>
        <w:tc>
          <w:tcPr>
            <w:tcW w:type="dxa" w:w="14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模型与基础设施</w:t>
            </w:r>
          </w:p>
        </w:tc>
        <w:tc>
          <w:tcPr>
            <w:tcW w:type="dxa" w:w="90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12%</w:t>
            </w:r>
          </w:p>
        </w:tc>
        <w:tc>
          <w:tcPr>
            <w:tcW w:type="dxa" w:w="122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14.4 万元</w:t>
            </w:r>
          </w:p>
        </w:tc>
        <w:tc>
          <w:tcPr>
            <w:tcW w:type="dxa" w:w="219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本地推理 云额度 监测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知识产权与预备金</w:t>
            </w:r>
          </w:p>
        </w:tc>
        <w:tc>
          <w:tcPr>
            <w:tcW w:type="dxa" w:w="90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10%</w:t>
            </w:r>
          </w:p>
        </w:tc>
        <w:tc>
          <w:tcPr>
            <w:tcW w:type="dxa" w:w="122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12 万元</w:t>
            </w:r>
          </w:p>
        </w:tc>
        <w:tc>
          <w:tcPr>
            <w:tcW w:type="dxa" w:w="219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8"/>
              </w:rPr>
              <w:t>软著 专利 合规与不确定性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第十一章 风险管理</w:t>
      </w:r>
    </w:p>
    <w:p>
      <w:pPr>
        <w:pStyle w:val="Heading2"/>
      </w:pPr>
      <w:r>
        <w:t>11.1 关键风险与应对</w:t>
      </w:r>
    </w:p>
    <w:p>
      <w:pPr>
        <w:keepNext/>
        <w:spacing w:before="120" w:after="80"/>
        <w:ind w:firstLine="0"/>
        <w:jc w:val="center"/>
      </w:pPr>
      <w:r>
        <w:rPr>
          <w:rFonts w:ascii="Microsoft YaHei" w:hAnsi="Microsoft YaHei" w:eastAsia="Microsoft YaHei" w:cs="Microsoft YaHei"/>
          <w:b/>
          <w:color w:val="1D2733"/>
          <w:sz w:val="19"/>
        </w:rPr>
        <w:t>表 20 项目风险登记表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0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54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576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1584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预警信号</w:t>
            </w:r>
          </w:p>
        </w:tc>
        <w:tc>
          <w:tcPr>
            <w:tcW w:type="dxa" w:w="1980000"/>
            <w:shd w:fill="163B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应对措施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输入法与应用兼容性</w:t>
            </w:r>
          </w:p>
        </w:tc>
        <w:tc>
          <w:tcPr>
            <w:tcW w:type="dxa" w:w="5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5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崩溃 焦点丢失 延迟上升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缩小应用范围 自动化兼容测试 降级为快捷入口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情境误判与隐私</w:t>
            </w:r>
          </w:p>
        </w:tc>
        <w:tc>
          <w:tcPr>
            <w:tcW w:type="dxa" w:w="5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极高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敏感字段被读取 用户纠正上升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默认关闭 敏感屏蔽 最小读取 独立审计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Agent 误操作</w:t>
            </w:r>
          </w:p>
        </w:tc>
        <w:tc>
          <w:tcPr>
            <w:tcW w:type="dxa" w:w="5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极高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越权 外发 覆盖或不可逆动作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最小权限 审批 预览 沙箱与回滚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模型能力波动</w:t>
            </w:r>
          </w:p>
        </w:tc>
        <w:tc>
          <w:tcPr>
            <w:tcW w:type="dxa" w:w="5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成功率下降 成本或时延异常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模型替换 固定评测 预算上限和降级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用户留存不足</w:t>
            </w:r>
          </w:p>
        </w:tc>
        <w:tc>
          <w:tcPr>
            <w:tcW w:type="dxa" w:w="5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四周留存低 高频任务不足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聚焦单一高价值任务 改善首用与技能复用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商业范围失控</w:t>
            </w:r>
          </w:p>
        </w:tc>
        <w:tc>
          <w:tcPr>
            <w:tcW w:type="dxa" w:w="5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定制需求占用研发 团队交付亏损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标准合同 边界报价 里程碑验收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知识产权争议</w:t>
            </w:r>
          </w:p>
        </w:tc>
        <w:tc>
          <w:tcPr>
            <w:tcW w:type="dxa" w:w="54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低</w:t>
            </w:r>
          </w:p>
        </w:tc>
        <w:tc>
          <w:tcPr>
            <w:tcW w:type="dxa" w:w="576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高</w:t>
            </w:r>
          </w:p>
        </w:tc>
        <w:tc>
          <w:tcPr>
            <w:tcW w:type="dxa" w:w="1584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依赖许可不清 数据授权缺失</w:t>
            </w:r>
          </w:p>
        </w:tc>
        <w:tc>
          <w:tcPr>
            <w:tcW w:type="dxa" w:w="1980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依赖清单 原创记录 授权和合规审查</w:t>
            </w:r>
          </w:p>
        </w:tc>
      </w:tr>
      <w:tr>
        <w:trPr>
          <w:cantSplit/>
        </w:trPr>
        <w:tc>
          <w:tcPr>
            <w:tcW w:type="dxa" w:w="10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团队持续性</w:t>
            </w:r>
          </w:p>
        </w:tc>
        <w:tc>
          <w:tcPr>
            <w:tcW w:type="dxa" w:w="54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576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中</w:t>
            </w:r>
          </w:p>
        </w:tc>
        <w:tc>
          <w:tcPr>
            <w:tcW w:type="dxa" w:w="1584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核心模块单人掌握 里程碑延期</w:t>
            </w:r>
          </w:p>
        </w:tc>
        <w:tc>
          <w:tcPr>
            <w:tcW w:type="dxa" w:w="1980000"/>
            <w:shd w:fill="EAF3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Microsoft YaHei" w:cs="Microsoft YaHei"/>
                <w:color w:val="1D2733"/>
                <w:sz w:val="16"/>
              </w:rPr>
              <w:t>双人复核 文档化 模块轮换与交接演练</w:t>
            </w:r>
          </w:p>
        </w:tc>
      </w:tr>
    </w:tbl>
    <w:p>
      <w:pPr>
        <w:spacing w:after="20"/>
      </w:pPr>
    </w:p>
    <w:p>
      <w:pPr>
        <w:pStyle w:val="Heading2"/>
      </w:pPr>
      <w:r>
        <w:t>11.2 停止与转向条件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项目在每一阶段设置明确的停止或转向条件。若用户不愿在输入时刻授权情境读取，则转向用户主动选区与快捷指令；若连续升级无法显著降低时间和重复提示，则将 Agent 能力限制在少数高价值任务；若固定 Swarm 优于自适应路由，则收缩路由复杂度；若校园团队缺乏付费意愿，则优先验证个人订阅和开发者生态。项目不以完成既定功能为唯一目标，而以问题是否真实、机制是否有效、安全是否达标和经营是否可持续决定投入。</w:t>
      </w:r>
    </w:p>
    <w:p>
      <w:pPr>
        <w:pStyle w:val="Heading1"/>
        <w:pageBreakBefore/>
      </w:pPr>
      <w:r>
        <w:t>第十二章 社会价值与发展愿景</w:t>
      </w:r>
    </w:p>
    <w:p>
      <w:pPr>
        <w:pStyle w:val="Heading2"/>
      </w:pPr>
      <w:r>
        <w:t>12.1 学习与知识工作的直接价值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计划把资料搬运、格式返工和重复提示交给受控工具，让学生和教师把时间用于理解、判断与创造。通过来源、证据、修改和验收记录，项目鼓励用户对 AI 结果保持审阅责任，避免把生成内容直接当作答案。对于科研与项目材料，版本化成果有助于团队复盘过程、发现错误并积累可复用方法。</w:t>
      </w:r>
    </w:p>
    <w:p>
      <w:pPr>
        <w:pStyle w:val="Heading2"/>
      </w:pPr>
      <w:r>
        <w:t>12.2 可信人工智能与数字包容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项目把权限、审批、数据最小化和失败恢复放在效率之前，使普通用户也能理解系统正在读取什么、准备做什么、完成了什么以及如何撤销。语音、自然语言和界面解释能够降低复杂 Agent 的使用门槛；本地优先和模型可替换架构则为高校、实验室和对数据敏感的机构提供更可控的应用路径。</w:t>
      </w:r>
    </w:p>
    <w:p>
      <w:pPr>
        <w:pStyle w:val="Heading2"/>
      </w:pPr>
      <w:r>
        <w:t>12.3 发展愿景</w:t>
      </w:r>
    </w:p>
    <w:p>
      <w:r>
        <w:rPr>
          <w:rFonts w:ascii="Microsoft YaHei" w:hAnsi="Microsoft YaHei" w:eastAsia="Microsoft YaHei" w:cs="Microsoft YaHei"/>
          <w:color w:val="1D2733"/>
          <w:sz w:val="21"/>
        </w:rPr>
        <w:t>Cuttle 的长期目标是成为个人电脑上的意图层。用户在任何应用表达需求时，系统都能以最小必要情境理解任务，以适当的工具或智能体完成工作，以清晰证据说明结果，并把成果送回用户原本工作的地方。项目最终衡量的不是调用了多少模型或 Agent，而是用户是否减少了无意义搬运，任务是否更可靠，权限是否仍在用户手中。</w:t>
      </w:r>
    </w:p>
    <w:p>
      <w:pPr>
        <w:pStyle w:val="Heading1"/>
        <w:pageBreakBefore/>
      </w:pPr>
      <w:r>
        <w:t>参考资料</w:t>
      </w:r>
    </w:p>
    <w:p>
      <w:pPr>
        <w:spacing w:after="140"/>
        <w:ind w:firstLine="0"/>
      </w:pPr>
      <w:hyperlink r:id="rId23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[1] 教育部关于举办中国国际大学生创新大赛 2026 的通知</w:t>
        </w:r>
      </w:hyperlink>
    </w:p>
    <w:p>
      <w:pPr>
        <w:spacing w:after="140"/>
        <w:ind w:firstLine="0"/>
      </w:pPr>
      <w:hyperlink r:id="rId24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[2] 中国国际大学生创新大赛 2025 高教主赛道创意组评审规则</w:t>
        </w:r>
      </w:hyperlink>
    </w:p>
    <w:p>
      <w:pPr>
        <w:spacing w:after="140"/>
        <w:ind w:firstLine="0"/>
      </w:pPr>
      <w:hyperlink r:id="rId25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[3] 中国互联网络信息中心 第 57 次中国互联网络发展状况统计报告</w:t>
        </w:r>
      </w:hyperlink>
    </w:p>
    <w:p>
      <w:pPr>
        <w:spacing w:after="140"/>
        <w:ind w:firstLine="0"/>
      </w:pPr>
      <w:hyperlink r:id="rId26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[4] 教育部 2025 年全国教育事业发展统计公报</w:t>
        </w:r>
      </w:hyperlink>
    </w:p>
    <w:p>
      <w:pPr>
        <w:spacing w:after="140"/>
        <w:ind w:firstLine="0"/>
      </w:pPr>
      <w:hyperlink r:id="rId27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[5] 工业和信息化部 2025 年软件业运行情况</w:t>
        </w:r>
      </w:hyperlink>
    </w:p>
    <w:p>
      <w:pPr>
        <w:spacing w:after="140"/>
        <w:ind w:firstLine="0"/>
      </w:pPr>
      <w:hyperlink r:id="rId28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[6] 搜狗输入法升级日志</w:t>
        </w:r>
      </w:hyperlink>
    </w:p>
    <w:p>
      <w:pPr>
        <w:spacing w:after="140"/>
        <w:ind w:firstLine="0"/>
      </w:pPr>
      <w:hyperlink r:id="rId29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[7] Wispr Flow Context Awareness</w:t>
        </w:r>
      </w:hyperlink>
    </w:p>
    <w:p>
      <w:pPr>
        <w:spacing w:after="140"/>
        <w:ind w:firstLine="0"/>
      </w:pPr>
      <w:hyperlink r:id="rId30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[8] OpenAI Introducing the Codex app</w:t>
        </w:r>
      </w:hyperlink>
    </w:p>
    <w:p>
      <w:pPr>
        <w:spacing w:after="140"/>
        <w:ind w:firstLine="0"/>
      </w:pPr>
      <w:hyperlink r:id="rId31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[9] 中华人民共和国个人信息保护法</w:t>
        </w:r>
      </w:hyperlink>
    </w:p>
    <w:p>
      <w:pPr>
        <w:spacing w:after="140"/>
        <w:ind w:firstLine="0"/>
      </w:pPr>
      <w:hyperlink r:id="rId32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[10] 中华人民共和国数据安全法</w:t>
        </w:r>
      </w:hyperlink>
    </w:p>
    <w:p>
      <w:pPr>
        <w:spacing w:after="140"/>
        <w:ind w:firstLine="0"/>
      </w:pPr>
      <w:hyperlink r:id="rId33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[11] 生成式人工智能服务管理暂行办法</w:t>
        </w:r>
      </w:hyperlink>
    </w:p>
    <w:p>
      <w:pPr>
        <w:spacing w:after="140"/>
        <w:ind w:firstLine="0"/>
      </w:pPr>
      <w:hyperlink r:id="rId34">
        <w:r>
          <w:rPr>
            <w:color w:val="163B65"/>
            <w:u w:val="single"/>
            <w:rFonts w:ascii="Microsoft YaHei" w:hAnsi="Microsoft YaHei" w:eastAsia="Microsoft YaHei" w:cs="Microsoft YaHei"/>
            <w:sz w:val="18"/>
          </w:rPr>
          <w:t>[12] Xiaomi MiMo Desktop</w:t>
        </w:r>
      </w:hyperlink>
    </w:p>
    <w:p>
      <w:pPr>
        <w:spacing w:before="240"/>
        <w:ind w:firstLine="0"/>
      </w:pPr>
      <w:r>
        <w:rPr>
          <w:rFonts w:ascii="Microsoft YaHei" w:hAnsi="Microsoft YaHei" w:eastAsia="Microsoft YaHei" w:cs="Microsoft YaHei"/>
          <w:b/>
          <w:color w:val="66717E"/>
          <w:sz w:val="18"/>
        </w:rPr>
        <w:t>说明  本计划书中的用户增长 市场占比 定价 财务与里程碑为项目规划情景 需要以真实访谈 试点 付费 合同和经营数据持续校准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717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66717E"/>
        <w:sz w:val="17"/>
      </w:rPr>
      <w:t>Cuttle 情境原生智能输入系统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20"/>
      <w:ind w:firstLine="420"/>
    </w:pPr>
    <w:rPr>
      <w:rFonts w:ascii="Microsoft YaHei" w:hAnsi="Microsoft YaHei" w:eastAsia="Microsoft YaHei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25" w:hanging="198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www.moe.gov.cn/srcsite/A08/s5672/202607/t20260731_1445670.html" TargetMode="External"/><Relationship Id="rId24" Type="http://schemas.openxmlformats.org/officeDocument/2006/relationships/hyperlink" Target="https://www.xit.edu.cn/stjq/2025/0610/c335a62225/page.htm" TargetMode="External"/><Relationship Id="rId25" Type="http://schemas.openxmlformats.org/officeDocument/2006/relationships/hyperlink" Target="https://www3.cnnic.cn/n4/2026/0304/c88-11549.html" TargetMode="External"/><Relationship Id="rId26" Type="http://schemas.openxmlformats.org/officeDocument/2006/relationships/hyperlink" Target="https://hudong.moe.gov.cn/jyb_sjzl/sjzl_fztjgb/202607/t20260706_1442870.html" TargetMode="External"/><Relationship Id="rId27" Type="http://schemas.openxmlformats.org/officeDocument/2006/relationships/hyperlink" Target="https://www.miit.gov.cn/gxsj/tjfx/rjy/art/2026/art_65a12a560865432bb1548fdddc74f19c.html" TargetMode="External"/><Relationship Id="rId28" Type="http://schemas.openxmlformats.org/officeDocument/2006/relationships/hyperlink" Target="https://pinyin.sogou.com/changelog.php" TargetMode="External"/><Relationship Id="rId29" Type="http://schemas.openxmlformats.org/officeDocument/2006/relationships/hyperlink" Target="https://docs.wisprflow.ai/articles/4678293671-Context-Awareness" TargetMode="External"/><Relationship Id="rId30" Type="http://schemas.openxmlformats.org/officeDocument/2006/relationships/hyperlink" Target="https://openai.com/index/introducing-the-codex-app/" TargetMode="External"/><Relationship Id="rId31" Type="http://schemas.openxmlformats.org/officeDocument/2006/relationships/hyperlink" Target="https://www.npc.gov.cn/npc/c2/c30834/202108/t20210820_313088.html" TargetMode="External"/><Relationship Id="rId32" Type="http://schemas.openxmlformats.org/officeDocument/2006/relationships/hyperlink" Target="https://www.npc.gov.cn/npc/c2/c30834/202106/t20210610_311888.html" TargetMode="External"/><Relationship Id="rId33" Type="http://schemas.openxmlformats.org/officeDocument/2006/relationships/hyperlink" Target="https://www.miit.gov.cn/zcfg/qtl/art/2023/art_f4e8f71ae1dc43b0980b962907b7738f.html" TargetMode="External"/><Relationship Id="rId34" Type="http://schemas.openxmlformats.org/officeDocument/2006/relationships/hyperlink" Target="https://mimo.mi.com/docs/en-US/news/latest/mimo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Cuttle 情境原生智能输入系统参赛商业计划书</dc:title>
  <dc:subject>中国国际大学生创新大赛 2026 高教主赛道本科生创意组</dc:subject>
  <dc:creator>Cuttle 项目团队</dc:creator>
  <cp:keywords>Cuttle, 情境原生智能输入, AI Agent, 商业计划书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