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/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1906" w:h="15840" w:orient="portrait"/>
          <w:pgMar w:bottom="1133" w:footer="708" w:gutter="0" w:header="708" w:left="1133" w:right="1133" w:top="1133"/>
          <w:cols w:space="708"/>
          <w:docGrid w:linePitch="360"/>
        </w:sect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p>
      <w:pPr>
        <w:sectPr>
          <w:pgSz w:w="15840" w:h="11906" w:orient="landscape"/>
          <w:pgMar w:bottom="1133" w:footer="708" w:gutter="0" w:header="708" w:left="1133" w:right="1133" w:top="1133"/>
          <w:cols w:space="708"/>
          <w:docGrid w:linePitch="360"/>
        </w:sect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