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</w:t>
      </w:r>
    </w:p>
    <w:p>
      <w:r>
        <w:t>54</w:t>
      </w:r>
    </w:p>
    <w:p>
      <w:r>
        <w:t>참고1</w:t>
      </w:r>
    </w:p>
    <w:p>
      <w:r>
        <w:t>특이민원 발생보고서(양식)</w:t>
      </w:r>
    </w:p>
    <w:p>
      <w:r>
        <w:t>특이민원 발생보고서</w:t>
      </w:r>
    </w:p>
    <w:p>
      <w:r>
        <w:t>공직자민원응대매뉴얼</w:t>
      </w:r>
    </w:p>
    <w:p>
      <w:r>
        <w:t>발생일자부서부서장특이민원유형폭언(욕설 등)협박폭행성희롱기물파손위험물소지주취소란기타*○* 무고, 허위사실 유포 등민원인전화번호담당자전화번호담당업무특이민원 발생요지※ 6하원칙에 따라 핵심내용 위주로 간략하게 작성담당자 의견부서장의견관련부서요청사항※ 필요 시 작성하여 감사, 법무부서 등에 제출</w:t>
      </w:r>
    </w:p>
    <w:p>
      <w:r>
        <w:t>Page:1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