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Q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指數型投資人 擊敗市場型投資人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共同基金 指數股票型基金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（</w:t>
      </w:r>
      <w:proofErr w:type="spellStart"/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etf</w:t>
      </w:r>
      <w:proofErr w:type="spellEnd"/>
      <w:r w:rsidRPr="005D6DAA">
        <w:rPr>
          <w:rFonts w:ascii="新細明體" w:eastAsia="新細明體" w:hAnsi="新細明體" w:cs="新細明體"/>
          <w:kern w:val="0"/>
          <w:szCs w:val="24"/>
        </w:rPr>
        <w:t>) 避險基金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(第一章 證券投資概論)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QE(量化寬鬆政策) : 政府拿錢跟金融機構買債券，將貨幣流動至金融機構  外資投資台灣 美金換成台幣 台幣需求增加 台幣升值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CFA 很重要，大學畢業可考    FRA 大學即可考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經濟-營業員-手續費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自營-交易員-報酬(證券公司)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承銷-顧問員-顧問費IPO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          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629025" cy="1447800"/>
            <wp:effectExtent l="0" t="0" r="9525" b="0"/>
            <wp:docPr id="26" name="圖片 26" descr="C:\Users\juck3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ck3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(第二章 金融工具)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「金融市場」資金的需求與資金的供給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(股票)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       間接金融：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          利息放款                  利息存款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                         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需求---------------銀行-----------------供給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       直接金融：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         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顧問費用                 有價證券(股票)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                          券商---------------需求-----------------供給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「貨幣市場」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   短期票</w:t>
      </w:r>
      <w:proofErr w:type="gramStart"/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券</w:t>
      </w:r>
      <w:proofErr w:type="gramEnd"/>
    </w:p>
    <w:p w:rsidR="005D6DAA" w:rsidRPr="005D6DAA" w:rsidRDefault="005D6DAA" w:rsidP="005D6DAA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國庫券/ 中央政府所發行的短期票</w:t>
      </w:r>
      <w:proofErr w:type="gramStart"/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券</w:t>
      </w:r>
      <w:proofErr w:type="gramEnd"/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，目的在調節國庫收支或穩定金融。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以折價方式公開標售，到期時按面額清償。</w:t>
      </w:r>
    </w:p>
    <w:p w:rsidR="005D6DAA" w:rsidRPr="005D6DAA" w:rsidRDefault="005D6DAA" w:rsidP="005D6DAA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可轉讓定期存單(NCD)/ 該種定期存單具有轉讓的性質，可在貨幣市場上流通，當持有人需要變現時，即可轉讓。</w:t>
      </w:r>
    </w:p>
    <w:p w:rsidR="005D6DAA" w:rsidRPr="005D6DAA" w:rsidRDefault="005D6DAA" w:rsidP="005D6DAA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商業本票/ 企業籌措短期資金所發行短期票</w:t>
      </w:r>
      <w:proofErr w:type="gramStart"/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券</w:t>
      </w:r>
      <w:proofErr w:type="gramEnd"/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，分為交易性、金融性。</w:t>
      </w:r>
    </w:p>
    <w:p w:rsidR="005D6DAA" w:rsidRPr="005D6DAA" w:rsidRDefault="005D6DAA" w:rsidP="005D6DAA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銀行承兌匯票/ 於指定到期日依簽發的金額，無條件支付給受款人或持票人之票據。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附條件交易</w:t>
      </w:r>
    </w:p>
    <w:p w:rsidR="005D6DAA" w:rsidRPr="005D6DAA" w:rsidRDefault="005D6DAA" w:rsidP="005D6DAA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附買回交易(Repurchase, RP)/  投資人向票券商買進短期票券</w:t>
      </w:r>
    </w:p>
    <w:p w:rsidR="005D6DAA" w:rsidRPr="005D6DAA" w:rsidRDefault="005D6DAA" w:rsidP="005D6DAA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附賣回交易(Resale, RS)/          證券商</w:t>
      </w:r>
      <w:r w:rsidRPr="005D6DAA">
        <w:rPr>
          <w:rFonts w:ascii="新細明體" w:eastAsia="新細明體" w:hAnsi="新細明體" w:cs="新細明體"/>
          <w:kern w:val="0"/>
          <w:szCs w:val="24"/>
        </w:rPr>
        <w:t>向投資人買進短期票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金融業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拆帳</w:t>
      </w:r>
      <w:proofErr w:type="gramEnd"/>
    </w:p>
    <w:p w:rsidR="005D6DAA" w:rsidRPr="005D6DAA" w:rsidRDefault="005D6DAA" w:rsidP="005D6DAA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銀行準備部位超過法定，可將超額貸款給不足的銀行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lastRenderedPageBreak/>
        <w:t>           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4076700" cy="1771650"/>
            <wp:effectExtent l="0" t="0" r="0" b="0"/>
            <wp:docPr id="25" name="圖片 25" descr="C:\Users\juck3\AppData\Local\Temp\enhtmlclip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ck3\AppData\Local\Temp\enhtmlclip\Image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衍伸性金融商品</w:t>
      </w:r>
      <w:proofErr w:type="gramEnd"/>
    </w:p>
    <w:p w:rsidR="005D6DAA" w:rsidRPr="005D6DAA" w:rsidRDefault="005D6DAA" w:rsidP="005D6DAA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遠期契約/ 現在約定未來的價格</w:t>
      </w:r>
    </w:p>
    <w:p w:rsidR="005D6DAA" w:rsidRPr="005D6DAA" w:rsidRDefault="005D6DAA" w:rsidP="005D6DAA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期貨/ 與遠期契約性質類似，是一種標準化的契約，完善的保證金與結算制度，違約風險較低。</w:t>
      </w:r>
    </w:p>
    <w:p w:rsidR="005D6DAA" w:rsidRPr="005D6DAA" w:rsidRDefault="005D6DAA" w:rsidP="005D6DAA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選擇權/  買特定價格的權利，如為買進的權利，稱買權(Call Options)，賣出的權利，稱賣權(Put Options)。</w:t>
      </w:r>
    </w:p>
    <w:p w:rsidR="005D6DAA" w:rsidRPr="005D6DAA" w:rsidRDefault="005D6DAA" w:rsidP="005D6DAA">
      <w:pPr>
        <w:widowControl/>
        <w:numPr>
          <w:ilvl w:val="0"/>
          <w:numId w:val="4"/>
        </w:numPr>
        <w:spacing w:before="100" w:beforeAutospacing="1" w:after="100" w:afterAutospacing="1"/>
        <w:ind w:left="1440"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numPr>
          <w:ilvl w:val="1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認購權證/ 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由第三方（如證券商）發行， 買特定價格的權利 </w:t>
      </w:r>
    </w:p>
    <w:p w:rsidR="005D6DAA" w:rsidRPr="005D6DAA" w:rsidRDefault="005D6DAA" w:rsidP="005D6DAA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00000"/>
          <w:kern w:val="0"/>
          <w:szCs w:val="24"/>
        </w:rPr>
        <w:t>金融交換/  銀行或企業在相互約定的條件(幣別金額、期間計息、利率匯率)下，將資產或負債與對方交換的契約。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                        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638550" cy="1085850"/>
            <wp:effectExtent l="0" t="0" r="0" b="0"/>
            <wp:docPr id="24" name="圖片 24" descr="C:\Users\juck3\AppData\Local\Temp\enhtmlclip\Imag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ck3\AppData\Local\Temp\enhtmlclip\Image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(第三章 共同基金)</w:t>
      </w:r>
    </w:p>
    <w:p w:rsidR="005D6DAA" w:rsidRPr="005D6DAA" w:rsidRDefault="005D6DAA" w:rsidP="005D6DAA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具有匯集投資大眾的資金及委由專家操盤的特性，具分散風險的效果。</w:t>
      </w:r>
    </w:p>
    <w:p w:rsidR="005D6DAA" w:rsidRPr="005D6DAA" w:rsidRDefault="005D6DAA" w:rsidP="005D6DAA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投資人可透過共同基金參與高價位股票的投資。</w:t>
      </w:r>
    </w:p>
    <w:p w:rsidR="005D6DAA" w:rsidRPr="005D6DAA" w:rsidRDefault="005D6DAA" w:rsidP="005D6DAA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投資人可利用共同基金，將投資的觸角擴及海外，使本身的資產配置更加完善。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                 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4352925" cy="2076450"/>
            <wp:effectExtent l="0" t="0" r="9525" b="0"/>
            <wp:docPr id="23" name="圖片 23" descr="C:\Users\juck3\AppData\Local\Temp\enhtmlclip\Image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ck3\AppData\Local\Temp\enhtmlclip\Image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lastRenderedPageBreak/>
        <w:t>「特殊類型的共同基金」</w:t>
      </w:r>
    </w:p>
    <w:p w:rsidR="005D6DAA" w:rsidRPr="005D6DAA" w:rsidRDefault="005D6DAA" w:rsidP="005D6DAA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組合型基金/ 以其他共同基金（即子基金）為投資標的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的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共同基金</w:t>
      </w:r>
    </w:p>
    <w:p w:rsidR="005D6DAA" w:rsidRPr="005D6DAA" w:rsidRDefault="005D6DAA" w:rsidP="005D6DAA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傘型基金/ 不是一檔真實的共同基金，而是一種新型態的基金發行架構。</w:t>
      </w:r>
    </w:p>
    <w:p w:rsidR="005D6DAA" w:rsidRPr="005D6DAA" w:rsidRDefault="005D6DAA" w:rsidP="005D6DAA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保本型基金/ 將大部分的資金投資於固定收益證券（如零息債券）。</w:t>
      </w:r>
    </w:p>
    <w:p w:rsidR="005D6DAA" w:rsidRPr="005D6DAA" w:rsidRDefault="005D6DAA" w:rsidP="005D6DAA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指數型基金/ 以追蹤大盤指數的績效表現為目標</w:t>
      </w:r>
    </w:p>
    <w:p w:rsidR="005D6DAA" w:rsidRPr="005D6DAA" w:rsidRDefault="005D6DAA" w:rsidP="005D6DAA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指數股票型基金(ETF)/ 將標的分割成許多單價較低的投資單位，讓投資人購買，並在集中市場掛牌交易。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(第四章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證券市場)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4.1證券市場</w:t>
      </w:r>
    </w:p>
    <w:p w:rsidR="005D6DAA" w:rsidRPr="005D6DAA" w:rsidRDefault="005D6DAA" w:rsidP="005D6DAA">
      <w:pPr>
        <w:widowControl/>
        <w:numPr>
          <w:ilvl w:val="0"/>
          <w:numId w:val="7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發行市場（初級市場）為需求者→投資人。直接金融市場中，有資金需求時可在出售有價證券（現金增資或發行債券）以募集(IPO)資金。</w:t>
      </w:r>
    </w:p>
    <w:p w:rsidR="005D6DAA" w:rsidRPr="005D6DAA" w:rsidRDefault="005D6DAA" w:rsidP="005D6DAA">
      <w:pPr>
        <w:widowControl/>
        <w:numPr>
          <w:ilvl w:val="0"/>
          <w:numId w:val="7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流通市場（次級市場）為投資人→投資人。有價證券發行之後，即在市場上流通，供投資人買賣。</w:t>
      </w:r>
    </w:p>
    <w:p w:rsidR="005D6DAA" w:rsidRPr="005D6DAA" w:rsidRDefault="005D6DAA" w:rsidP="005D6DAA">
      <w:pPr>
        <w:widowControl/>
        <w:numPr>
          <w:ilvl w:val="0"/>
          <w:numId w:val="7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集中市場(</w:t>
      </w:r>
      <w:r w:rsidRPr="005D6DAA">
        <w:rPr>
          <w:rFonts w:ascii="新細明體" w:eastAsia="新細明體" w:hAnsi="新細明體" w:cs="新細明體"/>
          <w:color w:val="545454"/>
          <w:kern w:val="0"/>
          <w:szCs w:val="24"/>
        </w:rPr>
        <w:t>Stock Exchange Market)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是在證券或期貨交易所進行買賣的市場，由券商齊聚從事交易，交易所本身不做買賣活動，只是提供集中交易的場所。</w:t>
      </w:r>
    </w:p>
    <w:p w:rsidR="005D6DAA" w:rsidRPr="005D6DAA" w:rsidRDefault="005D6DAA" w:rsidP="005D6DAA">
      <w:pPr>
        <w:widowControl/>
        <w:numPr>
          <w:ilvl w:val="0"/>
          <w:numId w:val="7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店頭市場(Over-the-Counter, OTC)，金融工具不在集中交易市場上買賣，而在證券商營業櫃檯進行交易（即櫃檯買賣）所形成的市場。</w:t>
      </w:r>
    </w:p>
    <w:p w:rsidR="005D6DAA" w:rsidRPr="005D6DAA" w:rsidRDefault="005D6DAA" w:rsidP="005D6DAA">
      <w:pPr>
        <w:widowControl/>
        <w:numPr>
          <w:ilvl w:val="0"/>
          <w:numId w:val="8"/>
        </w:numPr>
        <w:spacing w:before="100" w:beforeAutospacing="1" w:after="100" w:afterAutospacing="1"/>
        <w:ind w:left="0"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numPr>
          <w:ilvl w:val="1"/>
          <w:numId w:val="8"/>
        </w:numPr>
        <w:spacing w:before="100" w:beforeAutospacing="1" w:after="100" w:afterAutospacing="1"/>
        <w:ind w:left="24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國際市場(世界前十大交易所)</w:t>
      </w:r>
    </w:p>
    <w:p w:rsidR="005D6DAA" w:rsidRPr="005D6DAA" w:rsidRDefault="005D6DAA" w:rsidP="005D6DAA">
      <w:pPr>
        <w:widowControl/>
        <w:numPr>
          <w:ilvl w:val="0"/>
          <w:numId w:val="9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1. 紐約證交所(NYSE)         = 道瓊工業指數(DJIA).標準普爾(S&amp;P500)</w:t>
      </w:r>
    </w:p>
    <w:p w:rsidR="005D6DAA" w:rsidRPr="005D6DAA" w:rsidRDefault="005D6DAA" w:rsidP="005D6DAA">
      <w:pPr>
        <w:widowControl/>
        <w:numPr>
          <w:ilvl w:val="0"/>
          <w:numId w:val="9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2. 那斯達克(NASDAQ)        = 那斯達克綜合</w:t>
      </w:r>
      <w:r w:rsidRPr="005D6DAA">
        <w:rPr>
          <w:rFonts w:ascii="新細明體" w:eastAsia="新細明體" w:hAnsi="新細明體" w:cs="新細明體"/>
          <w:color w:val="222222"/>
          <w:kern w:val="0"/>
          <w:szCs w:val="24"/>
        </w:rPr>
        <w:t>(Nasdaq Composite)</w:t>
      </w:r>
    </w:p>
    <w:p w:rsidR="005D6DAA" w:rsidRPr="005D6DAA" w:rsidRDefault="005D6DAA" w:rsidP="005D6DAA">
      <w:pPr>
        <w:widowControl/>
        <w:numPr>
          <w:ilvl w:val="0"/>
          <w:numId w:val="9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3. 東京證交所(TSE)            = 東證指數(TOPIX) .日經225(N225)</w:t>
      </w:r>
    </w:p>
    <w:p w:rsidR="005D6DAA" w:rsidRPr="005D6DAA" w:rsidRDefault="005D6DAA" w:rsidP="005D6DAA">
      <w:pPr>
        <w:widowControl/>
        <w:numPr>
          <w:ilvl w:val="0"/>
          <w:numId w:val="9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4. 倫敦證交所(LSE)            = 富時100(FTSE100)</w:t>
      </w:r>
    </w:p>
    <w:p w:rsidR="005D6DAA" w:rsidRPr="005D6DAA" w:rsidRDefault="005D6DAA" w:rsidP="005D6DAA">
      <w:pPr>
        <w:widowControl/>
        <w:numPr>
          <w:ilvl w:val="0"/>
          <w:numId w:val="9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5. 泛歐證交所(Euronext)</w:t>
      </w:r>
    </w:p>
    <w:p w:rsidR="005D6DAA" w:rsidRPr="005D6DAA" w:rsidRDefault="005D6DAA" w:rsidP="005D6DAA">
      <w:pPr>
        <w:widowControl/>
        <w:numPr>
          <w:ilvl w:val="0"/>
          <w:numId w:val="9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6. 香港證交所(HKE)           = 恒生指數(HIS)</w:t>
      </w:r>
    </w:p>
    <w:p w:rsidR="005D6DAA" w:rsidRPr="005D6DAA" w:rsidRDefault="005D6DAA" w:rsidP="005D6DAA">
      <w:pPr>
        <w:widowControl/>
        <w:numPr>
          <w:ilvl w:val="0"/>
          <w:numId w:val="9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7. 上海證交所(SSE)            = 上證指數(SHA: 000001) 上市分A、B、H股</w:t>
      </w:r>
    </w:p>
    <w:p w:rsidR="005D6DAA" w:rsidRPr="005D6DAA" w:rsidRDefault="005D6DAA" w:rsidP="005D6DAA">
      <w:pPr>
        <w:widowControl/>
        <w:numPr>
          <w:ilvl w:val="0"/>
          <w:numId w:val="9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8. 多倫多交所(TSX)            = 加大綜合(GSPTSE)</w:t>
      </w:r>
    </w:p>
    <w:p w:rsidR="005D6DAA" w:rsidRPr="005D6DAA" w:rsidRDefault="005D6DAA" w:rsidP="005D6DAA">
      <w:pPr>
        <w:widowControl/>
        <w:numPr>
          <w:ilvl w:val="0"/>
          <w:numId w:val="9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9. 德國證交所(DBG)            = 德國DAX(GDAXI)</w:t>
      </w:r>
    </w:p>
    <w:p w:rsidR="005D6DAA" w:rsidRPr="005D6DAA" w:rsidRDefault="005D6DAA" w:rsidP="005D6DAA">
      <w:pPr>
        <w:widowControl/>
        <w:numPr>
          <w:ilvl w:val="0"/>
          <w:numId w:val="9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10.澳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大利交所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(ASX)           = 澳洲綜合(AORD)</w:t>
      </w:r>
    </w:p>
    <w:p w:rsidR="005D6DAA" w:rsidRPr="005D6DAA" w:rsidRDefault="005D6DAA" w:rsidP="005D6DAA">
      <w:pPr>
        <w:widowControl/>
        <w:numPr>
          <w:ilvl w:val="0"/>
          <w:numId w:val="9"/>
        </w:numPr>
        <w:spacing w:before="100" w:beforeAutospacing="1" w:after="100" w:afterAutospacing="1"/>
        <w:ind w:left="660" w:firstLine="0"/>
        <w:rPr>
          <w:rFonts w:ascii="新細明體" w:eastAsia="新細明體" w:hAnsi="新細明體" w:cs="新細明體"/>
          <w:color w:val="010101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上海證交所&amp;深圳證交所。中國大陸的上市股票，分A、B、H股。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(第五章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證券市場的參與者)</w:t>
      </w:r>
    </w:p>
    <w:p w:rsidR="005D6DAA" w:rsidRPr="005D6DAA" w:rsidRDefault="005D6DAA" w:rsidP="005D6DAA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國、內外的自然人</w:t>
      </w:r>
    </w:p>
    <w:p w:rsidR="005D6DAA" w:rsidRPr="005D6DAA" w:rsidRDefault="005D6DAA" w:rsidP="005D6DAA">
      <w:pPr>
        <w:widowControl/>
        <w:numPr>
          <w:ilvl w:val="0"/>
          <w:numId w:val="10"/>
        </w:numPr>
        <w:spacing w:before="100" w:beforeAutospacing="1" w:after="100" w:afterAutospacing="1"/>
        <w:ind w:left="1440"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numPr>
          <w:ilvl w:val="1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一般散戶、中實戶、大戶或公司大股東等</w:t>
      </w:r>
    </w:p>
    <w:p w:rsidR="005D6DAA" w:rsidRPr="005D6DAA" w:rsidRDefault="005D6DAA" w:rsidP="005D6DAA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法人</w:t>
      </w:r>
    </w:p>
    <w:p w:rsidR="005D6DAA" w:rsidRPr="005D6DAA" w:rsidRDefault="005D6DAA" w:rsidP="005D6DAA">
      <w:pPr>
        <w:widowControl/>
        <w:numPr>
          <w:ilvl w:val="0"/>
          <w:numId w:val="10"/>
        </w:numPr>
        <w:spacing w:before="100" w:beforeAutospacing="1" w:after="100" w:afterAutospacing="1"/>
        <w:ind w:left="1440"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numPr>
          <w:ilvl w:val="1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三大法人/證券自營商、投信公司、外資機構等</w:t>
      </w:r>
    </w:p>
    <w:p w:rsidR="005D6DAA" w:rsidRPr="005D6DAA" w:rsidRDefault="005D6DAA" w:rsidP="005D6DAA">
      <w:pPr>
        <w:widowControl/>
        <w:numPr>
          <w:ilvl w:val="1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四大基金/郵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匯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儲金、退撫基金、勞退基金、勞保基金等。</w:t>
      </w:r>
    </w:p>
    <w:p w:rsidR="005D6DAA" w:rsidRPr="005D6DAA" w:rsidRDefault="005D6DAA" w:rsidP="005D6DAA">
      <w:pPr>
        <w:widowControl/>
        <w:numPr>
          <w:ilvl w:val="1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國安基金/國家安定基金 </w:t>
      </w:r>
    </w:p>
    <w:p w:rsidR="005D6DAA" w:rsidRPr="005D6DAA" w:rsidRDefault="005D6DAA" w:rsidP="005D6DAA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信託：</w:t>
      </w:r>
    </w:p>
    <w:p w:rsidR="005D6DAA" w:rsidRPr="005D6DAA" w:rsidRDefault="005D6DAA" w:rsidP="005D6DAA">
      <w:pPr>
        <w:widowControl/>
        <w:numPr>
          <w:ilvl w:val="0"/>
          <w:numId w:val="10"/>
        </w:numPr>
        <w:spacing w:before="100" w:beforeAutospacing="1" w:after="100" w:afterAutospacing="1"/>
        <w:ind w:left="1440"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numPr>
          <w:ilvl w:val="1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信託是一種財產的管理制度</w:t>
      </w:r>
    </w:p>
    <w:p w:rsidR="005D6DAA" w:rsidRPr="005D6DAA" w:rsidRDefault="005D6DAA" w:rsidP="005D6DAA">
      <w:pPr>
        <w:widowControl/>
        <w:numPr>
          <w:ilvl w:val="1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         簽訂契約                處分利益</w:t>
      </w:r>
      <w:r w:rsidRPr="005D6DAA">
        <w:rPr>
          <w:rFonts w:ascii="新細明體" w:eastAsia="新細明體" w:hAnsi="新細明體" w:cs="新細明體"/>
          <w:kern w:val="0"/>
          <w:szCs w:val="24"/>
        </w:rPr>
        <w:br/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委託人---------------信託-----------------受益人</w:t>
      </w:r>
    </w:p>
    <w:p w:rsidR="005D6DAA" w:rsidRPr="005D6DAA" w:rsidRDefault="005D6DAA" w:rsidP="005D6DAA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對沖基金</w:t>
      </w:r>
    </w:p>
    <w:p w:rsidR="005D6DAA" w:rsidRPr="005D6DAA" w:rsidRDefault="005D6DAA" w:rsidP="005D6DAA">
      <w:pPr>
        <w:widowControl/>
        <w:numPr>
          <w:ilvl w:val="0"/>
          <w:numId w:val="10"/>
        </w:numPr>
        <w:spacing w:before="100" w:beforeAutospacing="1" w:after="100" w:afterAutospacing="1"/>
        <w:ind w:left="1440"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numPr>
          <w:ilvl w:val="1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利用市場多空部位的投資組合來規避市場風險，使市場波動性盡可能不影響其基金績效</w:t>
      </w:r>
    </w:p>
    <w:p w:rsidR="005D6DAA" w:rsidRPr="005D6DAA" w:rsidRDefault="005D6DAA" w:rsidP="005D6DAA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私募股權基金的運作模式</w:t>
      </w:r>
    </w:p>
    <w:p w:rsidR="005D6DAA" w:rsidRPr="005D6DAA" w:rsidRDefault="005D6DAA" w:rsidP="005D6DAA">
      <w:pPr>
        <w:widowControl/>
        <w:numPr>
          <w:ilvl w:val="0"/>
          <w:numId w:val="10"/>
        </w:numPr>
        <w:spacing w:before="100" w:beforeAutospacing="1" w:after="100" w:afterAutospacing="1"/>
        <w:ind w:left="1440"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numPr>
          <w:ilvl w:val="1"/>
          <w:numId w:val="1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掌握公司即將上市、重整或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併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購等機會，以較低 的價格買進標的公司的股票，經整頓或一段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期間（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如5-7年） 再將標的公司出售</w:t>
      </w:r>
    </w:p>
    <w:p w:rsidR="005D6DAA" w:rsidRPr="005D6DAA" w:rsidRDefault="005D6DAA" w:rsidP="005D6DAA">
      <w:pPr>
        <w:widowControl/>
        <w:ind w:firstLine="454"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(第六章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報酬與風險)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     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552825" cy="685800"/>
            <wp:effectExtent l="0" t="0" r="9525" b="0"/>
            <wp:docPr id="22" name="圖片 22" descr="C:\Users\juck3\AppData\Local\Temp\enhtmlclip\Image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ck3\AppData\Local\Temp\enhtmlclip\Image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       EX.期望值 =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2000250" cy="333375"/>
            <wp:effectExtent l="0" t="0" r="0" b="9525"/>
            <wp:docPr id="21" name="圖片 21" descr="C:\Users\juck3\AppData\Local\Temp\enhtmlclip\Image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ck3\AppData\Local\Temp\enhtmlclip\Image(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實際報酬率/事後或已實現的報酬率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預期報酬率/預估未來可以獲得的報酬率(期望值)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     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1638300" cy="561975"/>
            <wp:effectExtent l="0" t="0" r="0" b="9525"/>
            <wp:docPr id="20" name="圖片 20" descr="C:\Users\juck3\AppData\Local\Temp\enhtmlcli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ck3\AppData\Local\Temp\enhtmlclip\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     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981450" cy="742950"/>
            <wp:effectExtent l="0" t="0" r="0" b="0"/>
            <wp:docPr id="19" name="圖片 19" descr="C:\Users\juck3\AppData\Local\Temp\enhtmlcli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ck3\AppData\Local\Temp\enhtmlclip\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           Ex.預期報酬率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= [50%*0.6 + 10%*0.2 + (-30%)*0.2] =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FFAF00"/>
          <w:kern w:val="0"/>
          <w:szCs w:val="24"/>
        </w:rPr>
        <w:t>26%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市場風險(Market Risk)  / 利率風險(Interest Risk) / 匯率風險(</w:t>
      </w:r>
      <w:proofErr w:type="spell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Excahng</w:t>
      </w:r>
      <w:proofErr w:type="spell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 xml:space="preserve"> Risk) / 營運風險(Operational Risk)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流動性風險(Liquidity)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投資在買進金融工具後無法脫手的可能性，流動性小(風險高)，會降低投資該金融的意願，且價格發現的功能越低。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風險衡量方式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標準差：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變異數開根號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而得，標準差越大代表報酬率的波動程度越大(風險越大)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lastRenderedPageBreak/>
        <w:t>             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2419350" cy="628650"/>
            <wp:effectExtent l="0" t="0" r="0" b="0"/>
            <wp:docPr id="18" name="圖片 18" descr="C:\Users\juck3\AppData\Local\Temp\enhtmlclip\Image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ck3\AppData\Local\Temp\enhtmlclip\Image(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EX. o =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根號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(50%</w:t>
      </w:r>
      <w:r w:rsidRPr="005D6DAA">
        <w:rPr>
          <w:rFonts w:ascii="新細明體" w:eastAsia="新細明體" w:hAnsi="新細明體" w:cs="新細明體"/>
          <w:color w:val="FF0000"/>
          <w:kern w:val="0"/>
          <w:szCs w:val="24"/>
        </w:rPr>
        <w:t>-26%</w:t>
      </w:r>
      <w:proofErr w:type="gramStart"/>
      <w:r w:rsidRPr="005D6DAA">
        <w:rPr>
          <w:rFonts w:ascii="新細明體" w:eastAsia="新細明體" w:hAnsi="新細明體" w:cs="新細明體"/>
          <w:color w:val="FF0000"/>
          <w:kern w:val="0"/>
          <w:szCs w:val="24"/>
        </w:rPr>
        <w:t>)^</w:t>
      </w:r>
      <w:proofErr w:type="gramEnd"/>
      <w:r w:rsidRPr="005D6DAA">
        <w:rPr>
          <w:rFonts w:ascii="新細明體" w:eastAsia="新細明體" w:hAnsi="新細明體" w:cs="新細明體"/>
          <w:color w:val="FF0000"/>
          <w:kern w:val="0"/>
          <w:szCs w:val="24"/>
        </w:rPr>
        <w:t>2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*0.6 + (10%</w:t>
      </w:r>
      <w:r w:rsidRPr="005D6DAA">
        <w:rPr>
          <w:rFonts w:ascii="新細明體" w:eastAsia="新細明體" w:hAnsi="新細明體" w:cs="新細明體"/>
          <w:color w:val="FF0000"/>
          <w:kern w:val="0"/>
          <w:szCs w:val="24"/>
        </w:rPr>
        <w:t>-26%)^2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*0.2 + (-30%</w:t>
      </w:r>
      <w:r w:rsidRPr="005D6DAA">
        <w:rPr>
          <w:rFonts w:ascii="新細明體" w:eastAsia="新細明體" w:hAnsi="新細明體" w:cs="新細明體"/>
          <w:color w:val="FF0000"/>
          <w:kern w:val="0"/>
          <w:szCs w:val="24"/>
        </w:rPr>
        <w:t>-26%)^2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*0.2 = 32%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季化標準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差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1266825" cy="323850"/>
            <wp:effectExtent l="0" t="0" r="9525" b="0"/>
            <wp:docPr id="17" name="圖片 17" descr="C:\Users\juck3\AppData\Local\Temp\enhtmlclip\Image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ck3\AppData\Local\Temp\enhtmlclip\Image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年化標準差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1209675" cy="323850"/>
            <wp:effectExtent l="0" t="0" r="9525" b="0"/>
            <wp:docPr id="16" name="圖片 16" descr="C:\Users\juck3\AppData\Local\Temp\enhtmlclip\Image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ck3\AppData\Local\Temp\enhtmlclip\Image(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(第七章</w:t>
      </w:r>
      <w:r w:rsidRPr="005D6DAA">
        <w:rPr>
          <w:rFonts w:ascii="新細明體" w:eastAsia="新細明體" w:hAnsi="新細明體" w:cs="新細明體"/>
          <w:kern w:val="0"/>
          <w:szCs w:val="24"/>
        </w:rPr>
        <w:t> 投資組合理論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962400" cy="600075"/>
            <wp:effectExtent l="0" t="0" r="0" b="9525"/>
            <wp:docPr id="15" name="圖片 15" descr="C:\Users\juck3\AppData\Local\Temp\enhtmlclip\Image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uck3\AppData\Local\Temp\enhtmlclip\Image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TimesNewRomanPSMT" w:eastAsia="新細明體" w:hAnsi="TimesNewRomanPSMT" w:cs="新細明體"/>
          <w:color w:val="010101"/>
          <w:kern w:val="0"/>
          <w:sz w:val="20"/>
          <w:szCs w:val="20"/>
        </w:rPr>
        <w:t>(1)</w:t>
      </w:r>
      <w:r w:rsidRPr="005D6DAA">
        <w:rPr>
          <w:rFonts w:ascii="新細明體" w:eastAsia="新細明體" w:hAnsi="新細明體" w:cs="新細明體" w:hint="eastAsia"/>
          <w:color w:val="010101"/>
          <w:kern w:val="0"/>
          <w:sz w:val="20"/>
          <w:szCs w:val="20"/>
        </w:rPr>
        <w:t>兩股票之平均報酬率及報酬率的</w:t>
      </w:r>
      <w:proofErr w:type="gramStart"/>
      <w:r w:rsidRPr="005D6DAA">
        <w:rPr>
          <w:rFonts w:ascii="新細明體" w:eastAsia="新細明體" w:hAnsi="新細明體" w:cs="新細明體" w:hint="eastAsia"/>
          <w:color w:val="010101"/>
          <w:kern w:val="0"/>
          <w:sz w:val="20"/>
          <w:szCs w:val="20"/>
        </w:rPr>
        <w:t>標準差各為</w:t>
      </w:r>
      <w:proofErr w:type="gramEnd"/>
      <w:r w:rsidRPr="005D6DAA">
        <w:rPr>
          <w:rFonts w:ascii="新細明體" w:eastAsia="新細明體" w:hAnsi="新細明體" w:cs="新細明體" w:hint="eastAsia"/>
          <w:color w:val="010101"/>
          <w:kern w:val="0"/>
          <w:sz w:val="20"/>
          <w:szCs w:val="20"/>
        </w:rPr>
        <w:t>多少？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     </w:t>
      </w:r>
      <w:r w:rsidRPr="005D6DAA">
        <w:rPr>
          <w:rFonts w:ascii="新細明體" w:eastAsia="新細明體" w:hAnsi="新細明體" w:cs="新細明體" w:hint="eastAsia"/>
          <w:color w:val="010101"/>
          <w:kern w:val="0"/>
          <w:sz w:val="20"/>
          <w:szCs w:val="20"/>
        </w:rPr>
        <w:t>宏碁的平均報酬率= </w:t>
      </w:r>
      <w:r w:rsidRPr="005D6DAA">
        <w:rPr>
          <w:rFonts w:ascii="TimesNewRomanPSMT" w:eastAsia="新細明體" w:hAnsi="TimesNewRomanPSMT" w:cs="新細明體"/>
          <w:color w:val="010101"/>
          <w:kern w:val="0"/>
          <w:sz w:val="20"/>
          <w:szCs w:val="20"/>
        </w:rPr>
        <w:t>1.63%</w:t>
      </w:r>
      <w:r w:rsidRPr="005D6DAA">
        <w:rPr>
          <w:rFonts w:ascii="新細明體" w:eastAsia="新細明體" w:hAnsi="新細明體" w:cs="新細明體" w:hint="eastAsia"/>
          <w:color w:val="010101"/>
          <w:kern w:val="0"/>
          <w:sz w:val="20"/>
          <w:szCs w:val="20"/>
        </w:rPr>
        <w:t>，報酬率標準差= </w:t>
      </w:r>
      <w:r w:rsidRPr="005D6DAA">
        <w:rPr>
          <w:rFonts w:ascii="TimesNewRomanPSMT" w:eastAsia="新細明體" w:hAnsi="TimesNewRomanPSMT" w:cs="新細明體"/>
          <w:color w:val="010101"/>
          <w:kern w:val="0"/>
          <w:sz w:val="20"/>
          <w:szCs w:val="20"/>
        </w:rPr>
        <w:t>4.07%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 w:hint="eastAsia"/>
          <w:color w:val="010101"/>
          <w:kern w:val="0"/>
          <w:sz w:val="20"/>
          <w:szCs w:val="20"/>
        </w:rPr>
        <w:t>             威盛的平均報酬率= </w:t>
      </w:r>
      <w:r w:rsidRPr="005D6DAA">
        <w:rPr>
          <w:rFonts w:ascii="TimesNewRomanPSMT" w:eastAsia="新細明體" w:hAnsi="TimesNewRomanPSMT" w:cs="新細明體"/>
          <w:color w:val="010101"/>
          <w:kern w:val="0"/>
          <w:sz w:val="20"/>
          <w:szCs w:val="20"/>
        </w:rPr>
        <w:t>3.75%</w:t>
      </w:r>
      <w:r w:rsidRPr="005D6DAA">
        <w:rPr>
          <w:rFonts w:ascii="新細明體" w:eastAsia="新細明體" w:hAnsi="新細明體" w:cs="新細明體" w:hint="eastAsia"/>
          <w:color w:val="010101"/>
          <w:kern w:val="0"/>
          <w:sz w:val="20"/>
          <w:szCs w:val="20"/>
        </w:rPr>
        <w:t>，報酬率標準差= </w:t>
      </w:r>
      <w:r w:rsidRPr="005D6DAA">
        <w:rPr>
          <w:rFonts w:ascii="TimesNewRomanPSMT" w:eastAsia="新細明體" w:hAnsi="TimesNewRomanPSMT" w:cs="新細明體"/>
          <w:color w:val="010101"/>
          <w:kern w:val="0"/>
          <w:sz w:val="20"/>
          <w:szCs w:val="20"/>
        </w:rPr>
        <w:t>11.03%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TimesNewRomanPSMT" w:eastAsia="新細明體" w:hAnsi="TimesNewRomanPSMT" w:cs="新細明體"/>
          <w:color w:val="010101"/>
          <w:kern w:val="0"/>
          <w:szCs w:val="24"/>
        </w:rPr>
        <w:t>          </w:t>
      </w:r>
      <w:r w:rsidRPr="005D6DAA">
        <w:rPr>
          <w:rFonts w:ascii="TimesNewRomanPSMT" w:eastAsia="新細明體" w:hAnsi="TimesNewRomanPSMT" w:cs="新細明體"/>
          <w:color w:val="010101"/>
          <w:kern w:val="0"/>
          <w:szCs w:val="24"/>
        </w:rPr>
        <w:t>平均報酬率為全部相加的平均，標準差公式：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    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886200" cy="1943100"/>
            <wp:effectExtent l="0" t="0" r="0" b="0"/>
            <wp:docPr id="14" name="圖片 14" descr="C:\Users\juck3\AppData\Local\Temp\enhtmlclip\Image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ck3\AppData\Local\Temp\enhtmlclip\Image(10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TimesNewRomanPSMT" w:eastAsia="新細明體" w:hAnsi="TimesNewRomanPSMT" w:cs="新細明體"/>
          <w:color w:val="010101"/>
          <w:kern w:val="0"/>
          <w:sz w:val="20"/>
          <w:szCs w:val="20"/>
        </w:rPr>
        <w:t>(2)</w:t>
      </w:r>
      <w:r w:rsidRPr="005D6DAA">
        <w:rPr>
          <w:rFonts w:ascii="新細明體" w:eastAsia="新細明體" w:hAnsi="新細明體" w:cs="新細明體" w:hint="eastAsia"/>
          <w:color w:val="010101"/>
          <w:kern w:val="0"/>
          <w:sz w:val="20"/>
          <w:szCs w:val="20"/>
        </w:rPr>
        <w:t>計算兩股票之相關係數。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 w:hint="eastAsia"/>
          <w:color w:val="010101"/>
          <w:kern w:val="0"/>
          <w:szCs w:val="24"/>
        </w:rPr>
        <w:t>         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686175" cy="1457325"/>
            <wp:effectExtent l="0" t="0" r="9525" b="9525"/>
            <wp:docPr id="13" name="圖片 13" descr="C:\Users\juck3\AppData\Local\Temp\enhtmlclip\Image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ck3\AppData\Local\Temp\enhtmlclip\Image(1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TimesNewRomanPSMT" w:eastAsia="新細明體" w:hAnsi="TimesNewRomanPSMT" w:cs="新細明體"/>
          <w:color w:val="010101"/>
          <w:kern w:val="0"/>
          <w:sz w:val="20"/>
          <w:szCs w:val="20"/>
        </w:rPr>
        <w:t>(3)</w:t>
      </w:r>
      <w:r w:rsidRPr="005D6DAA">
        <w:rPr>
          <w:rFonts w:ascii="新細明體" w:eastAsia="新細明體" w:hAnsi="新細明體" w:cs="新細明體" w:hint="eastAsia"/>
          <w:color w:val="010101"/>
          <w:kern w:val="0"/>
          <w:sz w:val="20"/>
          <w:szCs w:val="20"/>
        </w:rPr>
        <w:t>兩股票各占</w:t>
      </w:r>
      <w:r w:rsidRPr="005D6DAA">
        <w:rPr>
          <w:rFonts w:ascii="TimesNewRomanPSMT" w:eastAsia="新細明體" w:hAnsi="TimesNewRomanPSMT" w:cs="新細明體"/>
          <w:color w:val="010101"/>
          <w:kern w:val="0"/>
          <w:sz w:val="20"/>
          <w:szCs w:val="20"/>
        </w:rPr>
        <w:t>50%</w:t>
      </w:r>
      <w:r w:rsidRPr="005D6DAA">
        <w:rPr>
          <w:rFonts w:ascii="新細明體" w:eastAsia="新細明體" w:hAnsi="新細明體" w:cs="新細明體" w:hint="eastAsia"/>
          <w:color w:val="010101"/>
          <w:kern w:val="0"/>
          <w:sz w:val="20"/>
          <w:szCs w:val="20"/>
        </w:rPr>
        <w:t>比重的投資組合之報酬率標準差為多少？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 w:hint="eastAsia"/>
          <w:color w:val="010101"/>
          <w:kern w:val="0"/>
          <w:szCs w:val="24"/>
        </w:rPr>
        <w:lastRenderedPageBreak/>
        <w:t>              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495675" cy="876300"/>
            <wp:effectExtent l="0" t="0" r="9525" b="0"/>
            <wp:docPr id="12" name="圖片 12" descr="C:\Users\juck3\AppData\Local\Temp\enhtmlclip\Image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ck3\AppData\Local\Temp\enhtmlclip\Image(1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當證券市場達成均衡時，證券預期報酬率與其風險之間的關係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552825" cy="628650"/>
            <wp:effectExtent l="0" t="0" r="9525" b="0"/>
            <wp:docPr id="11" name="圖片 11" descr="C:\Users\juck3\AppData\Local\Temp\enhtmlclip\Image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uck3\AppData\Local\Temp\enhtmlclip\Image(1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假設預期報酬12%，無風險名目利率6%，則市場平均風險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溢酬為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6%，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甲B=1.5 ， 風險溢酬為9% ，乙B=0.5 ， 風險溢酬為3%，預期報酬率上升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429000" cy="1323975"/>
            <wp:effectExtent l="0" t="0" r="0" b="9525"/>
            <wp:docPr id="10" name="圖片 10" descr="C:\Users\juck3\AppData\Local\Temp\enhtmlclip\圖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uck3\AppData\Local\Temp\enhtmlclip\圖片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左，風險規避程度提高 / 要求補償程度提高 / 風險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溢酬提高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 xml:space="preserve">  / 斜率上升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 xml:space="preserve">右，市場預期通貨膨脹 / 預期報酬率上升 / 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截距上升</w:t>
      </w:r>
      <w:proofErr w:type="gramEnd"/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1885950" cy="1333500"/>
            <wp:effectExtent l="0" t="0" r="0" b="0"/>
            <wp:docPr id="9" name="圖片 9" descr="C:\Users\juck3\AppData\Local\Temp\enhtmlclip\圖片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uck3\AppData\Local\Temp\enhtmlclip\圖片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DAA">
        <w:rPr>
          <w:rFonts w:ascii="新細明體" w:eastAsia="新細明體" w:hAnsi="新細明體" w:cs="新細明體"/>
          <w:kern w:val="0"/>
          <w:szCs w:val="24"/>
        </w:rPr>
        <w:t> 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2276475" cy="1304925"/>
            <wp:effectExtent l="0" t="0" r="9525" b="9525"/>
            <wp:docPr id="8" name="圖片 8" descr="C:\Users\juck3\AppData\Local\Temp\enhtmlclip\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ck3\AppData\Local\Temp\enhtmlclip\圖片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4057650" cy="542925"/>
            <wp:effectExtent l="0" t="0" r="0" b="9525"/>
            <wp:docPr id="7" name="圖片 7" descr="C:\Users\juck3\AppData\Local\Temp\enhtmlclip\圖片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uck3\AppData\Local\Temp\enhtmlclip\圖片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 xml:space="preserve">A所提供的預期報酬率 &gt; 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證券市場線上的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報酬率(A*)，目前價格可能被低估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4000500" cy="1447800"/>
            <wp:effectExtent l="0" t="0" r="0" b="0"/>
            <wp:docPr id="6" name="圖片 6" descr="C:\Users\juck3\AppData\Local\Temp\enhtmlclip\圖片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uck3\AppData\Local\Temp\enhtmlclip\圖片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4362450" cy="942975"/>
            <wp:effectExtent l="0" t="0" r="0" b="9525"/>
            <wp:docPr id="5" name="圖片 5" descr="C:\Users\juck3\AppData\Local\Temp\enhtmlclip\Image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uck3\AppData\Local\Temp\enhtmlclip\Image(1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(第八章</w:t>
      </w:r>
      <w:r w:rsidRPr="005D6DAA">
        <w:rPr>
          <w:rFonts w:ascii="新細明體" w:eastAsia="新細明體" w:hAnsi="新細明體" w:cs="新細明體"/>
          <w:kern w:val="0"/>
          <w:szCs w:val="24"/>
        </w:rPr>
        <w:t> 效率市場假說 Efficient Market Hypothesis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當證券價格能很快且完全反映所有市場的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攸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關資訊時，即稱為效率市場。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1.弱式 效率市場假說(Weak-Form EMH)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         證券價格已反映所有</w:t>
      </w:r>
      <w:r w:rsidRPr="005D6DAA">
        <w:rPr>
          <w:rFonts w:ascii="新細明體" w:eastAsia="新細明體" w:hAnsi="新細明體" w:cs="新細明體"/>
          <w:color w:val="FF0000"/>
          <w:kern w:val="0"/>
          <w:szCs w:val="24"/>
        </w:rPr>
        <w:t>歷史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的資訊。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         濾嘴法則之檢定 、移動平均線之檢定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2.半強 效率市場假說(</w:t>
      </w:r>
      <w:proofErr w:type="spell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Semistrong</w:t>
      </w:r>
      <w:proofErr w:type="spell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-Form EMH)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         證券價格所反映除了</w:t>
      </w:r>
      <w:r w:rsidRPr="005D6DAA">
        <w:rPr>
          <w:rFonts w:ascii="新細明體" w:eastAsia="新細明體" w:hAnsi="新細明體" w:cs="新細明體"/>
          <w:color w:val="FF0000"/>
          <w:kern w:val="0"/>
          <w:szCs w:val="24"/>
        </w:rPr>
        <w:t>歷史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資訊外，還包括所有</w:t>
      </w:r>
      <w:r w:rsidRPr="005D6DAA">
        <w:rPr>
          <w:rFonts w:ascii="新細明體" w:eastAsia="新細明體" w:hAnsi="新細明體" w:cs="新細明體"/>
          <w:color w:val="FF0000"/>
          <w:kern w:val="0"/>
          <w:szCs w:val="24"/>
        </w:rPr>
        <w:t>公開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可得的資訊。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         例如股票分割、股票初次上市、盈餘宣告等事件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3.強式 效率市場假說(Strong-Form EMH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         證券價格能充分反映</w:t>
      </w:r>
      <w:r w:rsidRPr="005D6DAA">
        <w:rPr>
          <w:rFonts w:ascii="新細明體" w:eastAsia="新細明體" w:hAnsi="新細明體" w:cs="新細明體"/>
          <w:color w:val="FF0000"/>
          <w:kern w:val="0"/>
          <w:szCs w:val="24"/>
        </w:rPr>
        <w:t>所有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的資訊，包括</w:t>
      </w:r>
      <w:r w:rsidRPr="005D6DAA">
        <w:rPr>
          <w:rFonts w:ascii="新細明體" w:eastAsia="新細明體" w:hAnsi="新細明體" w:cs="新細明體"/>
          <w:color w:val="FF0000"/>
          <w:kern w:val="0"/>
          <w:szCs w:val="24"/>
        </w:rPr>
        <w:t>公開與非公開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的資訊。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         公司內部人員的檢定 、共同基金經理人的檢定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股票分割：股本不變、流通股數增加、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當天投報為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零、台灣禁止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本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益比效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 xml:space="preserve"> ：本益比愈大，報酬率愈小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（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股價與EPS 比)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規模效應 ：風險調整後，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酬股率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小型報&gt;大型股。 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元月效應 ：每年1月份的投資報酬率通常會大於其他的月份。</w:t>
      </w:r>
      <w:r w:rsidRPr="005D6DAA">
        <w:rPr>
          <w:rFonts w:ascii="新細明體" w:eastAsia="新細明體" w:hAnsi="新細明體" w:cs="新細明體"/>
          <w:color w:val="010101"/>
          <w:kern w:val="0"/>
          <w:sz w:val="20"/>
          <w:szCs w:val="20"/>
        </w:rPr>
        <w:t>投資人的避稅動作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每月效應 ：任何月，前半月投資報酬均高於後半月。不明原因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週末效應 ：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一週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內，星期一的報酬會低於其他天的報酬。</w:t>
      </w:r>
      <w:r w:rsidRPr="005D6DAA">
        <w:rPr>
          <w:rFonts w:ascii="新細明體" w:eastAsia="新細明體" w:hAnsi="新細明體" w:cs="新細明體"/>
          <w:color w:val="010101"/>
          <w:kern w:val="0"/>
          <w:sz w:val="20"/>
          <w:szCs w:val="20"/>
        </w:rPr>
        <w:t>收盤後發布利空消息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每日效應 ：股價傾向於每日收盤前15分鐘上漲。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市價淨值比效應 ：低市價淨值比的股票投資組合，其報酬率會優於高市價淨值比的股票投資組合。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(皆違反半強勢市場假說)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市場異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象（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Market Anomalies)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人們大多具有損失規避(Loss Aversion)的傾向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在獲利的情況下，人們不喜歡繼續冒險，偏好確定的利得；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而在損失的情況下則又願意賭一把，看看能否避免損失；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這也道出為何散戶投資人總是一有小賺就賣，而賠錢時卻又長期抱牢，等待解套。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(第九章 認識權益證券)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投票權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直接選舉法 (Straight Voting)少數團體無法參與 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累積選舉法 (Cumulative Voting)少數團體能夠參與，集中投給某一人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委託書爭奪戰(Proxy Fight) 使用委託書委託他人行使投票權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普通股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lastRenderedPageBreak/>
        <w:t>     股票面額 政府於2014年取消國內公司股票面額10元的限制，未來公司將可依照自己需求決定股票發行面額。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帳面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價值 由公司的財務報表計算而得的淨值。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市價        由交易市場買賣雙方所決定。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普通股                                   特別股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表徵公司的所有權                   現金增資認股權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有限清償責任                          剩餘財產優先分配權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投票權                                    表決權、選舉權與被選舉權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股利分配權                             股利累積與否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剩餘請求權                             盈餘參加與否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優先認股權                             優先配息（股）權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                                             可轉換可贖回與否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「特別股跟普通股最大的差異在於，股利及紅利的分配權」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存託憑證(Depositary Receipts, DR)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由公司委託外國的銀行，協助發行一種憑證供公司當地國以外的其他國家投資人投資，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  銀行再將所募得的資金交給公司，公司則提供價值相當的股票存託於保管銀行。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美國存託憑證(ADR)/ 全球存託憑證(GDR)/ 台灣存託憑證(TDR)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381375" cy="2457450"/>
            <wp:effectExtent l="0" t="0" r="9525" b="0"/>
            <wp:docPr id="4" name="圖片 4" descr="C:\Users\juck3\AppData\Local\Temp\enhtmlclip\Image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uck3\AppData\Local\Temp\enhtmlclip\Image(1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只現金股利：除息日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只股票股利：除權日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宣告日____除權息__</w:t>
      </w:r>
      <w:r w:rsidRPr="005D6DAA">
        <w:rPr>
          <w:rFonts w:ascii="新細明體" w:eastAsia="新細明體" w:hAnsi="新細明體" w:cs="新細明體"/>
          <w:kern w:val="0"/>
          <w:szCs w:val="24"/>
          <w:u w:val="single"/>
        </w:rPr>
        <w:t>2營業日</w:t>
      </w:r>
      <w:r w:rsidRPr="005D6DAA">
        <w:rPr>
          <w:rFonts w:ascii="新細明體" w:eastAsia="新細明體" w:hAnsi="新細明體" w:cs="新細明體"/>
          <w:kern w:val="0"/>
          <w:szCs w:val="24"/>
        </w:rPr>
        <w:t>__停止過戶__</w:t>
      </w:r>
      <w:r w:rsidRPr="005D6DAA">
        <w:rPr>
          <w:rFonts w:ascii="新細明體" w:eastAsia="新細明體" w:hAnsi="新細明體" w:cs="新細明體"/>
          <w:kern w:val="0"/>
          <w:szCs w:val="24"/>
          <w:u w:val="single"/>
        </w:rPr>
        <w:t>5日</w:t>
      </w:r>
      <w:r w:rsidRPr="005D6DAA">
        <w:rPr>
          <w:rFonts w:ascii="新細明體" w:eastAsia="新細明體" w:hAnsi="新細明體" w:cs="新細明體"/>
          <w:kern w:val="0"/>
          <w:szCs w:val="24"/>
        </w:rPr>
        <w:t>___除權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息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基準日_______股利發放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例如投資人持有1張（1000股）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景碩股票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，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景碩今年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將發放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2元股票股利 1元現金股利，並訂8月8日為除息（權）基準日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    從基準日（8日）起往前推算 5 日為「開始停止過戶日」，即8月4日，故停止過戶期間為8月4日～8月8日。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 xml:space="preserve">     除息（權）日為開始停止過戶日的前 2 </w:t>
      </w: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個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>營業日，為8月2日。 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現金股利2.0元，現金股利2元代表每一股配發2元的現金股利，1000股就得到2000元現金股利。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lastRenderedPageBreak/>
        <w:t>    股票股利2.5元，股票股利2.5元則表示，每1000股可配發250股的股票股利，配股率是0.25。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除權除息參考價計算公式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a、除息參考價＝除息前一天收盤價－配息金額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       如果除息前一天收盤價是100元，現金股息2元，那 除息參考價＝100（元）－2元＝98（元）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b、除權參考價＝除權前一天收盤價÷（1＋配股率）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       如果除權前一天收盤價是100元，股票股利是2.5元，那除權參考價=100（元）÷（1＋0.25）＝80（元）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 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     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==============================================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第一季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台幣強升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(33-30)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出口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匯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損嚴重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FRM風險管理師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考試可以帶工程用計算機!! 1-6章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有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觀念題計</w:t>
      </w:r>
      <w:proofErr w:type="gramEnd"/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算題不會算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不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空白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給公式分數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教科書用中文出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考中文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9:10考到13:00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沒有上機考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第七章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投資組合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創見預期報酬率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= 40%*30% + 20%*10% + 40%*(-7%) = 11.2%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威剛預期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報酬率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= 40%*25% + 20%* .7% + 40%*(-12%) = 6.6%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投資組預期報酬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= 11.2%*30% + 6.6%*70% = 7.98%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選擇一家好公司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/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理論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財報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基本面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基本面</w:t>
      </w:r>
    </w:p>
    <w:p w:rsidR="005D6DAA" w:rsidRPr="005D6DAA" w:rsidRDefault="005D6DAA" w:rsidP="005D6DAA">
      <w:pPr>
        <w:widowControl/>
        <w:ind w:firstLine="454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業績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好壞看稅前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淨利嗎?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請問哪間公司比較好？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                 A資本100萬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賺50萬 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                 B資本  10萬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 xml:space="preserve">賺30萬　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              (會有問題，B投資報酬率比較高)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對股票而言通常看公司的財報會先看每股盈餘(EPS =稅後淨利/發行股數)，他會依據公司的發行股數(資本額=公司發行總股數*10元面額)改變：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                 A資本100萬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賺5元EPS = 50萬盈餘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                 B資本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10萬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 xml:space="preserve">賺5元EPS= 5萬盈餘　</w:t>
      </w:r>
    </w:p>
    <w:p w:rsidR="005D6DAA" w:rsidRPr="005D6DAA" w:rsidRDefault="005D6DAA" w:rsidP="005D6DAA">
      <w:pPr>
        <w:widowControl/>
        <w:ind w:firstLine="454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  <w:shd w:val="clear" w:color="auto" w:fill="FFFF00"/>
        </w:rPr>
        <w:t>資本額=公司發行總股數*10元面額?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  <w:shd w:val="clear" w:color="auto" w:fill="FFFF00"/>
        </w:rPr>
        <w:t>為什麼面額是10元?</w:t>
      </w:r>
    </w:p>
    <w:p w:rsidR="005D6DAA" w:rsidRPr="005D6DAA" w:rsidRDefault="005D6DAA" w:rsidP="005D6DAA">
      <w:pPr>
        <w:widowControl/>
        <w:ind w:firstLine="624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公司剛成立時，沒有人可以確定公司的初始價值為何，因此皆已10元作為面額，在上市之前公司的面額皆無固定，若上市之後則依市場價值作為衡量的依據，若上市後低於10元，則該公司價值已經低於當初成立。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       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  <w:shd w:val="clear" w:color="auto" w:fill="FFFF00"/>
        </w:rPr>
        <w:t>股份超過50%是否一定會當董事長</w:t>
      </w:r>
    </w:p>
    <w:p w:rsidR="005D6DAA" w:rsidRPr="005D6DAA" w:rsidRDefault="005D6DAA" w:rsidP="005D6DAA">
      <w:pPr>
        <w:widowControl/>
        <w:ind w:firstLine="624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股份超過半數表示在董監事提名時有一定的權力，可以讓想當的人成為董事長，但不見得自己要當。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財報面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        營業毛利率/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每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1元銷貨其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產品的獲利能力</w:t>
      </w:r>
    </w:p>
    <w:p w:rsidR="005D6DAA" w:rsidRPr="005D6DAA" w:rsidRDefault="005D6DAA" w:rsidP="005D6DAA">
      <w:pPr>
        <w:widowControl/>
        <w:ind w:firstLine="454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營業利益率/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每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1元銷貨其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稅前的營業所得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稅前淨利率/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扣除成本費用、業外損益後，淨利占營收的比例，每</w:t>
      </w:r>
      <w:proofErr w:type="gramStart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個</w:t>
      </w:r>
      <w:proofErr w:type="gramEnd"/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產業</w:t>
      </w:r>
    </w:p>
    <w:p w:rsidR="005D6DAA" w:rsidRPr="005D6DAA" w:rsidRDefault="005D6DAA" w:rsidP="005D6DAA">
      <w:pPr>
        <w:widowControl/>
        <w:ind w:firstLine="454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公司的營運和成本不盡相同；淨利比較應以同產業為基礎</w:t>
      </w:r>
      <w:bookmarkStart w:id="0" w:name="_GoBack"/>
      <w:bookmarkEnd w:id="0"/>
    </w:p>
    <w:p w:rsidR="005D6DAA" w:rsidRPr="005D6DAA" w:rsidRDefault="005D6DAA" w:rsidP="005D6DAA">
      <w:pPr>
        <w:widowControl/>
        <w:ind w:firstLine="454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lastRenderedPageBreak/>
        <w:t>資產報酬率/    ROA</w:t>
      </w:r>
    </w:p>
    <w:p w:rsidR="005D6DAA" w:rsidRPr="005D6DAA" w:rsidRDefault="005D6DAA" w:rsidP="005D6DAA">
      <w:pPr>
        <w:widowControl/>
        <w:ind w:firstLine="454"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股東權益報酬率/ ROE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選擇購買的時機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/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籌碼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線型</w:t>
      </w:r>
      <w:r w:rsidRPr="005D6DAA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5D6DAA">
        <w:rPr>
          <w:rFonts w:ascii="新細明體" w:eastAsia="新細明體" w:hAnsi="新細明體" w:cs="新細明體"/>
          <w:color w:val="010101"/>
          <w:kern w:val="0"/>
          <w:szCs w:val="24"/>
        </w:rPr>
        <w:t>技術面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=======================================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5D6DAA">
        <w:rPr>
          <w:rFonts w:ascii="新細明體" w:eastAsia="新細明體" w:hAnsi="新細明體" w:cs="新細明體"/>
          <w:kern w:val="0"/>
          <w:szCs w:val="24"/>
        </w:rPr>
        <w:t>VBA.</w:t>
      </w:r>
      <w:proofErr w:type="gramEnd"/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TEJ Smart Wizard 雲科版本下載  </w:t>
      </w:r>
      <w:hyperlink r:id="rId29" w:history="1">
        <w:r w:rsidRPr="005D6DAA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http://140.125.246.73/download/main.htm</w:t>
        </w:r>
      </w:hyperlink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1.開發人員功能區：檔案→選項→自訂功能區→開發人員打勾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4124325" cy="3228975"/>
            <wp:effectExtent l="0" t="0" r="9525" b="9525"/>
            <wp:docPr id="3" name="圖片 3" descr="C:\Users\juck3\AppData\Local\Temp\enhtmlclip\螢幕截圖 2017-04-20 01.3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uck3\AppData\Local\Temp\enhtmlclip\螢幕截圖 2017-04-20 01.37.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2.加入TEJ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HUIT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TEJ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18288000" cy="10287000"/>
            <wp:effectExtent l="0" t="0" r="0" b="0"/>
            <wp:docPr id="2" name="圖片 2" descr="C:\Users\juck3\AppData\Local\Temp\enhtmlclip\T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uck3\AppData\Local\Temp\enhtmlclip\TE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3.加入XQ(可加可不加)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18288000" cy="10287000"/>
            <wp:effectExtent l="0" t="0" r="0" b="0"/>
            <wp:docPr id="1" name="圖片 1" descr="C:\Users\juck3\AppData\Local\Temp\enhtmlclip\XQ 跳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uck3\AppData\Local\Temp\enhtmlclip\XQ 跳動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VISUAL BASIC - 插入 -  模組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工具-選項-撰寫風格</w:t>
      </w:r>
    </w:p>
    <w:p w:rsidR="005D6DAA" w:rsidRPr="005D6DAA" w:rsidRDefault="005D6DAA" w:rsidP="005D6DA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D6DAA">
        <w:rPr>
          <w:rFonts w:ascii="新細明體" w:eastAsia="新細明體" w:hAnsi="新細明體" w:cs="新細明體"/>
          <w:kern w:val="0"/>
          <w:szCs w:val="24"/>
        </w:rPr>
        <w:t>全域變數 Public n (n的有效範圍到全部)</w:t>
      </w:r>
    </w:p>
    <w:p w:rsidR="00D56FEE" w:rsidRDefault="00D56FEE"/>
    <w:sectPr w:rsidR="00D56FEE" w:rsidSect="005D6DAA">
      <w:pgSz w:w="11906" w:h="16838"/>
      <w:pgMar w:top="720" w:right="720" w:bottom="720" w:left="72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45D8B"/>
    <w:multiLevelType w:val="multilevel"/>
    <w:tmpl w:val="E1D66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D147B67"/>
    <w:multiLevelType w:val="multilevel"/>
    <w:tmpl w:val="C59CA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9850A3"/>
    <w:multiLevelType w:val="multilevel"/>
    <w:tmpl w:val="6866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1E434D6"/>
    <w:multiLevelType w:val="multilevel"/>
    <w:tmpl w:val="60A2B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E5B65E7"/>
    <w:multiLevelType w:val="multilevel"/>
    <w:tmpl w:val="152C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FFC64DF"/>
    <w:multiLevelType w:val="multilevel"/>
    <w:tmpl w:val="08F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03A24AE"/>
    <w:multiLevelType w:val="multilevel"/>
    <w:tmpl w:val="E70AF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CE0644"/>
    <w:multiLevelType w:val="multilevel"/>
    <w:tmpl w:val="22CC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13B7E47"/>
    <w:multiLevelType w:val="multilevel"/>
    <w:tmpl w:val="742C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6411CD5"/>
    <w:multiLevelType w:val="multilevel"/>
    <w:tmpl w:val="C22CB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7"/>
  </w:num>
  <w:num w:numId="5">
    <w:abstractNumId w:val="8"/>
  </w:num>
  <w:num w:numId="6">
    <w:abstractNumId w:val="3"/>
  </w:num>
  <w:num w:numId="7">
    <w:abstractNumId w:val="5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DAA"/>
    <w:rsid w:val="005D6DAA"/>
    <w:rsid w:val="00D5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D6DAA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D6DA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D6DA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D6DAA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D6DA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D6DA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17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7345">
          <w:marLeft w:val="3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9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0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4777">
          <w:marLeft w:val="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3472">
          <w:marLeft w:val="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0616">
          <w:marLeft w:val="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2813">
          <w:marLeft w:val="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1577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140.125.246.73/download/main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1016</Words>
  <Characters>5794</Characters>
  <Application>Microsoft Office Word</Application>
  <DocSecurity>0</DocSecurity>
  <Lines>48</Lines>
  <Paragraphs>13</Paragraphs>
  <ScaleCrop>false</ScaleCrop>
  <Company/>
  <LinksUpToDate>false</LinksUpToDate>
  <CharactersWithSpaces>6797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JerryChien</dc:creator>
  <cp:lastModifiedBy>JerryChien</cp:lastModifiedBy>
  <cp:revision>1</cp:revision>
  <dcterms:created xsi:type="dcterms:W3CDTF">2018-03-14T10:06:00Z</dcterms:created>
  <dcterms:modified xsi:type="dcterms:W3CDTF">2018-03-14T10:06:00Z</dcterms:modified>
</cp:coreProperties>
</file>