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5336C7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9</w:t>
      </w:r>
      <w:bookmarkStart w:id="0" w:name="_GoBack"/>
      <w:bookmarkEnd w:id="0"/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143F74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143F74">
        <w:rPr>
          <w:rFonts w:ascii="Segoe UI Light" w:eastAsia="新細明體" w:hAnsi="Segoe UI Light" w:cs="Segoe UI Light"/>
          <w:kern w:val="0"/>
          <w:sz w:val="22"/>
        </w:rPr>
        <w:t>----------------------------</w:t>
      </w:r>
      <w:r w:rsidR="002D62D5" w:rsidRPr="00143F74">
        <w:rPr>
          <w:rFonts w:ascii="Segoe UI Light" w:eastAsia="新細明體" w:hAnsi="Segoe UI Light" w:cs="Segoe UI Light"/>
          <w:kern w:val="0"/>
          <w:sz w:val="22"/>
        </w:rPr>
        <w:t>------------------------------------------------------------</w:t>
      </w:r>
      <w:r w:rsidR="00493381" w:rsidRPr="00143F74">
        <w:rPr>
          <w:rFonts w:ascii="Segoe UI Light" w:eastAsia="新細明體" w:hAnsi="Segoe UI Light" w:cs="Segoe UI Light"/>
          <w:kern w:val="0"/>
          <w:sz w:val="22"/>
        </w:rPr>
        <w:t>--------</w:t>
      </w:r>
      <w:r w:rsidRPr="00143F74">
        <w:rPr>
          <w:rFonts w:ascii="Segoe UI Light" w:eastAsia="新細明體" w:hAnsi="Segoe UI Light" w:cs="Segoe UI Light"/>
          <w:kern w:val="0"/>
          <w:sz w:val="22"/>
        </w:rPr>
        <w:t>-------------------</w:t>
      </w:r>
    </w:p>
    <w:p w:rsidR="00F91E96" w:rsidRPr="00143F74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tbl>
      <w:tblPr>
        <w:tblStyle w:val="a3"/>
        <w:tblW w:w="10281" w:type="dxa"/>
        <w:tblLook w:val="04A0" w:firstRow="1" w:lastRow="0" w:firstColumn="1" w:lastColumn="0" w:noHBand="0" w:noVBand="1"/>
      </w:tblPr>
      <w:tblGrid>
        <w:gridCol w:w="464"/>
        <w:gridCol w:w="3300"/>
        <w:gridCol w:w="424"/>
        <w:gridCol w:w="2611"/>
        <w:gridCol w:w="426"/>
        <w:gridCol w:w="3056"/>
      </w:tblGrid>
      <w:tr w:rsidR="00EF3E7A" w:rsidRPr="00143F74" w:rsidTr="0057191C">
        <w:tc>
          <w:tcPr>
            <w:tcW w:w="10281" w:type="dxa"/>
            <w:gridSpan w:val="6"/>
          </w:tcPr>
          <w:p w:rsidR="00EF3E7A" w:rsidRPr="00143F74" w:rsidRDefault="00EF3E7A" w:rsidP="00EF3E7A">
            <w:pPr>
              <w:pStyle w:val="a4"/>
              <w:widowControl/>
              <w:snapToGrid w:val="0"/>
              <w:ind w:leftChars="0" w:left="360"/>
              <w:jc w:val="center"/>
              <w:rPr>
                <w:rFonts w:ascii="Segoe UI Light" w:eastAsia="微軟正黑體" w:hAnsi="Segoe UI Light" w:cs="Segoe UI Light"/>
                <w:b/>
                <w:kern w:val="0"/>
                <w:sz w:val="22"/>
                <w:highlight w:val="yellow"/>
                <w:u w:val="single"/>
              </w:rPr>
            </w:pPr>
            <w:r w:rsidRPr="00143F74">
              <w:rPr>
                <w:rFonts w:ascii="Segoe UI Light" w:eastAsia="微軟正黑體" w:hAnsi="Segoe UI Light" w:cs="Segoe UI Light" w:hint="eastAsia"/>
                <w:b/>
                <w:kern w:val="0"/>
                <w:sz w:val="22"/>
                <w:u w:val="single"/>
                <w:shd w:val="pct15" w:color="auto" w:fill="FFFFFF"/>
              </w:rPr>
              <w:t>專案管理完整流程</w:t>
            </w: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300" w:type="dxa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Introduction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簡介</w:t>
            </w:r>
            <w:r w:rsidRPr="00143F74">
              <w:rPr>
                <w:rFonts w:ascii="Segoe UI Light" w:eastAsia="微軟正黑體" w:hAnsi="Segoe UI Light" w:cs="Segoe UI Light"/>
                <w:kern w:val="0"/>
                <w:sz w:val="22"/>
              </w:rPr>
              <w:tab/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Strategy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戰略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Organization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組織</w:t>
            </w:r>
          </w:p>
        </w:tc>
      </w:tr>
      <w:tr w:rsidR="00EF3E7A" w:rsidRPr="00143F74" w:rsidTr="00122CD2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  <w:shd w:val="clear" w:color="auto" w:fill="auto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Define Project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定義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  <w:shd w:val="clear" w:color="auto" w:fill="auto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Estimate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預估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  <w:shd w:val="clear" w:color="auto" w:fill="auto"/>
          </w:tcPr>
          <w:p w:rsidR="00EF3E7A" w:rsidRPr="00143F74" w:rsidRDefault="00EF3E7A" w:rsidP="00EF3E7A">
            <w:pPr>
              <w:pStyle w:val="a4"/>
              <w:widowControl/>
              <w:numPr>
                <w:ilvl w:val="0"/>
                <w:numId w:val="1"/>
              </w:numPr>
              <w:snapToGrid w:val="0"/>
              <w:ind w:leftChars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Project Networks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網圖</w:t>
            </w: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(a)</w:t>
            </w:r>
          </w:p>
        </w:tc>
        <w:tc>
          <w:tcPr>
            <w:tcW w:w="3300" w:type="dxa"/>
          </w:tcPr>
          <w:p w:rsidR="00EF3E7A" w:rsidRPr="00143F74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  <w:highlight w:val="yellow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7.  Managing Risk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風險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2611" w:type="dxa"/>
          </w:tcPr>
          <w:p w:rsidR="00EF3E7A" w:rsidRPr="00143F74" w:rsidRDefault="005F3EF3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kern w:val="0"/>
                <w:sz w:val="22"/>
              </w:rPr>
              <w:t>7.5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 </w:t>
            </w:r>
            <w:r w:rsidRPr="00C66FAC">
              <w:rPr>
                <w:rFonts w:ascii="微軟正黑體" w:eastAsia="微軟正黑體" w:hAnsi="微軟正黑體" w:hint="eastAsia"/>
                <w:b/>
                <w:bCs/>
                <w:color w:val="333333"/>
                <w:sz w:val="22"/>
                <w:shd w:val="clear" w:color="auto" w:fill="FFFFFF"/>
              </w:rPr>
              <w:t>鈦坦工作坊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RPr="00143F74" w:rsidTr="005830E5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(b)</w:t>
            </w:r>
          </w:p>
        </w:tc>
        <w:tc>
          <w:tcPr>
            <w:tcW w:w="3300" w:type="dxa"/>
            <w:shd w:val="clear" w:color="auto" w:fill="auto"/>
          </w:tcPr>
          <w:p w:rsidR="00EF3E7A" w:rsidRPr="005830E5" w:rsidRDefault="00EF3E7A" w:rsidP="00EF3E7A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8.</w:t>
            </w:r>
            <w:r w:rsidRPr="005830E5">
              <w:rPr>
                <w:rFonts w:ascii="Segoe UI Light" w:eastAsia="微軟正黑體" w:hAnsi="Segoe UI Light" w:cs="Segoe UI Light"/>
                <w:kern w:val="0"/>
                <w:sz w:val="22"/>
              </w:rPr>
              <w:t xml:space="preserve">  </w:t>
            </w: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Schedule Resouurces&amp;Costs </w:t>
            </w:r>
          </w:p>
          <w:p w:rsidR="00EF3E7A" w:rsidRPr="005830E5" w:rsidRDefault="00EF3E7A" w:rsidP="00EF3E7A">
            <w:pPr>
              <w:widowControl/>
              <w:snapToGrid w:val="0"/>
              <w:ind w:firstLineChars="200" w:firstLine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資源成本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EF3E7A">
            <w:pPr>
              <w:widowControl/>
              <w:snapToGrid w:val="0"/>
              <w:ind w:left="440" w:hangingChars="200" w:hanging="44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>9.Reducing Duration</w:t>
            </w:r>
            <w:r w:rsidRPr="005830E5">
              <w:rPr>
                <w:rFonts w:ascii="Segoe UI Light" w:eastAsia="微軟正黑體" w:hAnsi="Segoe UI Light" w:cs="Segoe UI Light"/>
                <w:kern w:val="0"/>
                <w:sz w:val="22"/>
                <w:highlight w:val="yellow"/>
              </w:rPr>
              <w:br/>
            </w:r>
            <w:r w:rsidRPr="005830E5">
              <w:rPr>
                <w:rFonts w:ascii="Segoe UI Light" w:eastAsia="微軟正黑體" w:hAnsi="Segoe UI Light" w:cs="Segoe UI Light" w:hint="eastAsia"/>
                <w:kern w:val="0"/>
                <w:sz w:val="22"/>
                <w:highlight w:val="yellow"/>
              </w:rPr>
              <w:t>時間成本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  <w:t>(c)</w:t>
            </w:r>
          </w:p>
        </w:tc>
        <w:tc>
          <w:tcPr>
            <w:tcW w:w="3300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10.Leadership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領導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11.Teams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團隊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12.OutSourcing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外部資源</w:t>
            </w:r>
          </w:p>
        </w:tc>
      </w:tr>
      <w:tr w:rsidR="00EF3E7A" w:rsidRPr="00143F74" w:rsidTr="00EF3E7A">
        <w:tc>
          <w:tcPr>
            <w:tcW w:w="46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300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13.Monitoring Progress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監督</w:t>
            </w:r>
          </w:p>
        </w:tc>
        <w:tc>
          <w:tcPr>
            <w:tcW w:w="424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  <w:r w:rsidRPr="00143F74">
              <w:rPr>
                <mc:AlternateContent>
                  <mc:Choice Requires="w16se">
                    <w:rFonts w:ascii="Segoe UI Light" w:eastAsia="微軟正黑體" w:hAnsi="Segoe UI Light" w:cs="Segoe UI Light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kern w:val="0"/>
                <w:sz w:val="22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611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 xml:space="preserve">14.Project Closure </w:t>
            </w:r>
            <w:r w:rsidRPr="00143F74">
              <w:rPr>
                <w:rFonts w:ascii="Segoe UI Light" w:eastAsia="微軟正黑體" w:hAnsi="Segoe UI Light" w:cs="Segoe UI Light" w:hint="eastAsia"/>
                <w:kern w:val="0"/>
                <w:sz w:val="22"/>
              </w:rPr>
              <w:t>完工</w:t>
            </w:r>
          </w:p>
        </w:tc>
        <w:tc>
          <w:tcPr>
            <w:tcW w:w="42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b/>
                <w:kern w:val="0"/>
                <w:sz w:val="22"/>
              </w:rPr>
            </w:pPr>
          </w:p>
        </w:tc>
        <w:tc>
          <w:tcPr>
            <w:tcW w:w="3056" w:type="dxa"/>
          </w:tcPr>
          <w:p w:rsidR="00EF3E7A" w:rsidRPr="00143F74" w:rsidRDefault="00EF3E7A" w:rsidP="00493381">
            <w:pPr>
              <w:widowControl/>
              <w:snapToGrid w:val="0"/>
              <w:rPr>
                <w:rFonts w:ascii="Segoe UI Light" w:eastAsia="微軟正黑體" w:hAnsi="Segoe UI Light" w:cs="Segoe UI Light"/>
                <w:kern w:val="0"/>
                <w:sz w:val="22"/>
              </w:rPr>
            </w:pPr>
          </w:p>
        </w:tc>
      </w:tr>
    </w:tbl>
    <w:p w:rsidR="009C49F3" w:rsidRPr="00143F74" w:rsidRDefault="009C49F3" w:rsidP="00122CD2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122CD2" w:rsidRDefault="005F5A9E" w:rsidP="00122CD2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 w:rsidRPr="00E17154">
        <w:rPr>
          <w:rFonts w:ascii="Segoe UI Light" w:eastAsia="微軟正黑體" w:hAnsi="Segoe UI Light" w:cs="Segoe UI Light" w:hint="eastAsia"/>
          <w:kern w:val="0"/>
        </w:rPr>
        <w:t>【</w:t>
      </w:r>
      <w:r w:rsidR="005830E5" w:rsidRPr="005830E5">
        <w:rPr>
          <w:rFonts w:ascii="Segoe UI Light" w:eastAsia="微軟正黑體" w:hAnsi="Segoe UI Light" w:cs="Segoe UI Light"/>
          <w:kern w:val="0"/>
        </w:rPr>
        <w:t>Options for Accelerating Project Completion</w:t>
      </w:r>
      <w:r w:rsidR="005830E5">
        <w:rPr>
          <w:rFonts w:ascii="Segoe UI Light" w:eastAsia="微軟正黑體" w:hAnsi="Segoe UI Light" w:cs="Segoe UI Light" w:hint="eastAsia"/>
          <w:kern w:val="0"/>
        </w:rPr>
        <w:t xml:space="preserve"> </w:t>
      </w:r>
      <w:r w:rsidR="005830E5">
        <w:rPr>
          <w:rFonts w:ascii="Segoe UI Light" w:eastAsia="微軟正黑體" w:hAnsi="Segoe UI Light" w:cs="Segoe UI Light" w:hint="eastAsia"/>
          <w:kern w:val="0"/>
        </w:rPr>
        <w:t>加速專案的完成方式</w:t>
      </w:r>
      <w:r w:rsidRPr="00E17154">
        <w:rPr>
          <w:rFonts w:ascii="Segoe UI Light" w:eastAsia="微軟正黑體" w:hAnsi="Segoe UI Light" w:cs="Segoe UI Light" w:hint="eastAsia"/>
          <w:kern w:val="0"/>
        </w:rPr>
        <w:t>】</w:t>
      </w:r>
    </w:p>
    <w:p w:rsidR="005830E5" w:rsidRPr="005830E5" w:rsidRDefault="005830E5" w:rsidP="005830E5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(</w:t>
      </w:r>
      <w:r>
        <w:rPr>
          <w:rFonts w:ascii="Segoe UI Light" w:eastAsia="微軟正黑體" w:hAnsi="Segoe UI Light" w:cs="Segoe UI Light" w:hint="eastAsia"/>
          <w:kern w:val="0"/>
        </w:rPr>
        <w:t>一</w:t>
      </w:r>
      <w:r>
        <w:rPr>
          <w:rFonts w:ascii="Segoe UI Light" w:eastAsia="微軟正黑體" w:hAnsi="Segoe UI Light" w:cs="Segoe UI Light" w:hint="eastAsia"/>
          <w:kern w:val="0"/>
        </w:rPr>
        <w:t>)</w:t>
      </w:r>
      <w:r w:rsidRPr="005830E5">
        <w:t xml:space="preserve"> </w:t>
      </w:r>
      <w:r w:rsidRPr="005830E5">
        <w:rPr>
          <w:rFonts w:ascii="Segoe UI Light" w:eastAsia="微軟正黑體" w:hAnsi="Segoe UI Light" w:cs="Segoe UI Light"/>
          <w:kern w:val="0"/>
        </w:rPr>
        <w:t>Resources Not Constrained</w:t>
      </w:r>
      <w:r>
        <w:rPr>
          <w:rFonts w:ascii="Segoe UI Light" w:eastAsia="微軟正黑體" w:hAnsi="Segoe UI Light" w:cs="Segoe UI Light" w:hint="eastAsia"/>
          <w:kern w:val="0"/>
        </w:rPr>
        <w:t xml:space="preserve"> </w:t>
      </w:r>
      <w:r w:rsidRPr="005830E5">
        <w:rPr>
          <w:rFonts w:ascii="Segoe UI Light" w:eastAsia="微軟正黑體" w:hAnsi="Segoe UI Light" w:cs="Segoe UI Light" w:hint="eastAsia"/>
          <w:kern w:val="0"/>
        </w:rPr>
        <w:t>資源沒有受到限制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添加資源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外包項目工作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加班安排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建立核心項目團隊</w:t>
      </w:r>
    </w:p>
    <w:p w:rsid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做兩次快速然後正確</w:t>
      </w:r>
    </w:p>
    <w:p w:rsidR="005830E5" w:rsidRDefault="005830E5" w:rsidP="005830E5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(</w:t>
      </w:r>
      <w:r>
        <w:rPr>
          <w:rFonts w:ascii="Segoe UI Light" w:eastAsia="微軟正黑體" w:hAnsi="Segoe UI Light" w:cs="Segoe UI Light" w:hint="eastAsia"/>
          <w:kern w:val="0"/>
        </w:rPr>
        <w:t>二</w:t>
      </w:r>
      <w:r>
        <w:rPr>
          <w:rFonts w:ascii="Segoe UI Light" w:eastAsia="微軟正黑體" w:hAnsi="Segoe UI Light" w:cs="Segoe UI Light" w:hint="eastAsia"/>
          <w:kern w:val="0"/>
        </w:rPr>
        <w:t>) R</w:t>
      </w:r>
      <w:r>
        <w:rPr>
          <w:rFonts w:ascii="Segoe UI Light" w:eastAsia="微軟正黑體" w:hAnsi="Segoe UI Light" w:cs="Segoe UI Light"/>
          <w:kern w:val="0"/>
        </w:rPr>
        <w:t xml:space="preserve">esources </w:t>
      </w:r>
      <w:r w:rsidRPr="005830E5">
        <w:rPr>
          <w:rFonts w:ascii="Segoe UI Light" w:eastAsia="微軟正黑體" w:hAnsi="Segoe UI Light" w:cs="Segoe UI Light"/>
          <w:kern w:val="0"/>
        </w:rPr>
        <w:t>Constrained</w:t>
      </w:r>
      <w:r>
        <w:rPr>
          <w:rFonts w:ascii="Segoe UI Light" w:eastAsia="微軟正黑體" w:hAnsi="Segoe UI Light" w:cs="Segoe UI Light" w:hint="eastAsia"/>
          <w:kern w:val="0"/>
        </w:rPr>
        <w:t>資源受限制</w:t>
      </w:r>
    </w:p>
    <w:p w:rsidR="005830E5" w:rsidRPr="005830E5" w:rsidRDefault="005830E5" w:rsidP="005830E5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/>
          <w:kern w:val="0"/>
        </w:rPr>
        <w:tab/>
      </w:r>
      <w:r w:rsidRPr="005830E5">
        <w:rPr>
          <w:rFonts w:ascii="Segoe UI Light" w:eastAsia="微軟正黑體" w:hAnsi="Segoe UI Light" w:cs="Segoe UI Light" w:hint="eastAsia"/>
          <w:kern w:val="0"/>
        </w:rPr>
        <w:t>快速跟踪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關鍵鏈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減少項目範圍</w:t>
      </w:r>
    </w:p>
    <w:p w:rsid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妥協質量</w:t>
      </w:r>
    </w:p>
    <w:p w:rsidR="005830E5" w:rsidRDefault="005830E5" w:rsidP="005830E5">
      <w:pPr>
        <w:widowControl/>
        <w:snapToGrid w:val="0"/>
        <w:rPr>
          <w:rFonts w:ascii="Segoe UI Light" w:eastAsia="微軟正黑體" w:hAnsi="Segoe UI Light" w:cs="Segoe UI Light"/>
          <w:kern w:val="0"/>
        </w:rPr>
      </w:pPr>
    </w:p>
    <w:p w:rsidR="005830E5" w:rsidRDefault="005830E5" w:rsidP="005830E5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 w:rsidRPr="005830E5">
        <w:rPr>
          <w:rFonts w:ascii="Segoe UI Light" w:eastAsia="微軟正黑體" w:hAnsi="Segoe UI Light" w:cs="Segoe UI Light"/>
          <w:kern w:val="0"/>
        </w:rPr>
        <w:t>Explanation of Project Costs</w:t>
      </w:r>
      <w:r>
        <w:rPr>
          <w:rFonts w:ascii="Segoe UI Light" w:eastAsia="微軟正黑體" w:hAnsi="Segoe UI Light" w:cs="Segoe UI Light" w:hint="eastAsia"/>
          <w:kern w:val="0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</w:rPr>
        <w:t>專案成本說明】</w:t>
      </w:r>
    </w:p>
    <w:p w:rsidR="005830E5" w:rsidRPr="005830E5" w:rsidRDefault="005830E5" w:rsidP="005830E5">
      <w:pPr>
        <w:pStyle w:val="a4"/>
        <w:widowControl/>
        <w:numPr>
          <w:ilvl w:val="0"/>
          <w:numId w:val="16"/>
        </w:numPr>
        <w:snapToGrid w:val="0"/>
        <w:ind w:leftChars="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/>
          <w:kern w:val="0"/>
        </w:rPr>
        <w:t>Project Indirect Costs</w:t>
      </w:r>
      <w:r w:rsidRPr="005830E5">
        <w:rPr>
          <w:rFonts w:ascii="Segoe UI Light" w:eastAsia="微軟正黑體" w:hAnsi="Segoe UI Light" w:cs="Segoe UI Light" w:hint="eastAsia"/>
          <w:kern w:val="0"/>
        </w:rPr>
        <w:t>項目間接成本</w:t>
      </w:r>
    </w:p>
    <w:p w:rsidR="005830E5" w:rsidRPr="005830E5" w:rsidRDefault="005830E5" w:rsidP="005830E5">
      <w:pPr>
        <w:widowControl/>
        <w:snapToGrid w:val="0"/>
        <w:ind w:leftChars="163" w:left="391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無法與任何特定工作包或項目活動相關聯的成本。</w:t>
      </w:r>
    </w:p>
    <w:p w:rsidR="005830E5" w:rsidRPr="005830E5" w:rsidRDefault="005830E5" w:rsidP="005830E5">
      <w:pPr>
        <w:widowControl/>
        <w:snapToGrid w:val="0"/>
        <w:ind w:leftChars="163" w:left="391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監督，管理，顧問和利益</w:t>
      </w:r>
    </w:p>
    <w:p w:rsidR="005830E5" w:rsidRPr="005830E5" w:rsidRDefault="005830E5" w:rsidP="005830E5">
      <w:pPr>
        <w:widowControl/>
        <w:snapToGrid w:val="0"/>
        <w:ind w:leftChars="163" w:left="391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隨時間變化（增加）的成本。</w:t>
      </w:r>
    </w:p>
    <w:p w:rsidR="005830E5" w:rsidRPr="005830E5" w:rsidRDefault="005830E5" w:rsidP="005830E5">
      <w:pPr>
        <w:widowControl/>
        <w:snapToGrid w:val="0"/>
        <w:ind w:leftChars="163" w:left="391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縮短項目時間直接降低了間接成本。</w:t>
      </w:r>
    </w:p>
    <w:p w:rsidR="005830E5" w:rsidRPr="005830E5" w:rsidRDefault="005830E5" w:rsidP="005830E5">
      <w:pPr>
        <w:widowControl/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(</w:t>
      </w:r>
      <w:r>
        <w:rPr>
          <w:rFonts w:ascii="Segoe UI Light" w:eastAsia="微軟正黑體" w:hAnsi="Segoe UI Light" w:cs="Segoe UI Light" w:hint="eastAsia"/>
          <w:kern w:val="0"/>
        </w:rPr>
        <w:t>二</w:t>
      </w:r>
      <w:r>
        <w:rPr>
          <w:rFonts w:ascii="Segoe UI Light" w:eastAsia="微軟正黑體" w:hAnsi="Segoe UI Light" w:cs="Segoe UI Light" w:hint="eastAsia"/>
          <w:kern w:val="0"/>
        </w:rPr>
        <w:t xml:space="preserve">) </w:t>
      </w:r>
      <w:r w:rsidRPr="005830E5">
        <w:rPr>
          <w:rFonts w:ascii="Segoe UI Light" w:eastAsia="微軟正黑體" w:hAnsi="Segoe UI Light" w:cs="Segoe UI Light"/>
          <w:kern w:val="0"/>
        </w:rPr>
        <w:t>Project Direct Costs</w:t>
      </w:r>
      <w:r w:rsidRPr="005830E5">
        <w:rPr>
          <w:rFonts w:ascii="Segoe UI Light" w:eastAsia="微軟正黑體" w:hAnsi="Segoe UI Light" w:cs="Segoe UI Light" w:hint="eastAsia"/>
          <w:kern w:val="0"/>
        </w:rPr>
        <w:t>項目直接成本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可以直接分配給特定工作包或項目活動的正常成本。</w:t>
      </w:r>
    </w:p>
    <w:p w:rsidR="005830E5" w:rsidRP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人工，材料，設備和分包商</w:t>
      </w:r>
    </w:p>
    <w:p w:rsidR="005830E5" w:rsidRDefault="005830E5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5830E5">
        <w:rPr>
          <w:rFonts w:ascii="Segoe UI Light" w:eastAsia="微軟正黑體" w:hAnsi="Segoe UI Light" w:cs="Segoe UI Light" w:hint="eastAsia"/>
          <w:kern w:val="0"/>
        </w:rPr>
        <w:t>崩潰活動增加了直接成本。</w:t>
      </w: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</w:p>
    <w:p w:rsidR="005336C7" w:rsidRPr="005336C7" w:rsidRDefault="005336C7" w:rsidP="005336C7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>
        <w:rPr>
          <w:rFonts w:ascii="Segoe UI Light" w:eastAsia="微軟正黑體" w:hAnsi="Segoe UI Light" w:cs="Segoe UI Light" w:hint="eastAsia"/>
          <w:kern w:val="0"/>
        </w:rPr>
        <w:t>P</w:t>
      </w:r>
      <w:r>
        <w:rPr>
          <w:rFonts w:ascii="Segoe UI Light" w:eastAsia="微軟正黑體" w:hAnsi="Segoe UI Light" w:cs="Segoe UI Light"/>
          <w:kern w:val="0"/>
        </w:rPr>
        <w:t>roject Cost-Duration Graph</w:t>
      </w:r>
      <w:r>
        <w:rPr>
          <w:rFonts w:ascii="Segoe UI Light" w:eastAsia="微軟正黑體" w:hAnsi="Segoe UI Light" w:cs="Segoe UI Light" w:hint="eastAsia"/>
          <w:kern w:val="0"/>
        </w:rPr>
        <w:t>】</w:t>
      </w:r>
      <w:r>
        <w:rPr>
          <w:rFonts w:ascii="Segoe UI Light" w:eastAsia="微軟正黑體" w:hAnsi="Segoe UI Light" w:cs="Segoe UI Light" w:hint="eastAsia"/>
          <w:kern w:val="0"/>
        </w:rPr>
        <w:t xml:space="preserve">     </w:t>
      </w:r>
      <w:r>
        <w:rPr>
          <w:rFonts w:ascii="Segoe UI Light" w:eastAsia="微軟正黑體" w:hAnsi="Segoe UI Light" w:cs="Segoe UI Light" w:hint="eastAsia"/>
          <w:kern w:val="0"/>
        </w:rPr>
        <w:t>【</w:t>
      </w:r>
      <w:r>
        <w:rPr>
          <w:rFonts w:ascii="Segoe UI Light" w:eastAsia="微軟正黑體" w:hAnsi="Segoe UI Light" w:cs="Segoe UI Light" w:hint="eastAsia"/>
          <w:kern w:val="0"/>
        </w:rPr>
        <w:t>A</w:t>
      </w:r>
      <w:r>
        <w:rPr>
          <w:rFonts w:ascii="Segoe UI Light" w:eastAsia="微軟正黑體" w:hAnsi="Segoe UI Light" w:cs="Segoe UI Light"/>
          <w:kern w:val="0"/>
        </w:rPr>
        <w:t>ctivity Graph</w:t>
      </w:r>
      <w:r>
        <w:rPr>
          <w:rFonts w:ascii="Segoe UI Light" w:eastAsia="微軟正黑體" w:hAnsi="Segoe UI Light" w:cs="Segoe UI Light" w:hint="eastAsia"/>
          <w:kern w:val="0"/>
        </w:rPr>
        <w:t>】</w:t>
      </w: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5336C7">
        <w:rPr>
          <w:rFonts w:ascii="Segoe UI Light" w:eastAsia="微軟正黑體" w:hAnsi="Segoe UI Light" w:cs="Segoe UI Light"/>
          <w:kern w:val="0"/>
        </w:rPr>
        <w:drawing>
          <wp:inline distT="0" distB="0" distL="0" distR="0" wp14:anchorId="5F9A0E2D" wp14:editId="17AB7D82">
            <wp:extent cx="2357414" cy="244792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274" cy="24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eastAsia="微軟正黑體" w:hAnsi="Segoe UI Light" w:cs="Segoe UI Light" w:hint="eastAsia"/>
          <w:kern w:val="0"/>
        </w:rPr>
        <w:t xml:space="preserve">   </w:t>
      </w:r>
      <w:r w:rsidRPr="005336C7">
        <w:rPr>
          <w:rFonts w:ascii="Segoe UI Light" w:eastAsia="微軟正黑體" w:hAnsi="Segoe UI Light" w:cs="Segoe UI Light"/>
          <w:kern w:val="0"/>
        </w:rPr>
        <w:drawing>
          <wp:inline distT="0" distB="0" distL="0" distR="0" wp14:anchorId="23D5B663" wp14:editId="58C2A890">
            <wp:extent cx="2319373" cy="2038350"/>
            <wp:effectExtent l="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73" cy="20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 w:rsidRPr="005336C7">
        <w:rPr>
          <w:rFonts w:ascii="Segoe UI Light" w:eastAsia="微軟正黑體" w:hAnsi="Segoe UI Light" w:cs="Segoe UI Light"/>
          <w:kern w:val="0"/>
        </w:rPr>
        <w:t>Cost–Duration Trade-off Example</w:t>
      </w:r>
      <w:r>
        <w:rPr>
          <w:rFonts w:ascii="Segoe UI Light" w:eastAsia="微軟正黑體" w:hAnsi="Segoe UI Light" w:cs="Segoe UI Light" w:hint="eastAsia"/>
          <w:kern w:val="0"/>
        </w:rPr>
        <w:t>】</w:t>
      </w: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  <w:r w:rsidRPr="005336C7">
        <w:rPr>
          <w:rFonts w:ascii="Segoe UI Light" w:eastAsia="微軟正黑體" w:hAnsi="Segoe UI Light" w:cs="Segoe UI Light"/>
          <w:kern w:val="0"/>
        </w:rPr>
        <w:drawing>
          <wp:inline distT="0" distB="0" distL="0" distR="0" wp14:anchorId="3174B585" wp14:editId="59903C00">
            <wp:extent cx="4533900" cy="2287868"/>
            <wp:effectExtent l="19050" t="19050" r="19050" b="17780"/>
            <wp:docPr id="70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818" cy="22933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336C7" w:rsidRDefault="005336C7" w:rsidP="005830E5">
      <w:pPr>
        <w:widowControl/>
        <w:snapToGrid w:val="0"/>
        <w:ind w:leftChars="200" w:left="480"/>
        <w:rPr>
          <w:rFonts w:ascii="Segoe UI Light" w:eastAsia="微軟正黑體" w:hAnsi="Segoe UI Light" w:cs="Segoe UI Light"/>
          <w:kern w:val="0"/>
        </w:rPr>
      </w:pPr>
    </w:p>
    <w:p w:rsidR="00000000" w:rsidRPr="005336C7" w:rsidRDefault="005336C7" w:rsidP="005336C7">
      <w:pPr>
        <w:snapToGrid w:val="0"/>
        <w:rPr>
          <w:rFonts w:ascii="Segoe UI Light" w:eastAsia="微軟正黑體" w:hAnsi="Segoe UI Light" w:cs="Segoe UI Light" w:hint="eastAsia"/>
          <w:kern w:val="0"/>
        </w:rPr>
      </w:pPr>
      <w:r>
        <w:rPr>
          <w:rFonts w:ascii="Segoe UI Light" w:eastAsia="微軟正黑體" w:hAnsi="Segoe UI Light" w:cs="Segoe UI Light" w:hint="eastAsia"/>
          <w:kern w:val="0"/>
        </w:rPr>
        <w:t>【</w:t>
      </w:r>
      <w:r w:rsidR="00F72517" w:rsidRPr="005336C7">
        <w:rPr>
          <w:rFonts w:ascii="Segoe UI Light" w:eastAsia="微軟正黑體" w:hAnsi="Segoe UI Light" w:cs="Segoe UI Light"/>
          <w:kern w:val="0"/>
        </w:rPr>
        <w:t>Commonl</w:t>
      </w:r>
      <w:r w:rsidR="00F72517" w:rsidRPr="005336C7">
        <w:rPr>
          <w:rFonts w:ascii="Segoe UI Light" w:eastAsia="微軟正黑體" w:hAnsi="Segoe UI Light" w:cs="Segoe UI Light"/>
          <w:kern w:val="0"/>
        </w:rPr>
        <w:t>y Used Options for Cutting Costs</w:t>
      </w:r>
      <w:r>
        <w:rPr>
          <w:rFonts w:ascii="Segoe UI Light" w:eastAsia="微軟正黑體" w:hAnsi="Segoe UI Light" w:cs="Segoe UI Light" w:hint="eastAsia"/>
          <w:kern w:val="0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</w:rPr>
        <w:t>減少成本常用方式】</w:t>
      </w:r>
    </w:p>
    <w:p w:rsidR="005336C7" w:rsidRPr="005336C7" w:rsidRDefault="005336C7" w:rsidP="005336C7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336C7">
        <w:rPr>
          <w:rFonts w:ascii="Segoe UI Light" w:eastAsia="微軟正黑體" w:hAnsi="Segoe UI Light" w:cs="Segoe UI Light" w:hint="eastAsia"/>
          <w:kern w:val="0"/>
        </w:rPr>
        <w:t>減少項目範圍</w:t>
      </w:r>
    </w:p>
    <w:p w:rsidR="005336C7" w:rsidRPr="005336C7" w:rsidRDefault="005336C7" w:rsidP="005336C7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336C7">
        <w:rPr>
          <w:rFonts w:ascii="Segoe UI Light" w:eastAsia="微軟正黑體" w:hAnsi="Segoe UI Light" w:cs="Segoe UI Light" w:hint="eastAsia"/>
          <w:kern w:val="0"/>
        </w:rPr>
        <w:t>擁有者承擔更多責任</w:t>
      </w:r>
    </w:p>
    <w:p w:rsidR="005336C7" w:rsidRPr="005336C7" w:rsidRDefault="005336C7" w:rsidP="005336C7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336C7">
        <w:rPr>
          <w:rFonts w:ascii="Segoe UI Light" w:eastAsia="微軟正黑體" w:hAnsi="Segoe UI Light" w:cs="Segoe UI Light" w:hint="eastAsia"/>
          <w:kern w:val="0"/>
        </w:rPr>
        <w:t>外包項目活動甚至整個項目</w:t>
      </w:r>
    </w:p>
    <w:p w:rsidR="005336C7" w:rsidRPr="00E17154" w:rsidRDefault="005336C7" w:rsidP="005336C7">
      <w:pPr>
        <w:widowControl/>
        <w:snapToGrid w:val="0"/>
        <w:ind w:leftChars="200" w:left="480"/>
        <w:rPr>
          <w:rFonts w:ascii="Segoe UI Light" w:eastAsia="微軟正黑體" w:hAnsi="Segoe UI Light" w:cs="Segoe UI Light" w:hint="eastAsia"/>
          <w:kern w:val="0"/>
        </w:rPr>
      </w:pPr>
      <w:r w:rsidRPr="005336C7">
        <w:rPr>
          <w:rFonts w:ascii="Segoe UI Light" w:eastAsia="微軟正黑體" w:hAnsi="Segoe UI Light" w:cs="Segoe UI Light" w:hint="eastAsia"/>
          <w:kern w:val="0"/>
        </w:rPr>
        <w:t>頭腦風暴節省成本的選擇</w:t>
      </w:r>
    </w:p>
    <w:sectPr w:rsidR="005336C7" w:rsidRPr="00E17154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17" w:rsidRDefault="00F72517" w:rsidP="00E86A7C">
      <w:r>
        <w:separator/>
      </w:r>
    </w:p>
  </w:endnote>
  <w:endnote w:type="continuationSeparator" w:id="0">
    <w:p w:rsidR="00F72517" w:rsidRDefault="00F72517" w:rsidP="00E8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17" w:rsidRDefault="00F72517" w:rsidP="00E86A7C">
      <w:r>
        <w:separator/>
      </w:r>
    </w:p>
  </w:footnote>
  <w:footnote w:type="continuationSeparator" w:id="0">
    <w:p w:rsidR="00F72517" w:rsidRDefault="00F72517" w:rsidP="00E8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D6A"/>
    <w:multiLevelType w:val="hybridMultilevel"/>
    <w:tmpl w:val="821293B6"/>
    <w:lvl w:ilvl="0" w:tplc="5C06E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C7077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77E7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94EE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650A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2FCD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02A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67E2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2F25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8E749AC"/>
    <w:multiLevelType w:val="hybridMultilevel"/>
    <w:tmpl w:val="12861C12"/>
    <w:lvl w:ilvl="0" w:tplc="2A905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42A9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5BED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A14D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7E60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0067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9169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3C46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90E2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A951A2A"/>
    <w:multiLevelType w:val="hybridMultilevel"/>
    <w:tmpl w:val="06AA0ECC"/>
    <w:lvl w:ilvl="0" w:tplc="19A29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CEA7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4329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9D4C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D5EF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5A2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6F8D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98C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C6E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194C3C63"/>
    <w:multiLevelType w:val="hybridMultilevel"/>
    <w:tmpl w:val="DCE865D6"/>
    <w:lvl w:ilvl="0" w:tplc="2C8C6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4D28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FE9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C30F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18E3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C5E6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C9CF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FD46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D14A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1D7E1A43"/>
    <w:multiLevelType w:val="hybridMultilevel"/>
    <w:tmpl w:val="5B58B494"/>
    <w:lvl w:ilvl="0" w:tplc="099AD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1BA7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3B6D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42F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8F61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666E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A9A7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9B45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C0C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26247613"/>
    <w:multiLevelType w:val="hybridMultilevel"/>
    <w:tmpl w:val="C1C2CDB8"/>
    <w:lvl w:ilvl="0" w:tplc="C6C89BD4">
      <w:start w:val="14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41D7D62"/>
    <w:multiLevelType w:val="hybridMultilevel"/>
    <w:tmpl w:val="1D16385A"/>
    <w:lvl w:ilvl="0" w:tplc="21E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5163BC"/>
    <w:multiLevelType w:val="hybridMultilevel"/>
    <w:tmpl w:val="F9F852D6"/>
    <w:lvl w:ilvl="0" w:tplc="646E5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A08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FDA0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3E01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BB4C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FD8E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FE25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26C3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E6CD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4C76040F"/>
    <w:multiLevelType w:val="hybridMultilevel"/>
    <w:tmpl w:val="E9F60366"/>
    <w:lvl w:ilvl="0" w:tplc="A176A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B5A3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D6AB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E2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D2C3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C3A6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0547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9E23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C002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 w15:restartNumberingAfterBreak="0">
    <w:nsid w:val="52C7671B"/>
    <w:multiLevelType w:val="hybridMultilevel"/>
    <w:tmpl w:val="92067D7C"/>
    <w:lvl w:ilvl="0" w:tplc="69B60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D6CB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86AF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942B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EF0F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B4E0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DDAF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3F23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C66C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5FF868E1"/>
    <w:multiLevelType w:val="hybridMultilevel"/>
    <w:tmpl w:val="879A9290"/>
    <w:lvl w:ilvl="0" w:tplc="21729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E7A7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D505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42E6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67A8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A0A8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4AC4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2CE1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C064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60670C8C"/>
    <w:multiLevelType w:val="hybridMultilevel"/>
    <w:tmpl w:val="154C4780"/>
    <w:lvl w:ilvl="0" w:tplc="53CC0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D767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3766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DF24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01AB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6FC0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DAE4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C36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B824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6BBE2A87"/>
    <w:multiLevelType w:val="hybridMultilevel"/>
    <w:tmpl w:val="2CF8728C"/>
    <w:lvl w:ilvl="0" w:tplc="625CBE5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F0F69BB"/>
    <w:multiLevelType w:val="hybridMultilevel"/>
    <w:tmpl w:val="D4A68C12"/>
    <w:lvl w:ilvl="0" w:tplc="F4503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5502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62AB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1C0D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2569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6643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1C60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5D21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B4E0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4" w15:restartNumberingAfterBreak="0">
    <w:nsid w:val="743036AD"/>
    <w:multiLevelType w:val="hybridMultilevel"/>
    <w:tmpl w:val="A0F6779A"/>
    <w:lvl w:ilvl="0" w:tplc="D228D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958E5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BEECE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A22D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BB81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EBC1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0D63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1046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DD03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5" w15:restartNumberingAfterBreak="0">
    <w:nsid w:val="747C0EC1"/>
    <w:multiLevelType w:val="hybridMultilevel"/>
    <w:tmpl w:val="50985F24"/>
    <w:lvl w:ilvl="0" w:tplc="52C6E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132D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9C80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35C2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5D6F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7C28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7B8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0A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D2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D353F26"/>
    <w:multiLevelType w:val="hybridMultilevel"/>
    <w:tmpl w:val="491C0F58"/>
    <w:lvl w:ilvl="0" w:tplc="3C7CBB6A">
      <w:start w:val="14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15"/>
  </w:num>
  <w:num w:numId="8">
    <w:abstractNumId w:val="3"/>
  </w:num>
  <w:num w:numId="9">
    <w:abstractNumId w:val="13"/>
  </w:num>
  <w:num w:numId="10">
    <w:abstractNumId w:val="11"/>
  </w:num>
  <w:num w:numId="11">
    <w:abstractNumId w:val="8"/>
  </w:num>
  <w:num w:numId="12">
    <w:abstractNumId w:val="7"/>
  </w:num>
  <w:num w:numId="13">
    <w:abstractNumId w:val="10"/>
  </w:num>
  <w:num w:numId="14">
    <w:abstractNumId w:val="16"/>
  </w:num>
  <w:num w:numId="15">
    <w:abstractNumId w:val="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342AD"/>
    <w:rsid w:val="00060B1D"/>
    <w:rsid w:val="000954DE"/>
    <w:rsid w:val="000B75AC"/>
    <w:rsid w:val="00122CD2"/>
    <w:rsid w:val="00143F74"/>
    <w:rsid w:val="00161CAE"/>
    <w:rsid w:val="00292CAD"/>
    <w:rsid w:val="002D62D5"/>
    <w:rsid w:val="002F276C"/>
    <w:rsid w:val="002F44DB"/>
    <w:rsid w:val="002F7FA9"/>
    <w:rsid w:val="003F17F0"/>
    <w:rsid w:val="004340D6"/>
    <w:rsid w:val="0046619C"/>
    <w:rsid w:val="00472A4C"/>
    <w:rsid w:val="00491A42"/>
    <w:rsid w:val="00493381"/>
    <w:rsid w:val="004F6367"/>
    <w:rsid w:val="005336C7"/>
    <w:rsid w:val="005830E5"/>
    <w:rsid w:val="005A76D7"/>
    <w:rsid w:val="005F3EF3"/>
    <w:rsid w:val="005F5A9E"/>
    <w:rsid w:val="00741192"/>
    <w:rsid w:val="00760FA1"/>
    <w:rsid w:val="007E122C"/>
    <w:rsid w:val="008626B7"/>
    <w:rsid w:val="008806B6"/>
    <w:rsid w:val="009C49F3"/>
    <w:rsid w:val="00A03860"/>
    <w:rsid w:val="00A119B7"/>
    <w:rsid w:val="00A5409F"/>
    <w:rsid w:val="00AF1E63"/>
    <w:rsid w:val="00B649D0"/>
    <w:rsid w:val="00BC56A1"/>
    <w:rsid w:val="00BE2BA6"/>
    <w:rsid w:val="00C55408"/>
    <w:rsid w:val="00C66FAC"/>
    <w:rsid w:val="00D02A2A"/>
    <w:rsid w:val="00D16F61"/>
    <w:rsid w:val="00E17154"/>
    <w:rsid w:val="00E86A7C"/>
    <w:rsid w:val="00EF3E7A"/>
    <w:rsid w:val="00F43095"/>
    <w:rsid w:val="00F72517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D76A9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493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3E7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6A7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6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6A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755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29">
          <w:marLeft w:val="3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251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121">
          <w:marLeft w:val="34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06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011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8822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62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986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01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678">
          <w:marLeft w:val="3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14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53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44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057">
          <w:marLeft w:val="34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465">
          <w:marLeft w:val="99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118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011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2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344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639">
          <w:marLeft w:val="994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79987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355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312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057">
          <w:marLeft w:val="152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265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162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493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510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469">
          <w:marLeft w:val="99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4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758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19</cp:revision>
  <cp:lastPrinted>2019-03-17T13:32:00Z</cp:lastPrinted>
  <dcterms:created xsi:type="dcterms:W3CDTF">2019-02-23T19:43:00Z</dcterms:created>
  <dcterms:modified xsi:type="dcterms:W3CDTF">2019-05-19T12:19:00Z</dcterms:modified>
</cp:coreProperties>
</file>