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54" w:rsidRPr="00B66754" w:rsidRDefault="00B66754" w:rsidP="00B66754">
      <w:pPr>
        <w:jc w:val="center"/>
        <w:rPr>
          <w:b/>
        </w:rPr>
      </w:pPr>
      <w:r w:rsidRPr="00B66754">
        <w:rPr>
          <w:rFonts w:hint="eastAsia"/>
          <w:b/>
        </w:rPr>
        <w:t>漢摩拉比法典</w:t>
      </w:r>
    </w:p>
    <w:p w:rsidR="00B66754" w:rsidRDefault="00B66754" w:rsidP="00B66754"/>
    <w:p w:rsidR="00B66754" w:rsidRDefault="00B66754" w:rsidP="00B66754">
      <w:pPr>
        <w:ind w:firstLineChars="200" w:firstLine="605"/>
        <w:jc w:val="distribute"/>
      </w:pPr>
      <w:r>
        <w:rPr>
          <w:rFonts w:hint="eastAsia"/>
        </w:rPr>
        <w:t>所謂的漢摩拉比法</w:t>
      </w:r>
      <w:r>
        <w:rPr>
          <w:rFonts w:hint="eastAsia"/>
        </w:rPr>
        <w:t>典：</w:t>
      </w:r>
      <w:r>
        <w:rPr>
          <w:rFonts w:hint="eastAsia"/>
        </w:rPr>
        <w:t>在兩河流域的法制史上，這部『法典』</w:t>
      </w:r>
    </w:p>
    <w:p w:rsidR="00B66754" w:rsidRDefault="00B66754" w:rsidP="00B66754">
      <w:pPr>
        <w:jc w:val="distribute"/>
      </w:pPr>
      <w:r>
        <w:rPr>
          <w:rFonts w:hint="eastAsia"/>
        </w:rPr>
        <w:t>佔有極重要的地位。法典本身刻在一塊石碑上，內容共分為三部分：</w:t>
      </w:r>
    </w:p>
    <w:p w:rsidR="00B66754" w:rsidRDefault="00B66754" w:rsidP="00B66754">
      <w:pPr>
        <w:jc w:val="distribute"/>
      </w:pPr>
      <w:r>
        <w:rPr>
          <w:rFonts w:hint="eastAsia"/>
        </w:rPr>
        <w:t>主要的部分是</w:t>
      </w:r>
      <w:r>
        <w:rPr>
          <w:rFonts w:hint="eastAsia"/>
        </w:rPr>
        <w:t>282</w:t>
      </w:r>
      <w:r>
        <w:rPr>
          <w:rFonts w:hint="eastAsia"/>
        </w:rPr>
        <w:t>條律</w:t>
      </w:r>
      <w:r>
        <w:rPr>
          <w:rFonts w:hint="eastAsia"/>
        </w:rPr>
        <w:t>法，律法前後各有一段序言和結語。在序言</w:t>
      </w:r>
    </w:p>
    <w:p w:rsidR="00B66754" w:rsidRDefault="00B66754" w:rsidP="00B66754">
      <w:pPr>
        <w:jc w:val="distribute"/>
      </w:pPr>
      <w:r>
        <w:rPr>
          <w:rFonts w:hint="eastAsia"/>
        </w:rPr>
        <w:t>中，漢摩拉比自述自即位以來承神意而以『增進人民福祉』為念而成</w:t>
      </w:r>
    </w:p>
    <w:p w:rsidR="00F269FA" w:rsidRDefault="00B66754" w:rsidP="00B66754">
      <w:r>
        <w:rPr>
          <w:rFonts w:hint="eastAsia"/>
        </w:rPr>
        <w:t>就的各種功業。</w:t>
      </w:r>
    </w:p>
    <w:p w:rsidR="00B66754" w:rsidRDefault="00B66754" w:rsidP="00B66754">
      <w:pPr>
        <w:jc w:val="distribut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從法律</w:t>
      </w:r>
      <w:r>
        <w:rPr>
          <w:rFonts w:hint="eastAsia"/>
        </w:rPr>
        <w:t>條</w:t>
      </w:r>
      <w:r>
        <w:rPr>
          <w:rFonts w:hint="eastAsia"/>
        </w:rPr>
        <w:t>文</w:t>
      </w:r>
      <w:r>
        <w:rPr>
          <w:rFonts w:hint="eastAsia"/>
        </w:rPr>
        <w:t>看來，當時社會中階級之間的不平等，是很清楚的</w:t>
      </w:r>
    </w:p>
    <w:p w:rsidR="00B66754" w:rsidRDefault="00B66754" w:rsidP="00B66754">
      <w:pPr>
        <w:jc w:val="distribute"/>
        <w:rPr>
          <w:rFonts w:hint="eastAsia"/>
        </w:rPr>
      </w:pPr>
      <w:r>
        <w:rPr>
          <w:rFonts w:hint="eastAsia"/>
        </w:rPr>
        <w:t>事實。法律之前人人平等的概念，只能適用於同一階級之中。此外，</w:t>
      </w:r>
    </w:p>
    <w:p w:rsidR="00B66754" w:rsidRDefault="00B66754" w:rsidP="00B66754">
      <w:r>
        <w:rPr>
          <w:rFonts w:hint="eastAsia"/>
        </w:rPr>
        <w:t>法條中『以牙還牙，以眼還眼』的原則也是相當的突出。</w:t>
      </w:r>
    </w:p>
    <w:p w:rsidR="00B66754" w:rsidRDefault="00B66754" w:rsidP="00B66754">
      <w:pPr>
        <w:jc w:val="distribute"/>
      </w:pPr>
      <w:r>
        <w:rPr>
          <w:rFonts w:hint="eastAsia"/>
        </w:rPr>
        <w:t xml:space="preserve">    </w:t>
      </w:r>
      <w:r>
        <w:rPr>
          <w:rFonts w:hint="eastAsia"/>
        </w:rPr>
        <w:t>『漢摩拉比法典』是一部『法條彙編』。這是漢摩拉比為了向神</w:t>
      </w:r>
    </w:p>
    <w:p w:rsidR="00B66754" w:rsidRDefault="00B66754" w:rsidP="00B66754">
      <w:pPr>
        <w:jc w:val="distribute"/>
      </w:pPr>
      <w:r>
        <w:rPr>
          <w:rFonts w:hint="eastAsia"/>
        </w:rPr>
        <w:t>明顯示自己的功績而編纂的，其中的法條原來可能是散布於王室檔案</w:t>
      </w:r>
    </w:p>
    <w:p w:rsidR="00B66754" w:rsidRDefault="00B66754" w:rsidP="00B66754">
      <w:pPr>
        <w:jc w:val="distribute"/>
      </w:pPr>
      <w:r>
        <w:rPr>
          <w:rFonts w:hint="eastAsia"/>
        </w:rPr>
        <w:t>的記錄。有許多證據顯示，在巴比倫的法庭上，國王可以親自審案而</w:t>
      </w:r>
    </w:p>
    <w:p w:rsidR="00B66754" w:rsidRDefault="00B66754" w:rsidP="00B66754">
      <w:pPr>
        <w:jc w:val="distribute"/>
      </w:pPr>
      <w:r>
        <w:rPr>
          <w:rFonts w:hint="eastAsia"/>
        </w:rPr>
        <w:t>下判決，也可以在有關的地方表示原則性的意見，然後將案件交給法</w:t>
      </w:r>
    </w:p>
    <w:p w:rsidR="00B66754" w:rsidRDefault="00B66754" w:rsidP="00B66754">
      <w:r>
        <w:rPr>
          <w:rFonts w:hint="eastAsia"/>
        </w:rPr>
        <w:t>官處理，但是從來不曾援引先列或某一特別的法條作為審判的根據。</w:t>
      </w:r>
    </w:p>
    <w:p w:rsidR="00B66754" w:rsidRDefault="00B66754" w:rsidP="00B66754"/>
    <w:p w:rsidR="00B66754" w:rsidRDefault="00B66754" w:rsidP="00B66754">
      <w:pPr>
        <w:rPr>
          <w:rFonts w:hint="eastAsia"/>
        </w:rPr>
      </w:pPr>
      <w:bookmarkStart w:id="0" w:name="_GoBack"/>
      <w:bookmarkEnd w:id="0"/>
    </w:p>
    <w:sectPr w:rsidR="00B66754" w:rsidSect="00B66754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54" w:rsidRDefault="00B66754" w:rsidP="00B66754">
      <w:r>
        <w:separator/>
      </w:r>
    </w:p>
  </w:endnote>
  <w:endnote w:type="continuationSeparator" w:id="0">
    <w:p w:rsidR="00B66754" w:rsidRDefault="00B66754" w:rsidP="00B6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54" w:rsidRDefault="00B66754" w:rsidP="00B66754">
      <w:r>
        <w:separator/>
      </w:r>
    </w:p>
  </w:footnote>
  <w:footnote w:type="continuationSeparator" w:id="0">
    <w:p w:rsidR="00B66754" w:rsidRDefault="00B66754" w:rsidP="00B66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D2"/>
    <w:rsid w:val="004F74D2"/>
    <w:rsid w:val="00B66754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2A1C"/>
  <w15:chartTrackingRefBased/>
  <w15:docId w15:val="{8EA1A235-4D3B-49A9-9ECF-EE483E9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67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6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67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2017-10-18T08:07:00Z</dcterms:created>
  <dcterms:modified xsi:type="dcterms:W3CDTF">2017-10-18T08:12:00Z</dcterms:modified>
</cp:coreProperties>
</file>