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0B2BC">
      <w:pPr>
        <w:rPr>
          <w:color w:val="auto"/>
        </w:rPr>
      </w:pPr>
    </w:p>
    <w:p w14:paraId="07EFEE49">
      <w:pPr>
        <w:rPr>
          <w:color w:val="auto"/>
        </w:rPr>
      </w:pPr>
    </w:p>
    <w:p w14:paraId="29B1DC64">
      <w:pPr>
        <w:rPr>
          <w:color w:val="auto"/>
        </w:rPr>
      </w:pPr>
    </w:p>
    <w:p w14:paraId="1D3DB7AD">
      <w:pPr>
        <w:jc w:val="center"/>
        <w:rPr>
          <w:color w:val="auto"/>
        </w:rPr>
      </w:pPr>
      <w:r>
        <w:rPr>
          <w:b/>
          <w:color w:val="auto"/>
          <w:sz w:val="52"/>
        </w:rPr>
        <w:t>流浪动物身份登记与寻宠互助平台</w:t>
      </w:r>
      <w:r>
        <w:rPr>
          <w:b/>
          <w:color w:val="auto"/>
          <w:sz w:val="52"/>
        </w:rPr>
        <w:br w:type="textWrapping"/>
      </w:r>
      <w:r>
        <w:rPr>
          <w:b/>
          <w:color w:val="auto"/>
          <w:sz w:val="52"/>
        </w:rPr>
        <w:t>需求规格说明书</w:t>
      </w:r>
    </w:p>
    <w:p w14:paraId="0A9E48CC">
      <w:pPr>
        <w:rPr>
          <w:color w:val="auto"/>
        </w:rPr>
      </w:pPr>
    </w:p>
    <w:p w14:paraId="1B1D615C">
      <w:pPr>
        <w:keepNext/>
        <w:spacing w:before="360" w:after="120"/>
        <w:rPr>
          <w:color w:val="auto"/>
        </w:rPr>
      </w:pPr>
      <w:r>
        <w:rPr>
          <w:b/>
          <w:color w:val="auto"/>
          <w:sz w:val="32"/>
        </w:rPr>
        <w:t>1. 引言</w:t>
      </w:r>
    </w:p>
    <w:p w14:paraId="22E3D340">
      <w:pPr>
        <w:keepNext/>
        <w:spacing w:before="240" w:after="80"/>
        <w:rPr>
          <w:color w:val="auto"/>
        </w:rPr>
      </w:pPr>
      <w:r>
        <w:rPr>
          <w:b/>
          <w:color w:val="auto"/>
          <w:sz w:val="26"/>
        </w:rPr>
        <w:t>1.1 编写目的</w:t>
      </w:r>
    </w:p>
    <w:p w14:paraId="3A1F497C">
      <w:pPr>
        <w:spacing w:after="120" w:line="300" w:lineRule="auto"/>
        <w:rPr>
          <w:color w:val="auto"/>
        </w:rPr>
      </w:pPr>
      <w:r>
        <w:rPr>
          <w:b w:val="0"/>
          <w:color w:val="auto"/>
        </w:rPr>
        <w:t>本文档旨在详细明确“流浪动物身份登记与寻宠互助平台（Web端）”的业务流程、用户权限分配、核心功能模块以及非功能性设计要求。本需求规格说明书作为项目启动后，产品原型设计、UI视觉设计、系统架构搭建、前后端业务代码开发及软件测试团队的核心指导依据。</w:t>
      </w:r>
    </w:p>
    <w:p w14:paraId="1517FAC9">
      <w:pPr>
        <w:keepNext/>
        <w:spacing w:before="240" w:after="80"/>
        <w:rPr>
          <w:color w:val="auto"/>
        </w:rPr>
      </w:pPr>
      <w:r>
        <w:rPr>
          <w:b/>
          <w:color w:val="auto"/>
          <w:sz w:val="26"/>
        </w:rPr>
        <w:t>1.2 项目背景与目标</w:t>
      </w:r>
    </w:p>
    <w:p w14:paraId="2B2E9773">
      <w:pPr>
        <w:spacing w:after="120" w:line="300" w:lineRule="auto"/>
        <w:rPr>
          <w:color w:val="auto"/>
        </w:rPr>
      </w:pPr>
      <w:r>
        <w:rPr>
          <w:b w:val="0"/>
          <w:color w:val="auto"/>
        </w:rPr>
        <w:t>当前社会中，宠物走丢事件频繁发生</w:t>
      </w:r>
      <w:bookmarkStart w:id="0" w:name="_GoBack"/>
      <w:bookmarkEnd w:id="0"/>
      <w:r>
        <w:rPr>
          <w:b w:val="0"/>
          <w:color w:val="auto"/>
        </w:rPr>
        <w:t>，同时流浪动物群体数量庞大，往往缺乏系统性的档案管理。现有的信息扩散渠道（如朋友圈、社交媒体群聊）碎片化严重，导致信息不对称、线索追踪困难且寻宠效率低下。</w:t>
      </w:r>
    </w:p>
    <w:p w14:paraId="7C225253">
      <w:pPr>
        <w:spacing w:after="120" w:line="300" w:lineRule="auto"/>
        <w:rPr>
          <w:color w:val="auto"/>
        </w:rPr>
      </w:pPr>
      <w:r>
        <w:rPr>
          <w:b w:val="0"/>
          <w:color w:val="auto"/>
        </w:rPr>
        <w:t>本项目将构建一个垂直、高效、安全的Web端全网互助平台。通过“后台认证用户”登记流浪动物建立规范电子档案，以及“普通注册用户”发布寻宠启事，结合全站“即时站内私信”和“目击线索隐私隔离机制”，打通寻宠全闭环链路，大幅提升宠物找回率，实现流浪动物数据的规范化管理。</w:t>
      </w:r>
    </w:p>
    <w:p w14:paraId="4D61304F">
      <w:pPr>
        <w:keepNext/>
        <w:spacing w:before="360" w:after="120"/>
        <w:rPr>
          <w:color w:val="auto"/>
        </w:rPr>
      </w:pPr>
      <w:r>
        <w:rPr>
          <w:b/>
          <w:color w:val="auto"/>
          <w:sz w:val="32"/>
        </w:rPr>
        <w:t>2. 总体概述</w:t>
      </w:r>
    </w:p>
    <w:p w14:paraId="31C61C72">
      <w:pPr>
        <w:keepNext/>
        <w:spacing w:before="240" w:after="80"/>
        <w:rPr>
          <w:color w:val="auto"/>
        </w:rPr>
      </w:pPr>
      <w:r>
        <w:rPr>
          <w:b/>
          <w:color w:val="auto"/>
          <w:sz w:val="26"/>
        </w:rPr>
        <w:t>2.1 用户角色与权限矩阵</w:t>
      </w:r>
    </w:p>
    <w:p w14:paraId="27AC3B37">
      <w:pPr>
        <w:spacing w:after="120" w:line="300" w:lineRule="auto"/>
        <w:rPr>
          <w:color w:val="auto"/>
        </w:rPr>
      </w:pPr>
      <w:r>
        <w:rPr>
          <w:b w:val="0"/>
          <w:color w:val="auto"/>
        </w:rPr>
        <w:t>系统共划分三类核心角色：普通用户、认证用户（如流浪动物救助志愿者、民间救助机构）以及平台管理员。各角色的具体功能权限如下表所示：</w:t>
      </w:r>
    </w:p>
    <w:tbl>
      <w:tblPr>
        <w:tblStyle w:val="32"/>
        <w:tblW w:w="0" w:type="auto"/>
        <w:jc w:val="center"/>
        <w:tblLayout w:type="autofit"/>
        <w:tblCellMar>
          <w:top w:w="0" w:type="dxa"/>
          <w:left w:w="108" w:type="dxa"/>
          <w:bottom w:w="0" w:type="dxa"/>
          <w:right w:w="108" w:type="dxa"/>
        </w:tblCellMar>
      </w:tblPr>
      <w:tblGrid>
        <w:gridCol w:w="1505"/>
        <w:gridCol w:w="1505"/>
        <w:gridCol w:w="1505"/>
        <w:gridCol w:w="1505"/>
        <w:gridCol w:w="1505"/>
        <w:gridCol w:w="1505"/>
      </w:tblGrid>
      <w:tr w14:paraId="2AE83DC5">
        <w:tblPrEx>
          <w:tblCellMar>
            <w:top w:w="0" w:type="dxa"/>
            <w:left w:w="108" w:type="dxa"/>
            <w:bottom w:w="0" w:type="dxa"/>
            <w:right w:w="108" w:type="dxa"/>
          </w:tblCellMar>
        </w:tblPrEx>
        <w:trPr>
          <w:jc w:val="center"/>
        </w:trPr>
        <w:tc>
          <w:tcPr>
            <w:tcW w:w="1505" w:type="dxa"/>
            <w:shd w:val="clear" w:color="auto" w:fill="FFFFFF" w:themeFill="background1"/>
            <w:tcMar>
              <w:top w:w="120" w:type="dxa"/>
              <w:left w:w="100" w:type="dxa"/>
              <w:bottom w:w="120" w:type="dxa"/>
              <w:right w:w="100" w:type="dxa"/>
            </w:tcMar>
          </w:tcPr>
          <w:p w14:paraId="334C2CE7">
            <w:pPr>
              <w:jc w:val="center"/>
              <w:rPr>
                <w:color w:val="auto"/>
              </w:rPr>
            </w:pPr>
            <w:r>
              <w:rPr>
                <w:b/>
                <w:color w:val="auto"/>
                <w:sz w:val="20"/>
              </w:rPr>
              <w:t>角色</w:t>
            </w:r>
          </w:p>
        </w:tc>
        <w:tc>
          <w:tcPr>
            <w:tcW w:w="1505" w:type="dxa"/>
            <w:shd w:val="clear" w:color="auto" w:fill="FFFFFF" w:themeFill="background1"/>
            <w:tcMar>
              <w:top w:w="120" w:type="dxa"/>
              <w:left w:w="100" w:type="dxa"/>
              <w:bottom w:w="120" w:type="dxa"/>
              <w:right w:w="100" w:type="dxa"/>
            </w:tcMar>
          </w:tcPr>
          <w:p w14:paraId="7775E399">
            <w:pPr>
              <w:jc w:val="center"/>
              <w:rPr>
                <w:color w:val="auto"/>
              </w:rPr>
            </w:pPr>
            <w:r>
              <w:rPr>
                <w:b/>
                <w:color w:val="auto"/>
                <w:sz w:val="20"/>
              </w:rPr>
              <w:t>注册与登录</w:t>
            </w:r>
          </w:p>
        </w:tc>
        <w:tc>
          <w:tcPr>
            <w:tcW w:w="1505" w:type="dxa"/>
            <w:shd w:val="clear" w:color="auto" w:fill="FFFFFF" w:themeFill="background1"/>
            <w:tcMar>
              <w:top w:w="120" w:type="dxa"/>
              <w:left w:w="100" w:type="dxa"/>
              <w:bottom w:w="120" w:type="dxa"/>
              <w:right w:w="100" w:type="dxa"/>
            </w:tcMar>
          </w:tcPr>
          <w:p w14:paraId="3F1D6F93">
            <w:pPr>
              <w:jc w:val="center"/>
              <w:rPr>
                <w:color w:val="auto"/>
              </w:rPr>
            </w:pPr>
            <w:r>
              <w:rPr>
                <w:b/>
                <w:color w:val="auto"/>
                <w:sz w:val="20"/>
              </w:rPr>
              <w:t>发布寻宠启事</w:t>
            </w:r>
          </w:p>
        </w:tc>
        <w:tc>
          <w:tcPr>
            <w:tcW w:w="1505" w:type="dxa"/>
            <w:shd w:val="clear" w:color="auto" w:fill="FFFFFF" w:themeFill="background1"/>
            <w:tcMar>
              <w:top w:w="120" w:type="dxa"/>
              <w:left w:w="100" w:type="dxa"/>
              <w:bottom w:w="120" w:type="dxa"/>
              <w:right w:w="100" w:type="dxa"/>
            </w:tcMar>
          </w:tcPr>
          <w:p w14:paraId="5A400EA3">
            <w:pPr>
              <w:jc w:val="center"/>
              <w:rPr>
                <w:color w:val="auto"/>
              </w:rPr>
            </w:pPr>
            <w:r>
              <w:rPr>
                <w:b/>
                <w:color w:val="auto"/>
                <w:sz w:val="20"/>
              </w:rPr>
              <w:t>提供/查看线索</w:t>
            </w:r>
          </w:p>
        </w:tc>
        <w:tc>
          <w:tcPr>
            <w:tcW w:w="1505" w:type="dxa"/>
            <w:shd w:val="clear" w:color="auto" w:fill="FFFFFF" w:themeFill="background1"/>
            <w:tcMar>
              <w:top w:w="120" w:type="dxa"/>
              <w:left w:w="100" w:type="dxa"/>
              <w:bottom w:w="120" w:type="dxa"/>
              <w:right w:w="100" w:type="dxa"/>
            </w:tcMar>
          </w:tcPr>
          <w:p w14:paraId="17B0665A">
            <w:pPr>
              <w:jc w:val="center"/>
              <w:rPr>
                <w:color w:val="auto"/>
              </w:rPr>
            </w:pPr>
            <w:r>
              <w:rPr>
                <w:b/>
                <w:color w:val="auto"/>
                <w:sz w:val="20"/>
              </w:rPr>
              <w:t>登记流浪动物身份</w:t>
            </w:r>
          </w:p>
        </w:tc>
        <w:tc>
          <w:tcPr>
            <w:tcW w:w="1505" w:type="dxa"/>
            <w:shd w:val="clear" w:color="auto" w:fill="FFFFFF" w:themeFill="background1"/>
            <w:tcMar>
              <w:top w:w="120" w:type="dxa"/>
              <w:left w:w="100" w:type="dxa"/>
              <w:bottom w:w="120" w:type="dxa"/>
              <w:right w:w="100" w:type="dxa"/>
            </w:tcMar>
          </w:tcPr>
          <w:p w14:paraId="51BC3316">
            <w:pPr>
              <w:jc w:val="center"/>
              <w:rPr>
                <w:color w:val="auto"/>
              </w:rPr>
            </w:pPr>
            <w:r>
              <w:rPr>
                <w:b/>
                <w:color w:val="auto"/>
                <w:sz w:val="20"/>
              </w:rPr>
              <w:t>后台审核与导出</w:t>
            </w:r>
          </w:p>
        </w:tc>
      </w:tr>
      <w:tr w14:paraId="315C401E">
        <w:tblPrEx>
          <w:tblCellMar>
            <w:top w:w="0" w:type="dxa"/>
            <w:left w:w="108" w:type="dxa"/>
            <w:bottom w:w="0" w:type="dxa"/>
            <w:right w:w="108" w:type="dxa"/>
          </w:tblCellMar>
        </w:tblPrEx>
        <w:trPr>
          <w:jc w:val="center"/>
        </w:trPr>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07D32A96">
            <w:pPr>
              <w:jc w:val="left"/>
              <w:rPr>
                <w:color w:val="auto"/>
              </w:rPr>
            </w:pPr>
            <w:r>
              <w:rPr>
                <w:b/>
                <w:color w:val="auto"/>
                <w:sz w:val="19"/>
              </w:rPr>
              <w:t>普通用户</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2BFA5033">
            <w:pPr>
              <w:jc w:val="center"/>
              <w:rPr>
                <w:color w:val="auto"/>
              </w:rPr>
            </w:pPr>
            <w:r>
              <w:rPr>
                <w:color w:val="auto"/>
                <w:sz w:val="19"/>
              </w:rPr>
              <w:t>允许</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1D7B2F02">
            <w:pPr>
              <w:jc w:val="center"/>
              <w:rPr>
                <w:color w:val="auto"/>
              </w:rPr>
            </w:pPr>
            <w:r>
              <w:rPr>
                <w:color w:val="auto"/>
                <w:sz w:val="19"/>
              </w:rPr>
              <w:t>允许</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1B39374C">
            <w:pPr>
              <w:jc w:val="left"/>
              <w:rPr>
                <w:color w:val="auto"/>
              </w:rPr>
            </w:pPr>
            <w:r>
              <w:rPr>
                <w:color w:val="auto"/>
                <w:sz w:val="19"/>
              </w:rPr>
              <w:t>仅允许提供线索、查看自己的线索</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7E791770">
            <w:pPr>
              <w:jc w:val="center"/>
              <w:rPr>
                <w:color w:val="auto"/>
              </w:rPr>
            </w:pPr>
            <w:r>
              <w:rPr>
                <w:color w:val="auto"/>
                <w:sz w:val="19"/>
              </w:rPr>
              <w:t>禁止</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0E5CBC79">
            <w:pPr>
              <w:jc w:val="center"/>
              <w:rPr>
                <w:color w:val="auto"/>
              </w:rPr>
            </w:pPr>
            <w:r>
              <w:rPr>
                <w:color w:val="auto"/>
                <w:sz w:val="19"/>
              </w:rPr>
              <w:t>禁止</w:t>
            </w:r>
          </w:p>
        </w:tc>
      </w:tr>
      <w:tr w14:paraId="54F9FC74">
        <w:tblPrEx>
          <w:tblCellMar>
            <w:top w:w="0" w:type="dxa"/>
            <w:left w:w="108" w:type="dxa"/>
            <w:bottom w:w="0" w:type="dxa"/>
            <w:right w:w="108" w:type="dxa"/>
          </w:tblCellMar>
        </w:tblPrEx>
        <w:trPr>
          <w:jc w:val="center"/>
        </w:trPr>
        <w:tc>
          <w:tcPr>
            <w:tcW w:w="1505" w:type="dxa"/>
            <w:tcBorders>
              <w:top w:val="single" w:color="D3D3D3" w:sz="4" w:space="0"/>
              <w:left w:val="nil"/>
              <w:bottom w:val="single" w:color="D3D3D3" w:sz="4" w:space="0"/>
              <w:right w:val="nil"/>
            </w:tcBorders>
            <w:shd w:val="clear" w:color="auto" w:fill="F2F4F7"/>
            <w:tcMar>
              <w:top w:w="100" w:type="dxa"/>
              <w:left w:w="100" w:type="dxa"/>
              <w:bottom w:w="100" w:type="dxa"/>
              <w:right w:w="100" w:type="dxa"/>
            </w:tcMar>
          </w:tcPr>
          <w:p w14:paraId="50274405">
            <w:pPr>
              <w:jc w:val="left"/>
              <w:rPr>
                <w:color w:val="auto"/>
              </w:rPr>
            </w:pPr>
            <w:r>
              <w:rPr>
                <w:b/>
                <w:color w:val="auto"/>
                <w:sz w:val="19"/>
              </w:rPr>
              <w:t>认证用户</w:t>
            </w:r>
            <w:r>
              <w:rPr>
                <w:b/>
                <w:color w:val="auto"/>
                <w:sz w:val="19"/>
              </w:rPr>
              <w:br w:type="textWrapping"/>
            </w:r>
            <w:r>
              <w:rPr>
                <w:b/>
                <w:color w:val="auto"/>
                <w:sz w:val="19"/>
              </w:rPr>
              <w:t>(救助机构/志愿者)</w:t>
            </w:r>
          </w:p>
        </w:tc>
        <w:tc>
          <w:tcPr>
            <w:tcW w:w="1505" w:type="dxa"/>
            <w:tcBorders>
              <w:top w:val="single" w:color="D3D3D3" w:sz="4" w:space="0"/>
              <w:left w:val="nil"/>
              <w:bottom w:val="single" w:color="D3D3D3" w:sz="4" w:space="0"/>
              <w:right w:val="nil"/>
            </w:tcBorders>
            <w:shd w:val="clear" w:color="auto" w:fill="F2F4F7"/>
            <w:tcMar>
              <w:top w:w="100" w:type="dxa"/>
              <w:left w:w="100" w:type="dxa"/>
              <w:bottom w:w="100" w:type="dxa"/>
              <w:right w:w="100" w:type="dxa"/>
            </w:tcMar>
          </w:tcPr>
          <w:p w14:paraId="4FD1BB74">
            <w:pPr>
              <w:jc w:val="center"/>
              <w:rPr>
                <w:color w:val="auto"/>
              </w:rPr>
            </w:pPr>
            <w:r>
              <w:rPr>
                <w:color w:val="auto"/>
                <w:sz w:val="19"/>
              </w:rPr>
              <w:t>允许</w:t>
            </w:r>
          </w:p>
        </w:tc>
        <w:tc>
          <w:tcPr>
            <w:tcW w:w="1505" w:type="dxa"/>
            <w:tcBorders>
              <w:top w:val="single" w:color="D3D3D3" w:sz="4" w:space="0"/>
              <w:left w:val="nil"/>
              <w:bottom w:val="single" w:color="D3D3D3" w:sz="4" w:space="0"/>
              <w:right w:val="nil"/>
            </w:tcBorders>
            <w:shd w:val="clear" w:color="auto" w:fill="F2F4F7"/>
            <w:tcMar>
              <w:top w:w="100" w:type="dxa"/>
              <w:left w:w="100" w:type="dxa"/>
              <w:bottom w:w="100" w:type="dxa"/>
              <w:right w:w="100" w:type="dxa"/>
            </w:tcMar>
          </w:tcPr>
          <w:p w14:paraId="282B4637">
            <w:pPr>
              <w:jc w:val="center"/>
              <w:rPr>
                <w:color w:val="auto"/>
              </w:rPr>
            </w:pPr>
            <w:r>
              <w:rPr>
                <w:color w:val="auto"/>
                <w:sz w:val="19"/>
              </w:rPr>
              <w:t>允许</w:t>
            </w:r>
          </w:p>
        </w:tc>
        <w:tc>
          <w:tcPr>
            <w:tcW w:w="1505" w:type="dxa"/>
            <w:tcBorders>
              <w:top w:val="single" w:color="D3D3D3" w:sz="4" w:space="0"/>
              <w:left w:val="nil"/>
              <w:bottom w:val="single" w:color="D3D3D3" w:sz="4" w:space="0"/>
              <w:right w:val="nil"/>
            </w:tcBorders>
            <w:shd w:val="clear" w:color="auto" w:fill="F2F4F7"/>
            <w:tcMar>
              <w:top w:w="100" w:type="dxa"/>
              <w:left w:w="100" w:type="dxa"/>
              <w:bottom w:w="100" w:type="dxa"/>
              <w:right w:w="100" w:type="dxa"/>
            </w:tcMar>
          </w:tcPr>
          <w:p w14:paraId="2E71F129">
            <w:pPr>
              <w:jc w:val="center"/>
              <w:rPr>
                <w:color w:val="auto"/>
              </w:rPr>
            </w:pPr>
            <w:r>
              <w:rPr>
                <w:color w:val="auto"/>
                <w:sz w:val="19"/>
              </w:rPr>
              <w:t>允许</w:t>
            </w:r>
          </w:p>
        </w:tc>
        <w:tc>
          <w:tcPr>
            <w:tcW w:w="1505" w:type="dxa"/>
            <w:tcBorders>
              <w:top w:val="single" w:color="D3D3D3" w:sz="4" w:space="0"/>
              <w:left w:val="nil"/>
              <w:bottom w:val="single" w:color="D3D3D3" w:sz="4" w:space="0"/>
              <w:right w:val="nil"/>
            </w:tcBorders>
            <w:shd w:val="clear" w:color="auto" w:fill="F2F4F7"/>
            <w:tcMar>
              <w:top w:w="100" w:type="dxa"/>
              <w:left w:w="100" w:type="dxa"/>
              <w:bottom w:w="100" w:type="dxa"/>
              <w:right w:w="100" w:type="dxa"/>
            </w:tcMar>
          </w:tcPr>
          <w:p w14:paraId="4392481C">
            <w:pPr>
              <w:jc w:val="center"/>
              <w:rPr>
                <w:color w:val="auto"/>
              </w:rPr>
            </w:pPr>
            <w:r>
              <w:rPr>
                <w:color w:val="auto"/>
                <w:sz w:val="19"/>
              </w:rPr>
              <w:t>允许</w:t>
            </w:r>
          </w:p>
        </w:tc>
        <w:tc>
          <w:tcPr>
            <w:tcW w:w="1505" w:type="dxa"/>
            <w:tcBorders>
              <w:top w:val="single" w:color="D3D3D3" w:sz="4" w:space="0"/>
              <w:left w:val="nil"/>
              <w:bottom w:val="single" w:color="D3D3D3" w:sz="4" w:space="0"/>
              <w:right w:val="nil"/>
            </w:tcBorders>
            <w:shd w:val="clear" w:color="auto" w:fill="F2F4F7"/>
            <w:tcMar>
              <w:top w:w="100" w:type="dxa"/>
              <w:left w:w="100" w:type="dxa"/>
              <w:bottom w:w="100" w:type="dxa"/>
              <w:right w:w="100" w:type="dxa"/>
            </w:tcMar>
          </w:tcPr>
          <w:p w14:paraId="6F3143C8">
            <w:pPr>
              <w:jc w:val="center"/>
              <w:rPr>
                <w:color w:val="auto"/>
              </w:rPr>
            </w:pPr>
            <w:r>
              <w:rPr>
                <w:color w:val="auto"/>
                <w:sz w:val="19"/>
              </w:rPr>
              <w:t>禁止</w:t>
            </w:r>
          </w:p>
        </w:tc>
      </w:tr>
      <w:tr w14:paraId="129A914E">
        <w:tblPrEx>
          <w:tblCellMar>
            <w:top w:w="0" w:type="dxa"/>
            <w:left w:w="108" w:type="dxa"/>
            <w:bottom w:w="0" w:type="dxa"/>
            <w:right w:w="108" w:type="dxa"/>
          </w:tblCellMar>
        </w:tblPrEx>
        <w:trPr>
          <w:jc w:val="center"/>
        </w:trPr>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255FD860">
            <w:pPr>
              <w:jc w:val="left"/>
              <w:rPr>
                <w:color w:val="auto"/>
              </w:rPr>
            </w:pPr>
            <w:r>
              <w:rPr>
                <w:b/>
                <w:color w:val="auto"/>
                <w:sz w:val="19"/>
              </w:rPr>
              <w:t>平台管理员</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30B1B675">
            <w:pPr>
              <w:jc w:val="center"/>
              <w:rPr>
                <w:color w:val="auto"/>
              </w:rPr>
            </w:pPr>
            <w:r>
              <w:rPr>
                <w:color w:val="auto"/>
                <w:sz w:val="19"/>
              </w:rPr>
              <w:t>-</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20F3652C">
            <w:pPr>
              <w:jc w:val="center"/>
              <w:rPr>
                <w:color w:val="auto"/>
              </w:rPr>
            </w:pPr>
            <w:r>
              <w:rPr>
                <w:color w:val="auto"/>
                <w:sz w:val="19"/>
              </w:rPr>
              <w:t>-</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36011CB6">
            <w:pPr>
              <w:jc w:val="center"/>
              <w:rPr>
                <w:color w:val="auto"/>
              </w:rPr>
            </w:pPr>
            <w:r>
              <w:rPr>
                <w:color w:val="auto"/>
                <w:sz w:val="19"/>
              </w:rPr>
              <w:t>-</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51D1E01C">
            <w:pPr>
              <w:jc w:val="center"/>
              <w:rPr>
                <w:color w:val="auto"/>
              </w:rPr>
            </w:pPr>
            <w:r>
              <w:rPr>
                <w:color w:val="auto"/>
                <w:sz w:val="19"/>
              </w:rPr>
              <w:t>-</w:t>
            </w:r>
          </w:p>
        </w:tc>
        <w:tc>
          <w:tcPr>
            <w:tcW w:w="1505" w:type="dxa"/>
            <w:tcBorders>
              <w:top w:val="single" w:color="D3D3D3" w:sz="4" w:space="0"/>
              <w:left w:val="nil"/>
              <w:bottom w:val="single" w:color="D3D3D3" w:sz="4" w:space="0"/>
              <w:right w:val="nil"/>
            </w:tcBorders>
            <w:shd w:val="clear" w:color="auto" w:fill="FFFFFF"/>
            <w:tcMar>
              <w:top w:w="100" w:type="dxa"/>
              <w:left w:w="100" w:type="dxa"/>
              <w:bottom w:w="100" w:type="dxa"/>
              <w:right w:w="100" w:type="dxa"/>
            </w:tcMar>
          </w:tcPr>
          <w:p w14:paraId="26C6B515">
            <w:pPr>
              <w:jc w:val="center"/>
              <w:rPr>
                <w:color w:val="auto"/>
              </w:rPr>
            </w:pPr>
            <w:r>
              <w:rPr>
                <w:color w:val="auto"/>
                <w:sz w:val="19"/>
              </w:rPr>
              <w:t>允许</w:t>
            </w:r>
          </w:p>
        </w:tc>
      </w:tr>
    </w:tbl>
    <w:p w14:paraId="0A6B9FEB">
      <w:pPr>
        <w:rPr>
          <w:color w:val="auto"/>
        </w:rPr>
      </w:pPr>
    </w:p>
    <w:p w14:paraId="1C116D5F">
      <w:pPr>
        <w:keepNext/>
        <w:spacing w:before="240" w:after="80"/>
        <w:rPr>
          <w:color w:val="auto"/>
        </w:rPr>
      </w:pPr>
      <w:r>
        <w:rPr>
          <w:b/>
          <w:color w:val="auto"/>
          <w:sz w:val="26"/>
        </w:rPr>
        <w:t>2.2 核心业务流程</w:t>
      </w:r>
    </w:p>
    <w:p w14:paraId="4A1EAA3C">
      <w:pPr>
        <w:keepNext/>
        <w:spacing w:before="160" w:after="40"/>
        <w:rPr>
          <w:color w:val="auto"/>
        </w:rPr>
      </w:pPr>
      <w:r>
        <w:rPr>
          <w:b/>
          <w:color w:val="auto"/>
          <w:sz w:val="23"/>
        </w:rPr>
        <w:t>2.2.1 寻宠与目击线索闭环流程</w:t>
      </w:r>
    </w:p>
    <w:p w14:paraId="1586DBE8">
      <w:pPr>
        <w:pStyle w:val="16"/>
        <w:spacing w:after="80"/>
        <w:rPr>
          <w:color w:val="auto"/>
        </w:rPr>
      </w:pPr>
      <w:r>
        <w:rPr>
          <w:b/>
          <w:color w:val="auto"/>
        </w:rPr>
        <w:t>1. 发布阶段：</w:t>
      </w:r>
      <w:r>
        <w:rPr>
          <w:color w:val="auto"/>
        </w:rPr>
        <w:t>失主（普通/认证用户）在前台页面填写丢失宠物完整表单，提交寻宠启事，进入“待审核”状态。</w:t>
      </w:r>
    </w:p>
    <w:p w14:paraId="707610EB">
      <w:pPr>
        <w:pStyle w:val="16"/>
        <w:spacing w:after="80"/>
        <w:rPr>
          <w:color w:val="auto"/>
        </w:rPr>
      </w:pPr>
      <w:r>
        <w:rPr>
          <w:b/>
          <w:color w:val="auto"/>
        </w:rPr>
        <w:t>2. 审核阶段：</w:t>
      </w:r>
      <w:r>
        <w:rPr>
          <w:color w:val="auto"/>
        </w:rPr>
        <w:t>平台管理员在管理后台对启事内容进行风控合规审核，通过后在前台“寻宠大厅”公开上线。</w:t>
      </w:r>
    </w:p>
    <w:p w14:paraId="167E3102">
      <w:pPr>
        <w:pStyle w:val="16"/>
        <w:spacing w:after="80"/>
        <w:rPr>
          <w:color w:val="auto"/>
        </w:rPr>
      </w:pPr>
      <w:r>
        <w:rPr>
          <w:b/>
          <w:color w:val="auto"/>
        </w:rPr>
        <w:t>3. 互动阶段：</w:t>
      </w:r>
      <w:r>
        <w:rPr>
          <w:color w:val="auto"/>
        </w:rPr>
        <w:t>爱心人士浏览启事，在特定启事详情页点击并提交“目击线索”（时间、地点、现场图）。</w:t>
      </w:r>
    </w:p>
    <w:p w14:paraId="016DA17F">
      <w:pPr>
        <w:pStyle w:val="16"/>
        <w:spacing w:after="80"/>
        <w:rPr>
          <w:color w:val="auto"/>
        </w:rPr>
      </w:pPr>
      <w:r>
        <w:rPr>
          <w:b/>
          <w:color w:val="auto"/>
        </w:rPr>
        <w:t>4. 私信流转：</w:t>
      </w:r>
      <w:r>
        <w:rPr>
          <w:color w:val="auto"/>
        </w:rPr>
        <w:t>系统拦截公开评论，自动将线索封装转换为一条“全隐私站内私信”精准推送到失主的个人中心。</w:t>
      </w:r>
    </w:p>
    <w:p w14:paraId="0DBF01B8">
      <w:pPr>
        <w:pStyle w:val="16"/>
        <w:spacing w:after="80"/>
        <w:rPr>
          <w:color w:val="auto"/>
        </w:rPr>
      </w:pPr>
      <w:r>
        <w:rPr>
          <w:b/>
          <w:color w:val="auto"/>
        </w:rPr>
        <w:t>5. 结案阶段：</w:t>
      </w:r>
      <w:r>
        <w:rPr>
          <w:color w:val="auto"/>
        </w:rPr>
        <w:t>失主通过站内私信持续核实，确认找回宠物后，手动切换启事状态为“已找到”，全案流程闭环。</w:t>
      </w:r>
    </w:p>
    <w:p w14:paraId="39C2C0BC">
      <w:pPr>
        <w:keepNext/>
        <w:spacing w:before="160" w:after="40"/>
        <w:rPr>
          <w:color w:val="auto"/>
        </w:rPr>
      </w:pPr>
      <w:r>
        <w:rPr>
          <w:b/>
          <w:color w:val="auto"/>
          <w:sz w:val="23"/>
        </w:rPr>
        <w:t>2.2.2 流浪动物建档留存流程</w:t>
      </w:r>
    </w:p>
    <w:p w14:paraId="4A53AB26">
      <w:pPr>
        <w:pStyle w:val="16"/>
        <w:spacing w:after="80"/>
        <w:rPr>
          <w:color w:val="auto"/>
        </w:rPr>
      </w:pPr>
      <w:r>
        <w:rPr>
          <w:b/>
          <w:color w:val="auto"/>
        </w:rPr>
        <w:t>1. 资质前置：</w:t>
      </w:r>
      <w:r>
        <w:rPr>
          <w:color w:val="auto"/>
        </w:rPr>
        <w:t>普通用户必须在个人中心提交机构资质或志愿者救助背景材料，经后台审批转为“认证用户”。</w:t>
      </w:r>
    </w:p>
    <w:p w14:paraId="2B8DE303">
      <w:pPr>
        <w:pStyle w:val="16"/>
        <w:spacing w:after="80"/>
        <w:rPr>
          <w:color w:val="auto"/>
        </w:rPr>
      </w:pPr>
      <w:r>
        <w:rPr>
          <w:b/>
          <w:color w:val="auto"/>
        </w:rPr>
        <w:t>2. 身份登记：</w:t>
      </w:r>
      <w:r>
        <w:rPr>
          <w:color w:val="auto"/>
        </w:rPr>
        <w:t>认证用户对执勤或救助中发现的流浪动物进行身份登记，录入基本特征、发现定位及安置状态。</w:t>
      </w:r>
    </w:p>
    <w:p w14:paraId="1430D75B">
      <w:pPr>
        <w:pStyle w:val="16"/>
        <w:spacing w:after="80"/>
        <w:rPr>
          <w:color w:val="auto"/>
        </w:rPr>
      </w:pPr>
      <w:r>
        <w:rPr>
          <w:b/>
          <w:color w:val="auto"/>
        </w:rPr>
        <w:t>3. 审核归档：</w:t>
      </w:r>
      <w:r>
        <w:rPr>
          <w:color w:val="auto"/>
        </w:rPr>
        <w:t>后台管理员对动物档案进行真实性审核，通过后生成全网可查的“流浪动物电子身份证”。</w:t>
      </w:r>
    </w:p>
    <w:p w14:paraId="3DB29D2F">
      <w:pPr>
        <w:keepNext/>
        <w:spacing w:before="360" w:after="120"/>
        <w:rPr>
          <w:color w:val="auto"/>
        </w:rPr>
      </w:pPr>
      <w:r>
        <w:rPr>
          <w:b/>
          <w:color w:val="auto"/>
          <w:sz w:val="32"/>
        </w:rPr>
        <w:t>3. 功能需求（模块拆解）</w:t>
      </w:r>
    </w:p>
    <w:p w14:paraId="0773BA07">
      <w:pPr>
        <w:keepNext/>
        <w:spacing w:before="240" w:after="80"/>
        <w:rPr>
          <w:color w:val="auto"/>
        </w:rPr>
      </w:pPr>
      <w:r>
        <w:rPr>
          <w:b/>
          <w:color w:val="auto"/>
          <w:sz w:val="26"/>
        </w:rPr>
        <w:t>3.1 门户网站前端（前台系统）</w:t>
      </w:r>
    </w:p>
    <w:p w14:paraId="456C9646">
      <w:pPr>
        <w:keepNext/>
        <w:spacing w:before="160" w:after="40"/>
        <w:rPr>
          <w:color w:val="auto"/>
        </w:rPr>
      </w:pPr>
      <w:r>
        <w:rPr>
          <w:b/>
          <w:color w:val="auto"/>
          <w:sz w:val="23"/>
        </w:rPr>
        <w:t>3.1.1 账号、注册与资质认证模块</w:t>
      </w:r>
    </w:p>
    <w:p w14:paraId="6DCBF1DC">
      <w:pPr>
        <w:pStyle w:val="16"/>
        <w:spacing w:after="80"/>
        <w:rPr>
          <w:color w:val="auto"/>
        </w:rPr>
      </w:pPr>
      <w:r>
        <w:rPr>
          <w:b/>
          <w:color w:val="auto"/>
        </w:rPr>
        <w:t>注册/登录入口：</w:t>
      </w:r>
      <w:r>
        <w:rPr>
          <w:color w:val="auto"/>
        </w:rPr>
        <w:t>面向全网开放。支持手机号/邮箱注册，提供“密码登录”与“短信验证码/邮箱验证码快捷登录”两种模式。</w:t>
      </w:r>
    </w:p>
    <w:p w14:paraId="71278FC4">
      <w:pPr>
        <w:pStyle w:val="16"/>
        <w:spacing w:after="80"/>
        <w:rPr>
          <w:color w:val="auto"/>
        </w:rPr>
      </w:pPr>
      <w:r>
        <w:rPr>
          <w:b/>
          <w:color w:val="auto"/>
        </w:rPr>
        <w:t>个人信息完善：</w:t>
      </w:r>
      <w:r>
        <w:rPr>
          <w:color w:val="auto"/>
        </w:rPr>
        <w:t>登录后，用户可维护昵称、头像、紧急常备联系电话（该电话由系统严格加密保护）。</w:t>
      </w:r>
    </w:p>
    <w:p w14:paraId="3C32A3BA">
      <w:pPr>
        <w:pStyle w:val="16"/>
        <w:spacing w:after="80"/>
        <w:rPr>
          <w:color w:val="auto"/>
        </w:rPr>
      </w:pPr>
      <w:r>
        <w:rPr>
          <w:b/>
          <w:color w:val="auto"/>
        </w:rPr>
        <w:t>机构/志愿者资格申请：</w:t>
      </w:r>
      <w:r>
        <w:rPr>
          <w:color w:val="auto"/>
        </w:rPr>
        <w:t>提供专有入口。普通用户需上传救助机构营业执照、志愿者工作证、或往期流浪动物救助实证照片等。提交后进入后台排队审批，审批期间原功能不受限制。</w:t>
      </w:r>
    </w:p>
    <w:p w14:paraId="18E51341">
      <w:pPr>
        <w:keepNext/>
        <w:spacing w:before="160" w:after="40"/>
        <w:rPr>
          <w:color w:val="auto"/>
        </w:rPr>
      </w:pPr>
      <w:r>
        <w:rPr>
          <w:b/>
          <w:color w:val="auto"/>
          <w:sz w:val="23"/>
        </w:rPr>
        <w:t>3.1.2 寻宠启事发布与大厅模块</w:t>
      </w:r>
    </w:p>
    <w:p w14:paraId="52D83AD2">
      <w:pPr>
        <w:pStyle w:val="16"/>
        <w:spacing w:after="80"/>
        <w:rPr>
          <w:color w:val="auto"/>
        </w:rPr>
      </w:pPr>
      <w:r>
        <w:rPr>
          <w:b/>
          <w:color w:val="auto"/>
        </w:rPr>
        <w:t>发布寻宠表单：</w:t>
      </w:r>
      <w:r>
        <w:rPr>
          <w:color w:val="auto"/>
        </w:rPr>
        <w:t>字段包含：宠物类型（猫/狗/其他）、品种（如已知）、宠物昵称、高清照片（支持多张上传，限5M以内）、丢失时间（精确到小时）、精确丢失地点（集成第三方网页地图组件，支持用户点击地图精准打点）、酬金说明（可选）、主人对宠物的特殊生理/性格特征描述。</w:t>
      </w:r>
    </w:p>
    <w:p w14:paraId="6F83687D">
      <w:pPr>
        <w:pStyle w:val="16"/>
        <w:spacing w:after="80"/>
        <w:rPr>
          <w:color w:val="auto"/>
        </w:rPr>
      </w:pPr>
      <w:r>
        <w:rPr>
          <w:b/>
          <w:color w:val="auto"/>
        </w:rPr>
        <w:t>寻宠状态流转：</w:t>
      </w:r>
      <w:r>
        <w:rPr>
          <w:color w:val="auto"/>
        </w:rPr>
        <w:t>包括“待审核”、“寻找中（审核通过展示）”、“被驳回（退回用户修改）”、“已找到（用户手动结案后前台挂起置灰）”。</w:t>
      </w:r>
    </w:p>
    <w:p w14:paraId="7CBD1996">
      <w:pPr>
        <w:pStyle w:val="16"/>
        <w:spacing w:after="80"/>
        <w:rPr>
          <w:color w:val="auto"/>
        </w:rPr>
      </w:pPr>
      <w:r>
        <w:rPr>
          <w:b/>
          <w:color w:val="auto"/>
        </w:rPr>
        <w:t>寻宠大厅多维检索：</w:t>
      </w:r>
      <w:r>
        <w:rPr>
          <w:color w:val="auto"/>
        </w:rPr>
        <w:t>支持全局关键词模糊搜索（品种、特征、名字）。提供复合筛选器：按丢宠区域（省/市/区县）、丢失时间范围段、宠物种类快速分类。</w:t>
      </w:r>
    </w:p>
    <w:p w14:paraId="124416D8">
      <w:pPr>
        <w:keepNext/>
        <w:spacing w:before="160" w:after="40"/>
        <w:rPr>
          <w:color w:val="auto"/>
        </w:rPr>
      </w:pPr>
      <w:r>
        <w:rPr>
          <w:b/>
          <w:color w:val="auto"/>
          <w:sz w:val="23"/>
        </w:rPr>
        <w:t>3.1.3 流浪动物电子档案模块</w:t>
      </w:r>
    </w:p>
    <w:p w14:paraId="02FC3D03">
      <w:pPr>
        <w:pStyle w:val="16"/>
        <w:spacing w:after="80"/>
        <w:rPr>
          <w:color w:val="auto"/>
        </w:rPr>
      </w:pPr>
      <w:r>
        <w:rPr>
          <w:b/>
          <w:color w:val="auto"/>
        </w:rPr>
        <w:t>档案登记表单（权限限定）：</w:t>
      </w:r>
      <w:r>
        <w:rPr>
          <w:color w:val="auto"/>
        </w:rPr>
        <w:t>仅对通过后台审核的“认证用户”开放。字段包含：流浪动物大类、发现并拍摄的地理位置（地图选点）、初步健康状况评估、是否已实施绝育/免疫（如明确）、当前安置去向（如：原地流浪观察、已被救助基地收容、已开放领养等）、现场拍照。</w:t>
      </w:r>
    </w:p>
    <w:p w14:paraId="21C6B6AB">
      <w:pPr>
        <w:pStyle w:val="16"/>
        <w:spacing w:after="80"/>
        <w:rPr>
          <w:color w:val="auto"/>
        </w:rPr>
      </w:pPr>
      <w:r>
        <w:rPr>
          <w:b/>
          <w:color w:val="auto"/>
        </w:rPr>
        <w:t>档案查阅大厅：</w:t>
      </w:r>
      <w:r>
        <w:rPr>
          <w:color w:val="auto"/>
        </w:rPr>
        <w:t>对全网所有游客及用户公开，提供高效的检索条件，支持失主根据流浪动物建档区域进行大数据比对，极大缩短二次寻宠的中间路径。</w:t>
      </w:r>
    </w:p>
    <w:p w14:paraId="2BDE53B8">
      <w:pPr>
        <w:keepNext/>
        <w:spacing w:before="160" w:after="40"/>
        <w:rPr>
          <w:color w:val="auto"/>
        </w:rPr>
      </w:pPr>
      <w:r>
        <w:rPr>
          <w:b/>
          <w:color w:val="auto"/>
          <w:sz w:val="23"/>
        </w:rPr>
        <w:t>3.1.4 线索提交与隐私即时私信模块（核心底层机制）</w:t>
      </w:r>
    </w:p>
    <w:p w14:paraId="37A7929C">
      <w:pPr>
        <w:pStyle w:val="16"/>
        <w:spacing w:after="80"/>
        <w:rPr>
          <w:color w:val="auto"/>
        </w:rPr>
      </w:pPr>
      <w:r>
        <w:rPr>
          <w:b/>
          <w:color w:val="auto"/>
        </w:rPr>
        <w:t>提供线索入口：</w:t>
      </w:r>
      <w:r>
        <w:rPr>
          <w:color w:val="auto"/>
        </w:rPr>
        <w:t>位于每一条“寻找中”的寻宠启事详情页右侧显要位置，点击触发“我有点线索”浮窗。</w:t>
      </w:r>
    </w:p>
    <w:p w14:paraId="4E4D30D7">
      <w:pPr>
        <w:pStyle w:val="16"/>
        <w:spacing w:after="80"/>
        <w:rPr>
          <w:color w:val="auto"/>
        </w:rPr>
      </w:pPr>
      <w:r>
        <w:rPr>
          <w:b/>
          <w:color w:val="auto"/>
        </w:rPr>
        <w:t>线索表单字段：</w:t>
      </w:r>
      <w:r>
        <w:rPr>
          <w:color w:val="auto"/>
        </w:rPr>
        <w:t>目击的具体时间、目击时的精确地理定位（地图选点）、现场环境照片上传、目击文字情况备注。</w:t>
      </w:r>
    </w:p>
    <w:p w14:paraId="5D94AFB6">
      <w:pPr>
        <w:pStyle w:val="16"/>
        <w:spacing w:after="80"/>
        <w:rPr>
          <w:color w:val="auto"/>
        </w:rPr>
      </w:pPr>
      <w:r>
        <w:rPr>
          <w:b/>
          <w:color w:val="auto"/>
        </w:rPr>
        <w:t>绝对隐私隔离：</w:t>
      </w:r>
      <w:r>
        <w:rPr>
          <w:color w:val="auto"/>
        </w:rPr>
        <w:t>本系统取消传统的公共下方评论区。用户填写的线索数据禁止在前端大厅的任何公开流中展示，阻断恶意冒领或第三方信息骚扰。</w:t>
      </w:r>
    </w:p>
    <w:p w14:paraId="1FA1C0B9">
      <w:pPr>
        <w:pStyle w:val="16"/>
        <w:spacing w:after="80"/>
        <w:rPr>
          <w:color w:val="auto"/>
        </w:rPr>
      </w:pPr>
      <w:r>
        <w:rPr>
          <w:b/>
          <w:color w:val="auto"/>
        </w:rPr>
        <w:t>私信封装与触发：</w:t>
      </w:r>
      <w:r>
        <w:rPr>
          <w:color w:val="auto"/>
        </w:rPr>
        <w:t>线索一旦成功提交，后端服务在落库的同时，自动将整套表单数据（含时间、位置、图文）重组为一条专属的“线索提示消息”，以站内即时私信的形式精准发至对应启事主人的消息中心。</w:t>
      </w:r>
    </w:p>
    <w:p w14:paraId="3A988A26">
      <w:pPr>
        <w:pStyle w:val="16"/>
        <w:spacing w:after="80"/>
        <w:rPr>
          <w:color w:val="auto"/>
        </w:rPr>
      </w:pPr>
      <w:r>
        <w:rPr>
          <w:b/>
          <w:color w:val="auto"/>
        </w:rPr>
        <w:t>双向在线对话：</w:t>
      </w:r>
      <w:r>
        <w:rPr>
          <w:color w:val="auto"/>
        </w:rPr>
        <w:t>启事主人在网站右上角消息中心接收到私信卡片后，可直接点击卡片查看线索详情并在线回复，与线索提供人建立一对一的安全顺畅沟通渠道。</w:t>
      </w:r>
    </w:p>
    <w:p w14:paraId="47660100">
      <w:pPr>
        <w:keepNext/>
        <w:spacing w:before="240" w:after="80"/>
        <w:rPr>
          <w:color w:val="auto"/>
        </w:rPr>
      </w:pPr>
      <w:r>
        <w:rPr>
          <w:b/>
          <w:color w:val="auto"/>
          <w:sz w:val="26"/>
        </w:rPr>
        <w:t>3.2 管理后台系统（后端管理）</w:t>
      </w:r>
    </w:p>
    <w:p w14:paraId="5797E29C">
      <w:pPr>
        <w:keepNext/>
        <w:spacing w:before="160" w:after="40"/>
        <w:rPr>
          <w:color w:val="auto"/>
        </w:rPr>
      </w:pPr>
      <w:r>
        <w:rPr>
          <w:b/>
          <w:color w:val="auto"/>
          <w:sz w:val="23"/>
        </w:rPr>
        <w:t>3.2.1 内容分控与资质审核模块</w:t>
      </w:r>
    </w:p>
    <w:p w14:paraId="19E5CC3D">
      <w:pPr>
        <w:pStyle w:val="16"/>
        <w:spacing w:after="80"/>
        <w:rPr>
          <w:color w:val="auto"/>
        </w:rPr>
      </w:pPr>
      <w:r>
        <w:rPr>
          <w:b/>
          <w:color w:val="auto"/>
        </w:rPr>
        <w:t>寻宠信息审核流：</w:t>
      </w:r>
      <w:r>
        <w:rPr>
          <w:color w:val="auto"/>
        </w:rPr>
        <w:t>集中展示所有“待审核”的寻宠启事。管理员负责过滤政治敏感、暴力恐怖、虚假诈骗或无关广告内容。提供“通过（一键上线）”与“驳回（强制必填具体驳回原因，方便前台用户修改）”操作。</w:t>
      </w:r>
    </w:p>
    <w:p w14:paraId="1DECBE3B">
      <w:pPr>
        <w:pStyle w:val="16"/>
        <w:spacing w:after="80"/>
        <w:rPr>
          <w:color w:val="auto"/>
        </w:rPr>
      </w:pPr>
      <w:r>
        <w:rPr>
          <w:b/>
          <w:color w:val="auto"/>
        </w:rPr>
        <w:t>流浪动物档案审核：</w:t>
      </w:r>
      <w:r>
        <w:rPr>
          <w:color w:val="auto"/>
        </w:rPr>
        <w:t>针对认证用户上报的档案进行内容核验，确保图片、地点逻辑合理，避免脏数据污染电子档案库。</w:t>
      </w:r>
    </w:p>
    <w:p w14:paraId="64E68018">
      <w:pPr>
        <w:pStyle w:val="16"/>
        <w:spacing w:after="80"/>
        <w:rPr>
          <w:color w:val="auto"/>
        </w:rPr>
      </w:pPr>
      <w:r>
        <w:rPr>
          <w:b/>
          <w:color w:val="auto"/>
        </w:rPr>
        <w:t>用户认证资格审批：</w:t>
      </w:r>
      <w:r>
        <w:rPr>
          <w:color w:val="auto"/>
        </w:rPr>
        <w:t>审核普通用户提交的志愿者、救助机构资质。支持放大查看证件及佐证材料，允许给予“认证通过”或“驳回”处理。</w:t>
      </w:r>
    </w:p>
    <w:p w14:paraId="0E8EE150">
      <w:pPr>
        <w:keepNext/>
        <w:spacing w:before="160" w:after="40"/>
        <w:rPr>
          <w:color w:val="auto"/>
        </w:rPr>
      </w:pPr>
      <w:r>
        <w:rPr>
          <w:b/>
          <w:color w:val="auto"/>
          <w:sz w:val="23"/>
        </w:rPr>
        <w:t>3.2.2 平台综合数据大盘与导出模块</w:t>
      </w:r>
    </w:p>
    <w:p w14:paraId="5D115045">
      <w:pPr>
        <w:pStyle w:val="16"/>
        <w:spacing w:after="80"/>
        <w:rPr>
          <w:color w:val="auto"/>
        </w:rPr>
      </w:pPr>
      <w:r>
        <w:rPr>
          <w:b/>
          <w:color w:val="auto"/>
        </w:rPr>
        <w:t>运营数据大盘：</w:t>
      </w:r>
      <w:r>
        <w:rPr>
          <w:color w:val="auto"/>
        </w:rPr>
        <w:t>可视化大屏展示当前系统全链路指标：注册总人数、当前“寻找中”宠物数、历史累计“已找到”成功闭环数、已登记在线流浪动物电子档案总台账数量。</w:t>
      </w:r>
    </w:p>
    <w:p w14:paraId="2F40C7D0">
      <w:pPr>
        <w:pStyle w:val="16"/>
        <w:spacing w:after="80"/>
        <w:rPr>
          <w:color w:val="auto"/>
        </w:rPr>
      </w:pPr>
      <w:r>
        <w:rPr>
          <w:b/>
          <w:color w:val="auto"/>
        </w:rPr>
        <w:t>流浪动物台账数据导出：</w:t>
      </w:r>
      <w:r>
        <w:rPr>
          <w:color w:val="auto"/>
        </w:rPr>
        <w:t>支持管理员根据时间跨度、行政区域组合筛选，一键导出《流浪动物登记台账（Excel）》，为民间救助组织及城市流浪动物治理提供精准的数据支撑。</w:t>
      </w:r>
    </w:p>
    <w:p w14:paraId="67DE0300">
      <w:pPr>
        <w:pStyle w:val="16"/>
        <w:spacing w:after="80"/>
        <w:rPr>
          <w:color w:val="auto"/>
        </w:rPr>
      </w:pPr>
      <w:r>
        <w:rPr>
          <w:b/>
          <w:color w:val="auto"/>
        </w:rPr>
        <w:t>寻宠成效报表导出：</w:t>
      </w:r>
      <w:r>
        <w:rPr>
          <w:color w:val="auto"/>
        </w:rPr>
        <w:t>支持导出《寻宠成功案例统计报表》，用于量化追踪平台的业务撮合效率与找回率分析。</w:t>
      </w:r>
    </w:p>
    <w:p w14:paraId="7270CA30">
      <w:pPr>
        <w:keepNext/>
        <w:spacing w:before="360" w:after="120"/>
        <w:rPr>
          <w:color w:val="auto"/>
        </w:rPr>
      </w:pPr>
      <w:r>
        <w:rPr>
          <w:b/>
          <w:color w:val="auto"/>
          <w:sz w:val="32"/>
        </w:rPr>
        <w:t>4. 非功能需求</w:t>
      </w:r>
    </w:p>
    <w:p w14:paraId="71E4C854">
      <w:pPr>
        <w:keepNext/>
        <w:spacing w:before="240" w:after="80"/>
        <w:rPr>
          <w:color w:val="auto"/>
        </w:rPr>
      </w:pPr>
      <w:r>
        <w:rPr>
          <w:b/>
          <w:color w:val="auto"/>
          <w:sz w:val="26"/>
        </w:rPr>
        <w:t>4.1 性能与多浏览器兼容性需求</w:t>
      </w:r>
    </w:p>
    <w:p w14:paraId="3485473B">
      <w:pPr>
        <w:pStyle w:val="16"/>
        <w:spacing w:after="80"/>
        <w:rPr>
          <w:color w:val="auto"/>
        </w:rPr>
      </w:pPr>
      <w:r>
        <w:rPr>
          <w:b/>
          <w:color w:val="auto"/>
        </w:rPr>
        <w:t>页面加载响应时间：</w:t>
      </w:r>
      <w:r>
        <w:rPr>
          <w:color w:val="auto"/>
        </w:rPr>
        <w:t>在标准网络带宽下，网站门户首页、寻宠大厅及流浪动物搜索页的页面核心数据加载渲染完成时间必须控制在 2 秒以内。</w:t>
      </w:r>
    </w:p>
    <w:p w14:paraId="632392A9">
      <w:pPr>
        <w:pStyle w:val="16"/>
        <w:spacing w:after="80"/>
        <w:rPr>
          <w:color w:val="auto"/>
        </w:rPr>
      </w:pPr>
      <w:r>
        <w:rPr>
          <w:b/>
          <w:color w:val="auto"/>
        </w:rPr>
        <w:t>高并发性能要求：</w:t>
      </w:r>
      <w:r>
        <w:rPr>
          <w:color w:val="auto"/>
        </w:rPr>
        <w:t>寻宠启事及线索提交接口需具备高容错设计，在小规模突发访问时确保数据库事务逻辑完整。</w:t>
      </w:r>
    </w:p>
    <w:p w14:paraId="14DB2111">
      <w:pPr>
        <w:pStyle w:val="16"/>
        <w:spacing w:after="80"/>
        <w:rPr>
          <w:color w:val="auto"/>
        </w:rPr>
      </w:pPr>
      <w:r>
        <w:rPr>
          <w:b/>
          <w:color w:val="auto"/>
        </w:rPr>
        <w:t>浏览器兼容性：</w:t>
      </w:r>
      <w:r>
        <w:rPr>
          <w:color w:val="auto"/>
        </w:rPr>
        <w:t>平台全面适配并兼容当前主流 PC 浏览器：Google Chrome、Microsoft Edge、Apple Safari、Mozilla Firefox。同时，系统的前端组件需采用流式响应布局，确保在手机端浏览器打开时，用户能获得完整无错位的H5自适应查阅体验。</w:t>
      </w:r>
    </w:p>
    <w:p w14:paraId="6A7C7392">
      <w:pPr>
        <w:keepNext/>
        <w:spacing w:before="240" w:after="80"/>
        <w:rPr>
          <w:color w:val="auto"/>
        </w:rPr>
      </w:pPr>
      <w:r>
        <w:rPr>
          <w:b/>
          <w:color w:val="auto"/>
          <w:sz w:val="26"/>
        </w:rPr>
        <w:t>4.2 数据安全与隐私隔离要求</w:t>
      </w:r>
    </w:p>
    <w:p w14:paraId="600608A6">
      <w:pPr>
        <w:pStyle w:val="16"/>
        <w:spacing w:after="80"/>
        <w:rPr>
          <w:color w:val="auto"/>
        </w:rPr>
      </w:pPr>
      <w:r>
        <w:rPr>
          <w:b/>
          <w:color w:val="auto"/>
        </w:rPr>
        <w:t>核心敏感数据加密：</w:t>
      </w:r>
      <w:r>
        <w:rPr>
          <w:color w:val="auto"/>
        </w:rPr>
        <w:t>用户数据库中的密码字段，必须强制采用高强度哈希算法（如 bcrypt）进行不可逆加密存储。</w:t>
      </w:r>
    </w:p>
    <w:p w14:paraId="08445D72">
      <w:pPr>
        <w:pStyle w:val="16"/>
        <w:spacing w:after="80"/>
        <w:rPr>
          <w:color w:val="auto"/>
        </w:rPr>
      </w:pPr>
      <w:r>
        <w:rPr>
          <w:b/>
          <w:color w:val="auto"/>
        </w:rPr>
        <w:t>接口层越权与鉴权验证：</w:t>
      </w:r>
      <w:r>
        <w:rPr>
          <w:color w:val="auto"/>
        </w:rPr>
        <w:t>由于线索数据属于高度隐私，后端接口设计必须实施严密的鉴权逻辑。除系统超级管理员以及该寻宠启事的发布主人外，任何第三方用户、哪怕通过抓包或篡改接口参数（如参数越权 ID 遍历），均无法获取任何他人提交的目击线索明细数据，切实保护失主和热心人士的隐私信息安全。</w:t>
      </w:r>
    </w:p>
    <w:sectPr>
      <w:pgSz w:w="11909" w:h="16834"/>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DE14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hint="eastAsia" w:ascii="Arial" w:hAnsi="Arial" w:eastAsia="微软雅黑" w:cstheme="minorBidi"/>
      <w:color w:val="333333"/>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566</Words>
  <Characters>587</Characters>
  <Lines>0</Lines>
  <Paragraphs>0</Paragraphs>
  <TotalTime>1</TotalTime>
  <ScaleCrop>false</ScaleCrop>
  <LinksUpToDate>false</LinksUpToDate>
  <CharactersWithSpaces>593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WPS_1684590613</cp:lastModifiedBy>
  <dcterms:modified xsi:type="dcterms:W3CDTF">2026-06-02T01:28:15Z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eyJoZGlkIjoiMWQzYTBmNWZjZWVkMmU5Mjc4OTgzMWM4MWViMjVhZmIiLCJ1c2VySWQiOiIxNDk2NDQ4MTU2In0=</vt:lpwstr>
  </property>
  <property fmtid="{D5CDD505-2E9C-101B-9397-08002B2CF9AE}" pid="3" name="KSOProductBuildVer">
    <vt:lpwstr>2052-12.1.0.26375</vt:lpwstr>
  </property>
  <property fmtid="{D5CDD505-2E9C-101B-9397-08002B2CF9AE}" pid="4" name="ICV">
    <vt:lpwstr>BFF27338C86A4FDBA680545C79E4F7C5_12</vt:lpwstr>
  </property>
</Properties>
</file>